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  <w:r>
        <w:rPr>
          <w:rFonts w:ascii="Cambria" w:hAnsi="Cambria"/>
          <w:bCs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76B88162" wp14:editId="1F4894C0">
            <wp:simplePos x="0" y="0"/>
            <wp:positionH relativeFrom="margin">
              <wp:posOffset>-311727</wp:posOffset>
            </wp:positionH>
            <wp:positionV relativeFrom="paragraph">
              <wp:posOffset>-598863</wp:posOffset>
            </wp:positionV>
            <wp:extent cx="2088572" cy="2088572"/>
            <wp:effectExtent l="0" t="0" r="6985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572" cy="20885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bCs/>
          <w:sz w:val="20"/>
          <w:szCs w:val="20"/>
        </w:rPr>
      </w:pPr>
      <w:r>
        <w:rPr>
          <w:rFonts w:ascii="Cambria" w:hAnsi="Cambria"/>
          <w:bCs/>
          <w:sz w:val="20"/>
          <w:szCs w:val="20"/>
        </w:rPr>
        <w:t>De acuerd</w:t>
      </w:r>
      <w:r>
        <w:rPr>
          <w:rFonts w:ascii="Cambria" w:hAnsi="Cambria"/>
          <w:bCs/>
          <w:sz w:val="20"/>
          <w:szCs w:val="20"/>
        </w:rPr>
        <w:t>o con el artículo 76</w:t>
      </w:r>
      <w:r>
        <w:rPr>
          <w:rFonts w:ascii="Cambria" w:hAnsi="Cambria"/>
          <w:bCs/>
          <w:sz w:val="20"/>
          <w:szCs w:val="20"/>
        </w:rPr>
        <w:t xml:space="preserve"> de la Ley de Transparencia y Acceso a la Información Pública del Estado de San Luis Potosí que a la letra dice: </w:t>
      </w:r>
    </w:p>
    <w:p w:rsidR="007E329B" w:rsidRDefault="007E329B" w:rsidP="007E329B">
      <w:pPr>
        <w:pStyle w:val="Default"/>
        <w:spacing w:line="360" w:lineRule="auto"/>
        <w:jc w:val="both"/>
        <w:rPr>
          <w:rFonts w:ascii="Cambria" w:hAnsi="Cambria"/>
          <w:sz w:val="20"/>
          <w:szCs w:val="20"/>
        </w:rPr>
      </w:pPr>
    </w:p>
    <w:p w:rsidR="007E329B" w:rsidRPr="007E329B" w:rsidRDefault="007E329B" w:rsidP="007E329B">
      <w:pPr>
        <w:spacing w:line="360" w:lineRule="auto"/>
        <w:jc w:val="both"/>
        <w:rPr>
          <w:rFonts w:ascii="Cambria" w:hAnsi="Cambria" w:cs="Arial"/>
          <w:i/>
          <w:color w:val="000000"/>
          <w:sz w:val="20"/>
          <w:szCs w:val="20"/>
        </w:rPr>
      </w:pPr>
      <w:r>
        <w:rPr>
          <w:rFonts w:ascii="Cambria" w:hAnsi="Cambria" w:cs="Arial"/>
          <w:i/>
          <w:color w:val="000000"/>
          <w:sz w:val="20"/>
          <w:szCs w:val="20"/>
        </w:rPr>
        <w:t>“</w:t>
      </w:r>
      <w:r w:rsidRPr="007E329B">
        <w:rPr>
          <w:rFonts w:ascii="Cambria" w:hAnsi="Cambria" w:cs="Arial"/>
          <w:i/>
          <w:color w:val="000000"/>
          <w:sz w:val="20"/>
          <w:szCs w:val="20"/>
        </w:rPr>
        <w:t xml:space="preserve">ARTÍCULO 76. La información correspondiente a las obligaciones de transparencia </w:t>
      </w:r>
      <w:r w:rsidRPr="007E329B">
        <w:rPr>
          <w:rFonts w:ascii="Cambria" w:hAnsi="Cambria" w:cs="Arial"/>
          <w:b/>
          <w:i/>
          <w:color w:val="000000"/>
          <w:sz w:val="20"/>
          <w:szCs w:val="20"/>
          <w:u w:val="single"/>
        </w:rPr>
        <w:t>deberá actualizarse por lo menos cada mes.</w:t>
      </w:r>
      <w:r w:rsidRPr="007E329B">
        <w:rPr>
          <w:rFonts w:ascii="Cambria" w:hAnsi="Cambria" w:cs="Arial"/>
          <w:i/>
          <w:color w:val="000000"/>
          <w:sz w:val="20"/>
          <w:szCs w:val="20"/>
        </w:rPr>
        <w:t xml:space="preserve"> El Sistema Nacional emitirá los criterios para determinar el plazo mínimo que deberá permanecer disponible y accesible la información, atendiendo a las cualidades de la misma.</w:t>
      </w:r>
    </w:p>
    <w:p w:rsidR="007E329B" w:rsidRPr="007E329B" w:rsidRDefault="007E329B" w:rsidP="007E329B">
      <w:pPr>
        <w:spacing w:line="360" w:lineRule="auto"/>
        <w:jc w:val="both"/>
        <w:rPr>
          <w:rFonts w:ascii="Cambria" w:hAnsi="Cambria"/>
          <w:b/>
          <w:sz w:val="20"/>
          <w:szCs w:val="20"/>
          <w:u w:val="single"/>
        </w:rPr>
      </w:pPr>
      <w:r w:rsidRPr="007E329B">
        <w:rPr>
          <w:rFonts w:ascii="Cambria" w:hAnsi="Cambria" w:cs="Arial"/>
          <w:b/>
          <w:i/>
          <w:color w:val="000000"/>
          <w:sz w:val="20"/>
          <w:szCs w:val="20"/>
          <w:u w:val="single"/>
        </w:rPr>
        <w:t>La publicación de la información deberá indicar el sujeto obligado encargado de generarla, así como la fecha de su última actualización.</w:t>
      </w:r>
    </w:p>
    <w:p w:rsidR="007E329B" w:rsidRDefault="007E329B" w:rsidP="007E329B">
      <w:pPr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De acuerdo </w:t>
      </w:r>
      <w:r>
        <w:rPr>
          <w:rFonts w:ascii="Cambria" w:hAnsi="Cambria"/>
          <w:sz w:val="20"/>
          <w:szCs w:val="20"/>
        </w:rPr>
        <w:t>con lo anterior, durante este mes no se generó información toda vez que se procesa de manera trimestral.</w:t>
      </w:r>
      <w:bookmarkStart w:id="0" w:name="_GoBack"/>
      <w:bookmarkEnd w:id="0"/>
    </w:p>
    <w:p w:rsidR="007E329B" w:rsidRPr="00F66DB2" w:rsidRDefault="007E329B" w:rsidP="007E329B">
      <w:pPr>
        <w:jc w:val="center"/>
        <w:rPr>
          <w:rFonts w:ascii="Cambria" w:hAnsi="Cambria"/>
          <w:b/>
          <w:sz w:val="20"/>
          <w:szCs w:val="20"/>
        </w:rPr>
      </w:pPr>
    </w:p>
    <w:p w:rsidR="007E329B" w:rsidRPr="00F66DB2" w:rsidRDefault="007E329B" w:rsidP="007E329B">
      <w:pPr>
        <w:jc w:val="center"/>
        <w:rPr>
          <w:rFonts w:ascii="Cambria" w:hAnsi="Cambria"/>
          <w:b/>
          <w:sz w:val="20"/>
          <w:szCs w:val="20"/>
        </w:rPr>
      </w:pPr>
      <w:r w:rsidRPr="00F66DB2">
        <w:rPr>
          <w:rFonts w:ascii="Cambria" w:hAnsi="Cambria"/>
          <w:b/>
          <w:sz w:val="20"/>
          <w:szCs w:val="20"/>
        </w:rPr>
        <w:t>ATENTAMENTE</w:t>
      </w:r>
    </w:p>
    <w:p w:rsidR="007E329B" w:rsidRPr="00F66DB2" w:rsidRDefault="007E329B" w:rsidP="007E329B">
      <w:pPr>
        <w:jc w:val="center"/>
        <w:rPr>
          <w:rFonts w:ascii="Cambria" w:hAnsi="Cambria"/>
          <w:b/>
          <w:sz w:val="20"/>
          <w:szCs w:val="20"/>
        </w:rPr>
      </w:pPr>
      <w:r w:rsidRPr="00F66DB2">
        <w:rPr>
          <w:rFonts w:ascii="Cambria" w:hAnsi="Cambria"/>
          <w:b/>
          <w:sz w:val="20"/>
          <w:szCs w:val="20"/>
        </w:rPr>
        <w:t>TESORERIA MUNICIPAL</w:t>
      </w:r>
    </w:p>
    <w:p w:rsidR="008213EF" w:rsidRDefault="008213EF"/>
    <w:sectPr w:rsidR="008213EF" w:rsidSect="00034384">
      <w:pgSz w:w="12240" w:h="15840"/>
      <w:pgMar w:top="1417" w:right="1701" w:bottom="1417" w:left="1701" w:header="708" w:footer="708" w:gutter="0"/>
      <w:pgBorders w:offsetFrom="page">
        <w:top w:val="single" w:sz="12" w:space="24" w:color="2E74B5" w:themeColor="accent1" w:themeShade="BF"/>
        <w:left w:val="single" w:sz="12" w:space="24" w:color="2E74B5" w:themeColor="accent1" w:themeShade="BF"/>
        <w:bottom w:val="single" w:sz="12" w:space="24" w:color="2E74B5" w:themeColor="accent1" w:themeShade="BF"/>
        <w:right w:val="single" w:sz="12" w:space="24" w:color="2E74B5" w:themeColor="accent1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29B"/>
    <w:rsid w:val="007E329B"/>
    <w:rsid w:val="0082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28B02"/>
  <w15:chartTrackingRefBased/>
  <w15:docId w15:val="{0FAB1293-C0DB-4364-A591-463E82E5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329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E329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627</Characters>
  <Application>Microsoft Office Word</Application>
  <DocSecurity>0</DocSecurity>
  <Lines>5</Lines>
  <Paragraphs>1</Paragraphs>
  <ScaleCrop>false</ScaleCrop>
  <Company>InKulpado666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dcterms:created xsi:type="dcterms:W3CDTF">2020-12-02T17:48:00Z</dcterms:created>
  <dcterms:modified xsi:type="dcterms:W3CDTF">2020-12-02T17:51:00Z</dcterms:modified>
</cp:coreProperties>
</file>