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0EB" w:rsidRDefault="008B00EB" w:rsidP="008B00EB">
      <w:pPr>
        <w:jc w:val="center"/>
        <w:rPr>
          <w:lang w:val="es-MX"/>
        </w:rPr>
      </w:pPr>
    </w:p>
    <w:p w:rsidR="008B00EB" w:rsidRDefault="008B00EB" w:rsidP="008B00EB">
      <w:pPr>
        <w:pStyle w:val="NormalWeb"/>
        <w:spacing w:after="0" w:afterAutospacing="0"/>
        <w:ind w:firstLine="708"/>
        <w:jc w:val="center"/>
        <w:rPr>
          <w:rFonts w:ascii="Arial" w:hAnsi="Arial" w:cs="Arial"/>
          <w:shd w:val="clear" w:color="auto" w:fill="FFFFFF"/>
        </w:rPr>
      </w:pPr>
    </w:p>
    <w:p w:rsidR="008B00EB" w:rsidRDefault="008B00EB" w:rsidP="008B00EB">
      <w:pPr>
        <w:rPr>
          <w:b/>
          <w:sz w:val="48"/>
        </w:rPr>
      </w:pPr>
    </w:p>
    <w:p w:rsidR="008B00EB" w:rsidRDefault="008B00EB" w:rsidP="008B00EB">
      <w:pPr>
        <w:jc w:val="center"/>
        <w:rPr>
          <w:b/>
          <w:sz w:val="48"/>
        </w:rPr>
      </w:pPr>
    </w:p>
    <w:p w:rsidR="008B00EB" w:rsidRPr="008B00EB" w:rsidRDefault="008B00EB" w:rsidP="008B00EB">
      <w:pPr>
        <w:jc w:val="center"/>
        <w:rPr>
          <w:rFonts w:ascii="Calibri" w:eastAsia="Times New Roman" w:hAnsi="Calibri" w:cs="Calibri"/>
          <w:color w:val="000000"/>
          <w:sz w:val="44"/>
          <w:szCs w:val="22"/>
          <w:lang w:val="es-MX" w:eastAsia="es-MX"/>
        </w:rPr>
      </w:pPr>
      <w:r w:rsidRPr="008B00EB">
        <w:rPr>
          <w:rFonts w:ascii="Calibri" w:eastAsia="Times New Roman" w:hAnsi="Calibri" w:cs="Calibri"/>
          <w:color w:val="000000"/>
          <w:sz w:val="44"/>
          <w:szCs w:val="22"/>
          <w:lang w:val="es-MX" w:eastAsia="es-MX"/>
        </w:rPr>
        <w:t xml:space="preserve">Instituto de Migración y Enlace Internacional, no generó información contable registrada en su Sistema de Contabilidad Gubernamental (SCG); Conforme al Artículo 84 fracción XXXI de la Ley de Transparencia y acceso a la Información Pública del Estado de San Luis Potosí. </w:t>
      </w:r>
      <w:proofErr w:type="spellStart"/>
      <w:r w:rsidRPr="008B00EB">
        <w:rPr>
          <w:rFonts w:ascii="Calibri" w:eastAsia="Times New Roman" w:hAnsi="Calibri" w:cs="Calibri"/>
          <w:color w:val="000000"/>
          <w:sz w:val="44"/>
          <w:szCs w:val="22"/>
          <w:lang w:val="es-MX" w:eastAsia="es-MX"/>
        </w:rPr>
        <w:t>Asi</w:t>
      </w:r>
      <w:proofErr w:type="spellEnd"/>
      <w:r w:rsidRPr="008B00EB">
        <w:rPr>
          <w:rFonts w:ascii="Calibri" w:eastAsia="Times New Roman" w:hAnsi="Calibri" w:cs="Calibri"/>
          <w:color w:val="000000"/>
          <w:sz w:val="44"/>
          <w:szCs w:val="22"/>
          <w:lang w:val="es-MX" w:eastAsia="es-MX"/>
        </w:rPr>
        <w:t xml:space="preserve"> mismo se Informa que el Instituto de Migración y Enlace Internacional  es un Organismo descentralizado, que depende de forma Administrativa al a Secretaria General de Gobierno, en esa razón la presente fracción conforme a la Ley Orgánica de la Administración </w:t>
      </w:r>
      <w:proofErr w:type="spellStart"/>
      <w:r w:rsidRPr="008B00EB">
        <w:rPr>
          <w:rFonts w:ascii="Calibri" w:eastAsia="Times New Roman" w:hAnsi="Calibri" w:cs="Calibri"/>
          <w:color w:val="000000"/>
          <w:sz w:val="44"/>
          <w:szCs w:val="22"/>
          <w:lang w:val="es-MX" w:eastAsia="es-MX"/>
        </w:rPr>
        <w:t>Publica</w:t>
      </w:r>
      <w:proofErr w:type="spellEnd"/>
      <w:r w:rsidRPr="008B00EB">
        <w:rPr>
          <w:rFonts w:ascii="Calibri" w:eastAsia="Times New Roman" w:hAnsi="Calibri" w:cs="Calibri"/>
          <w:color w:val="000000"/>
          <w:sz w:val="44"/>
          <w:szCs w:val="22"/>
          <w:lang w:val="es-MX" w:eastAsia="es-MX"/>
        </w:rPr>
        <w:t xml:space="preserve"> del Estado de San Luis Potosí  en el artículo 33 a  la Secretaria de Finanzas. Asimism</w:t>
      </w:r>
      <w:bookmarkStart w:id="0" w:name="_GoBack"/>
      <w:bookmarkEnd w:id="0"/>
      <w:r w:rsidRPr="008B00EB">
        <w:rPr>
          <w:rFonts w:ascii="Calibri" w:eastAsia="Times New Roman" w:hAnsi="Calibri" w:cs="Calibri"/>
          <w:color w:val="000000"/>
          <w:sz w:val="44"/>
          <w:szCs w:val="22"/>
          <w:lang w:val="es-MX" w:eastAsia="es-MX"/>
        </w:rPr>
        <w:t xml:space="preserve">o el  artículo 23 de la Ley de Atención y Apoyo a Migrantes el Estado de San Luis Potos; el Instituto en todo momento queda sujeto a las reglas de presupuesto, contabilidad y gasto Público a la Administración </w:t>
      </w:r>
      <w:proofErr w:type="gramStart"/>
      <w:r w:rsidRPr="008B00EB">
        <w:rPr>
          <w:rFonts w:ascii="Calibri" w:eastAsia="Times New Roman" w:hAnsi="Calibri" w:cs="Calibri"/>
          <w:color w:val="000000"/>
          <w:sz w:val="44"/>
          <w:szCs w:val="22"/>
          <w:lang w:val="es-MX" w:eastAsia="es-MX"/>
        </w:rPr>
        <w:t>Publica</w:t>
      </w:r>
      <w:proofErr w:type="gramEnd"/>
      <w:r w:rsidRPr="008B00EB">
        <w:rPr>
          <w:rFonts w:ascii="Calibri" w:eastAsia="Times New Roman" w:hAnsi="Calibri" w:cs="Calibri"/>
          <w:color w:val="000000"/>
          <w:sz w:val="44"/>
          <w:szCs w:val="22"/>
          <w:lang w:val="es-MX" w:eastAsia="es-MX"/>
        </w:rPr>
        <w:t>.</w:t>
      </w:r>
    </w:p>
    <w:p w:rsidR="002050F2" w:rsidRDefault="002050F2"/>
    <w:sectPr w:rsidR="002050F2" w:rsidSect="000E677F">
      <w:headerReference w:type="default" r:id="rId5"/>
      <w:footerReference w:type="default" r:id="rId6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1535" w:rsidRPr="00701A9D" w:rsidRDefault="006C0732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CC41D1" wp14:editId="3405A3D4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1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A1535" w:rsidRPr="00FA1485" w:rsidRDefault="006C0732" w:rsidP="000E677F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K0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SOyOrDCAikE8aL1EJrUGJchdmsQ7dsv0AaDULAzG+A/HEKSG0xn4BAdMK20dfhiuQQNkYfTpfcY&#10;gH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g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VoGK0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DA1535" w:rsidRPr="00FA1485" w:rsidRDefault="006C0732" w:rsidP="000E677F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0288" behindDoc="1" locked="0" layoutInCell="1" allowOverlap="1" wp14:anchorId="576AB8A2" wp14:editId="3439F6AB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DA1535" w:rsidRPr="001C371F" w:rsidRDefault="006C0732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DA1535" w:rsidRPr="001C371F" w:rsidRDefault="006C0732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DA1535" w:rsidRPr="001C371F" w:rsidRDefault="006C0732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DA1535" w:rsidRPr="001C371F" w:rsidRDefault="006C0732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DA1535" w:rsidRPr="001C371F" w:rsidRDefault="006C0732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1535" w:rsidRPr="001F4631" w:rsidRDefault="006C0732" w:rsidP="000E677F">
    <w:pPr>
      <w:pStyle w:val="Encabezado"/>
      <w:ind w:left="-284" w:right="-142"/>
      <w:jc w:val="both"/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039551CD" wp14:editId="126FE996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3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6A60D73D" wp14:editId="202E1E65">
          <wp:extent cx="834813" cy="1133475"/>
          <wp:effectExtent l="0" t="0" r="3810" b="0"/>
          <wp:docPr id="1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0EB"/>
    <w:rsid w:val="002050F2"/>
    <w:rsid w:val="006C0732"/>
    <w:rsid w:val="008B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0EB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B00E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8B00E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B00EB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8B00E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B00EB"/>
    <w:rPr>
      <w:rFonts w:eastAsiaTheme="minorEastAsia"/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0E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0EB"/>
    <w:rPr>
      <w:rFonts w:ascii="Tahoma" w:eastAsiaTheme="minorEastAsia" w:hAnsi="Tahoma" w:cs="Tahoma"/>
      <w:sz w:val="16"/>
      <w:szCs w:val="16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0EB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B00E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8B00E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B00EB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8B00E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B00EB"/>
    <w:rPr>
      <w:rFonts w:eastAsiaTheme="minorEastAsia"/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0E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0EB"/>
    <w:rPr>
      <w:rFonts w:ascii="Tahoma" w:eastAsiaTheme="minorEastAsi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Oziel ...</dc:creator>
  <cp:lastModifiedBy>Oziel ...</cp:lastModifiedBy>
  <cp:revision>2</cp:revision>
  <dcterms:created xsi:type="dcterms:W3CDTF">2020-11-10T19:54:00Z</dcterms:created>
  <dcterms:modified xsi:type="dcterms:W3CDTF">2020-11-10T19:56:00Z</dcterms:modified>
</cp:coreProperties>
</file>