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848" w:rsidRPr="00FA0848" w:rsidRDefault="00FA0848" w:rsidP="00FA0848">
      <w:pPr>
        <w:jc w:val="center"/>
        <w:rPr>
          <w:rFonts w:ascii="Arial" w:hAnsi="Arial" w:cs="Arial"/>
          <w:b/>
          <w:bCs/>
          <w:sz w:val="24"/>
          <w:szCs w:val="24"/>
        </w:rPr>
      </w:pPr>
      <w:r w:rsidRPr="00FA0848">
        <w:rPr>
          <w:rFonts w:ascii="Arial" w:hAnsi="Arial" w:cs="Arial"/>
          <w:b/>
          <w:bCs/>
          <w:sz w:val="24"/>
          <w:szCs w:val="24"/>
        </w:rPr>
        <w:t>ESTATUTOS</w:t>
      </w:r>
    </w:p>
    <w:p w:rsidR="00FA0848" w:rsidRPr="00FA0848" w:rsidRDefault="00FA0848" w:rsidP="00FA0848">
      <w:pPr>
        <w:jc w:val="both"/>
        <w:rPr>
          <w:rFonts w:ascii="Arial" w:hAnsi="Arial" w:cs="Arial"/>
          <w:b/>
          <w:bCs/>
          <w:sz w:val="24"/>
          <w:szCs w:val="24"/>
        </w:rPr>
      </w:pPr>
      <w:r w:rsidRPr="00FA0848">
        <w:rPr>
          <w:rFonts w:ascii="Arial" w:hAnsi="Arial" w:cs="Arial"/>
          <w:b/>
          <w:bCs/>
          <w:sz w:val="24"/>
          <w:szCs w:val="24"/>
        </w:rPr>
        <w:t>MODIFICACIÓN A LOS ESTATUTOS APROBADOS EN LA LI SESIÓN EXTRAORDINARIA DEL CONSEJO POLITICO NACIONAL CELEBRADA EL 3 DE AGOSTO DE 2020. APROBADOS POR EL CONSEJO GENERAL DEL INSTITUTO NACIONAL ELECTORAL, EL 4 DE SEPTIEMBRE DE 2020. RESOLUCIÓN INE/CG280/2020. PUBLICADOS EN EL DIARIO OFICIAL DE LA FEDERACIÓN 18 SEPTIEMBRE DE 2020</w:t>
      </w:r>
    </w:p>
    <w:p w:rsidR="00120F6F" w:rsidRPr="00FA0848" w:rsidRDefault="00120F6F" w:rsidP="00FA0848">
      <w:pPr>
        <w:jc w:val="both"/>
        <w:rPr>
          <w:rFonts w:ascii="Arial" w:hAnsi="Arial" w:cs="Arial"/>
          <w:sz w:val="24"/>
          <w:szCs w:val="24"/>
        </w:rPr>
      </w:pPr>
    </w:p>
    <w:p w:rsidR="00FA0848" w:rsidRPr="00FA0848" w:rsidRDefault="009E6A8A" w:rsidP="009E6A8A">
      <w:pPr>
        <w:jc w:val="both"/>
        <w:rPr>
          <w:rFonts w:ascii="Arial" w:hAnsi="Arial" w:cs="Arial"/>
          <w:sz w:val="24"/>
          <w:szCs w:val="24"/>
        </w:rPr>
      </w:pPr>
      <w:r w:rsidRPr="009E6A8A">
        <w:rPr>
          <w:rFonts w:ascii="Arial" w:hAnsi="Arial" w:cs="Arial"/>
          <w:sz w:val="24"/>
          <w:szCs w:val="24"/>
        </w:rPr>
        <w:t xml:space="preserve">Artículo 89. La persona titular de la </w:t>
      </w:r>
      <w:bookmarkStart w:id="0" w:name="_GoBack"/>
      <w:r w:rsidRPr="009E6A8A">
        <w:rPr>
          <w:rFonts w:ascii="Arial" w:hAnsi="Arial" w:cs="Arial"/>
          <w:b/>
          <w:sz w:val="24"/>
          <w:szCs w:val="24"/>
        </w:rPr>
        <w:t>Presidencia</w:t>
      </w:r>
      <w:bookmarkEnd w:id="0"/>
      <w:r w:rsidRPr="009E6A8A">
        <w:rPr>
          <w:rFonts w:ascii="Arial" w:hAnsi="Arial" w:cs="Arial"/>
          <w:sz w:val="24"/>
          <w:szCs w:val="24"/>
        </w:rPr>
        <w:t xml:space="preserve"> del Comité Ejecutivo Nacional tendrá las facultades siguientes: 47 I. Convocar al Comité Ejecutivo Nacional, presidir sus sesiones, ejecutar y suscribir sus acuerdos; II. Analizar y decidir sobre las cuestiones políticas y organizativas relevantes del Partido; III. Mantener con las coordinaciones legislativas una permanente comunicación, a fin de que sus acciones se ajusten a las normas y principios contenidos en los Documentos Básicos; IV. Designar a las personas titulares de las Secretarías del Comité Ejecutivo Nacional y crear las secretarías, coordinaciones, delegaciones generales y especiales, órganos o departamentos administrativos necesarios para el mejor cumplimiento de sus atribuciones y atender a los grupos de representación social y grupos en situación de vulnerabilidad, dando cuenta al Consejo Político Nacional. En las designaciones de las personas titulares de las dependencias y órganos del Comité Ejecutivo Nacional, se garantizará el principio de paridad de género; V. Expedir y firmar con la persona titular de la Secretaría General los nombramientos que acuerde el Comité Ejecutivo Nacional, así como los de las personas titulares de los órganos administrativos; VI. Presentar al Consejo Político Nacional el programa anual de trabajo del Comité Ejecutivo Nacional; VII. Rendir al Consejo Político Nacional un informe semestral de actividades, que contendrá un apartado sobre el origen y aplicación de los recursos financieros del Partido; VIII. Designar a las comisionadas y los comisionados, así como a representantes del Partido ante los organismos políticos electorales que correspondan y autorizar la realización de esas designaciones a los Comités Directivos de las entidades federativas, cuando proceda; IX. Suscribir convenios para formar frentes, coaliciones y candidaturas comunes con otros Partidos, con apego a las leyes de la materia, previa aprobación del Consejo Político Nacional; X. Ejercer, por sí mismo o por conducto de quien autorice mediante poder notarial, el registro de las candidatas y los candidatos del Partido a cargos de elección popular federales, estatales, municipales y de las demarcaciones territoriales en el caso de la Ciudad de México ante los organismos electorales que sean competentes, en los plazos y términos previstos por la ley que resulte aplicable. 48 XI. Proponer a la Comisión de Presupuesto y Fiscalización, para su dictamen correspondiente, el proyecto del presupuesto anual del Partido, así como crear los instrumentos jurídicos y técnicos para consolidar su situación financiera; XII. Ejercer, el derecho de atracción como facultad exclusiva de la persona titular de la presidencia, en los casos de crisis, que se susciten en las </w:t>
      </w:r>
      <w:r w:rsidRPr="009E6A8A">
        <w:rPr>
          <w:rFonts w:ascii="Arial" w:hAnsi="Arial" w:cs="Arial"/>
          <w:sz w:val="24"/>
          <w:szCs w:val="24"/>
        </w:rPr>
        <w:lastRenderedPageBreak/>
        <w:t xml:space="preserve">diversas áreas de la estructura operativa del partido, y que reclamen soluciones con urgencia, eficacia y eficiencia, concentrando los expedientes o documentos relativos, al asunto en cuestión, en las oficinas de quien designe la persona titular de la presidencia del Comité Ejecutivo Nacional, para procurar la debida solución en términos de lo dispuesto en el Reglamento de esta materia y a la práctica de las buenas costumbres en aras de restablecer el orden y desarrollo operativo alterado; XIII. Representar al Partido ante personas físicas y morales, ante toda clase de tribunales, autoridades e instituciones, con todas las facultades de Apoderado General para pleitos y cobranzas, para actos de administración y actos de dominio, incluyendo las facultades especiales, que conforme a la ley, requieran cláusula especial, con la única limitación de que, para enajenar o gravar inmuebles del Partido, requerirá del acuerdo expreso del Consejo Político Nacional, pudiendo sustituir el mandato, en todo o en parte. Podrá, así mismo otorgar mandatos especiales y revocar los que se hubieren otorgado y determinar las sustituciones teniendo facultades para celebrar convenios y firmar títulos y obligaciones de crédito, en los términos del artículo 9º de la Ley General de Títulos y Operaciones de Crédito; XIV. Proponer a la Asamblea General de la Fundación Colosio A. C., a la persona titular de la Presidencia de su Consejo Directivo, en las condiciones y términos que establecen sus propios Estatutos; XV. Realizar las certificaciones de los documentos privados, archivo, actas, acuerdos, resoluciones, declaraciones y demás actos relacionados con las actividades ordinarias del Partido, fuera de las realizadas en los procesos electorales; XVI. Ocurrir en representación del Partido para promover la acción de inconstitucionalidad referida en el artículo 105, fracción II, inciso f, de la Constitución Política de los Estados Unidos Mexicanos, cuando se trate de plantear una posible contradicción entre una norma de carácter general y la propia Constitución; XVII. Delegar las atribuciones que estime conveniente a los y las demás integrantes del Comité Ejecutivo Nacional; XVIII. Proponer a la Asamblea General del Instituto de Formación Política Jesús Reyes Heroles A.C., a la persona titular de la Presidencia de su Consejo Directivo, en los términos que establecen sus Estatutos; 49 XIX. Proponer a la Asamblea General del Movimiento PRI.mx, A.C., a la persona titular de la Presidencia de su Consejo Directivo, en los términos que establecen sus Estatutos; XX. Ordenar la publicación de las normas que emitan las autoridades competentes del Partido, en el órgano oficial de difusión; XXI. Proveer lo conducente a fin de dar cumplimiento a la normatividad que en materia de transparencia y acceso a la información pública establece la ley; XXII. Determinar lo necesario para el ejercicio de las atribuciones en materia de radio y televisión, considerando a los Comités Directivos de las entidades federativas en la producción y creatividad de sus mensajes y en los criterios para la distribución de los tiempos asignados en esta materia; XXIII. Expedir o autorizar se expidan las convocatorias para la postulación de candidaturas a cargos de elección popular, conforme a lo dispuesto por el artículo 210 de los presentes Estatutos; XXIV. Suscribir la solicitud al Instituto Nacional Electoral para la organización de la elección de dirigentes nacionales y locales, así como el Convenio General que al efecto celebre con la autoridad electoral; XXV. Presentar al Instituto Nacional Electoral las plataformas </w:t>
      </w:r>
      <w:r w:rsidRPr="009E6A8A">
        <w:rPr>
          <w:rFonts w:ascii="Arial" w:hAnsi="Arial" w:cs="Arial"/>
          <w:sz w:val="24"/>
          <w:szCs w:val="24"/>
        </w:rPr>
        <w:lastRenderedPageBreak/>
        <w:t>electorales que apruebe el Consejo Político Nacional para cada elección federal en que participe el Partido; XXVI. Conocer, analizar, formular recomendaciones, en su caso, y determinar la posición del partido para la celebración de convenios de coalición, frentes de gobierno por parte de sus Grupos Parlamentarios en el ámbito federal o de las entidades federativas; XXVII. Designar, con la ratificación del Consejo Político Nacional, a quienes integrarán la Comisión Nacional de Ética Partidaria; y XXVIII. Las demás que le confieran los Estatutos.</w:t>
      </w:r>
    </w:p>
    <w:sectPr w:rsidR="00FA0848" w:rsidRPr="00FA084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848"/>
    <w:rsid w:val="00120F6F"/>
    <w:rsid w:val="00135C82"/>
    <w:rsid w:val="002A274B"/>
    <w:rsid w:val="009D4AF9"/>
    <w:rsid w:val="009E6A8A"/>
    <w:rsid w:val="00C4025F"/>
    <w:rsid w:val="00D84827"/>
    <w:rsid w:val="00F52018"/>
    <w:rsid w:val="00FA084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6C2938-D306-4C92-B5FF-90FB1A74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848"/>
    <w:pPr>
      <w:spacing w:line="25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522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1118</Words>
  <Characters>6152</Characters>
  <Application>Microsoft Office Word</Application>
  <DocSecurity>0</DocSecurity>
  <Lines>51</Lines>
  <Paragraphs>14</Paragraphs>
  <ScaleCrop>false</ScaleCrop>
  <Company/>
  <LinksUpToDate>false</LinksUpToDate>
  <CharactersWithSpaces>7256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2021-09-28T18:03:00Z</dcterms:created>
  <dcterms:modified xsi:type="dcterms:W3CDTF">2021-09-28T18:03:00Z</dcterms:modified>
</cp:coreProperties>
</file>