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733" w:rsidRPr="006D4733" w:rsidRDefault="006D4733" w:rsidP="006D47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31F20"/>
          <w:sz w:val="18"/>
          <w:szCs w:val="18"/>
          <w:u w:val="single"/>
        </w:rPr>
      </w:pPr>
      <w:r w:rsidRPr="006D4733">
        <w:rPr>
          <w:rFonts w:ascii="Arial" w:hAnsi="Arial" w:cs="Arial"/>
          <w:b/>
          <w:bCs/>
          <w:color w:val="231F20"/>
          <w:sz w:val="18"/>
          <w:szCs w:val="18"/>
          <w:u w:val="single"/>
        </w:rPr>
        <w:t>CATASTRO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</w:rPr>
      </w:pP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</w:rPr>
      </w:pP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231F20"/>
          <w:sz w:val="18"/>
          <w:szCs w:val="18"/>
        </w:rPr>
      </w:pP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ARTÍCULO 6°. </w:t>
      </w:r>
      <w:r>
        <w:rPr>
          <w:rFonts w:ascii="Arial" w:hAnsi="Arial" w:cs="Arial"/>
          <w:color w:val="231F20"/>
          <w:sz w:val="18"/>
          <w:szCs w:val="18"/>
        </w:rPr>
        <w:t>El impuesto predial se calculará aplicando la tasa que corresponda de acuerdo al</w:t>
      </w:r>
      <w:r>
        <w:rPr>
          <w:rFonts w:ascii="Arial" w:hAnsi="Arial" w:cs="Arial"/>
          <w:color w:val="231F20"/>
          <w:sz w:val="18"/>
          <w:szCs w:val="18"/>
        </w:rPr>
        <w:t xml:space="preserve"> tipo de predio y sobre la base </w:t>
      </w:r>
      <w:r>
        <w:rPr>
          <w:rFonts w:ascii="Arial" w:hAnsi="Arial" w:cs="Arial"/>
          <w:color w:val="231F20"/>
          <w:sz w:val="18"/>
          <w:szCs w:val="18"/>
        </w:rPr>
        <w:t>gravable que señala la Ley de Hacienda para los Municipios de San Luis Potosí, conforme a lo siguiente: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</w:rPr>
        <w:t>Municipio de Matehuala, S.L.P.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</w:rPr>
        <w:t>Iniciativa de Ley de Ingresos para el Ejercic</w:t>
      </w:r>
      <w:r>
        <w:rPr>
          <w:rFonts w:ascii="Arial" w:hAnsi="Arial" w:cs="Arial"/>
          <w:b/>
          <w:bCs/>
          <w:color w:val="000000"/>
          <w:sz w:val="18"/>
          <w:szCs w:val="18"/>
        </w:rPr>
        <w:t xml:space="preserve">io Fiscal 2020 Ingreso Estimado Total </w:t>
      </w:r>
      <w:r>
        <w:rPr>
          <w:rFonts w:ascii="Arial" w:hAnsi="Arial" w:cs="Arial"/>
          <w:b/>
          <w:bCs/>
          <w:color w:val="000000"/>
          <w:sz w:val="18"/>
          <w:szCs w:val="18"/>
        </w:rPr>
        <w:t>$308</w:t>
      </w:r>
      <w:proofErr w:type="gramStart"/>
      <w:r>
        <w:rPr>
          <w:rFonts w:ascii="Arial" w:hAnsi="Arial" w:cs="Arial"/>
          <w:b/>
          <w:bCs/>
          <w:color w:val="000000"/>
          <w:sz w:val="18"/>
          <w:szCs w:val="18"/>
        </w:rPr>
        <w:t>,728,996.18</w:t>
      </w:r>
      <w:proofErr w:type="gramEnd"/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</w:rPr>
        <w:t>1 Impuestos $17</w:t>
      </w:r>
      <w:proofErr w:type="gramStart"/>
      <w:r>
        <w:rPr>
          <w:rFonts w:ascii="Arial" w:hAnsi="Arial" w:cs="Arial"/>
          <w:b/>
          <w:bCs/>
          <w:color w:val="000000"/>
          <w:sz w:val="18"/>
          <w:szCs w:val="18"/>
        </w:rPr>
        <w:t>,243,834.28</w:t>
      </w:r>
      <w:proofErr w:type="gramEnd"/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11 Impuestos sobre los ingresos $792.00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12 Impuestos sobre el patrimonio $13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,105,660.58</w:t>
      </w:r>
      <w:proofErr w:type="gramEnd"/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17 Accesorios $4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,137,381.70</w:t>
      </w:r>
      <w:proofErr w:type="gramEnd"/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</w:rPr>
        <w:t>3 Contribuciones de Mejoras $63,181.63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31 Contribuciones de Mejoras por Obras Públicas $63,181.63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</w:rPr>
        <w:t>4 Derechos $17</w:t>
      </w:r>
      <w:proofErr w:type="gramStart"/>
      <w:r>
        <w:rPr>
          <w:rFonts w:ascii="Arial" w:hAnsi="Arial" w:cs="Arial"/>
          <w:b/>
          <w:bCs/>
          <w:color w:val="000000"/>
          <w:sz w:val="18"/>
          <w:szCs w:val="18"/>
        </w:rPr>
        <w:t>,892,734.97</w:t>
      </w:r>
      <w:proofErr w:type="gramEnd"/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43 Derechos por prestación de servicios $16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,173,587.79</w:t>
      </w:r>
      <w:proofErr w:type="gramEnd"/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44 Otros Derechos $1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,719,147.18</w:t>
      </w:r>
      <w:proofErr w:type="gramEnd"/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</w:rPr>
        <w:t>5 Productos $65,337.76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51 Productos de tipo corriente $65,337.76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</w:rPr>
        <w:t>6 Aprovechamientos $6</w:t>
      </w:r>
      <w:proofErr w:type="gramStart"/>
      <w:r>
        <w:rPr>
          <w:rFonts w:ascii="Arial" w:hAnsi="Arial" w:cs="Arial"/>
          <w:b/>
          <w:bCs/>
          <w:color w:val="000000"/>
          <w:sz w:val="18"/>
          <w:szCs w:val="18"/>
        </w:rPr>
        <w:t>,020,950.50</w:t>
      </w:r>
      <w:proofErr w:type="gramEnd"/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61 Aprovechamientos de tipo corriente $6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,020,950.50</w:t>
      </w:r>
      <w:proofErr w:type="gramEnd"/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</w:rPr>
        <w:t>8 Participaciones y Aportaciones $267</w:t>
      </w:r>
      <w:proofErr w:type="gramStart"/>
      <w:r>
        <w:rPr>
          <w:rFonts w:ascii="Arial" w:hAnsi="Arial" w:cs="Arial"/>
          <w:b/>
          <w:bCs/>
          <w:color w:val="000000"/>
          <w:sz w:val="18"/>
          <w:szCs w:val="18"/>
        </w:rPr>
        <w:t>,442,957.04</w:t>
      </w:r>
      <w:proofErr w:type="gramEnd"/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81 Participaciones $141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,800,889.75</w:t>
      </w:r>
      <w:proofErr w:type="gramEnd"/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82 Aportaciones $106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,446,149.55</w:t>
      </w:r>
      <w:proofErr w:type="gramEnd"/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83 Convenios $17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,492,022.80</w:t>
      </w:r>
      <w:proofErr w:type="gramEnd"/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84 Incentivos Derivados de la Colaboración Fiscal $1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,703,894.94</w:t>
      </w:r>
      <w:proofErr w:type="gramEnd"/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MARTES 31 DE </w:t>
      </w:r>
      <w:r>
        <w:rPr>
          <w:rFonts w:ascii="Arial" w:hAnsi="Arial" w:cs="Arial"/>
          <w:b/>
          <w:bCs/>
          <w:color w:val="000000"/>
          <w:sz w:val="18"/>
          <w:szCs w:val="18"/>
        </w:rPr>
        <w:t xml:space="preserve">6 </w:t>
      </w:r>
      <w:r>
        <w:rPr>
          <w:rFonts w:ascii="Arial" w:hAnsi="Arial" w:cs="Arial"/>
          <w:color w:val="000000"/>
          <w:sz w:val="16"/>
          <w:szCs w:val="16"/>
        </w:rPr>
        <w:t>DICIEMBRE DEL 2019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Para predios urbanos, suburbanos y rústicos, según el caso, se observarán las siguientes tasas y tarifas:</w:t>
      </w:r>
    </w:p>
    <w:p w:rsidR="006D4733" w:rsidRP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I. </w:t>
      </w:r>
      <w:r>
        <w:rPr>
          <w:rFonts w:ascii="Arial" w:hAnsi="Arial" w:cs="Arial"/>
          <w:color w:val="231F20"/>
          <w:sz w:val="18"/>
          <w:szCs w:val="18"/>
        </w:rPr>
        <w:t xml:space="preserve">No causarán el impuesto, previa autorización del cabildo, los predios rústicos cuando por </w:t>
      </w:r>
      <w:r>
        <w:rPr>
          <w:rFonts w:ascii="Arial" w:hAnsi="Arial" w:cs="Arial"/>
          <w:color w:val="231F20"/>
          <w:sz w:val="18"/>
          <w:szCs w:val="18"/>
        </w:rPr>
        <w:t xml:space="preserve">factores climatológicos y otros </w:t>
      </w:r>
      <w:r>
        <w:rPr>
          <w:rFonts w:ascii="Arial" w:hAnsi="Arial" w:cs="Arial"/>
          <w:color w:val="231F20"/>
          <w:sz w:val="18"/>
          <w:szCs w:val="18"/>
        </w:rPr>
        <w:t xml:space="preserve">ajenos a la voluntad de los productores, se haya originado la pérdida total de la producción </w:t>
      </w:r>
      <w:r>
        <w:rPr>
          <w:rFonts w:ascii="Arial" w:hAnsi="Arial" w:cs="Arial"/>
          <w:b/>
          <w:bCs/>
          <w:color w:val="231F20"/>
          <w:sz w:val="18"/>
          <w:szCs w:val="18"/>
        </w:rPr>
        <w:t>agrícola</w:t>
      </w:r>
      <w:r>
        <w:rPr>
          <w:rFonts w:ascii="Times New Roman" w:hAnsi="Times New Roman" w:cs="Times New Roman"/>
          <w:color w:val="231F20"/>
          <w:sz w:val="18"/>
          <w:szCs w:val="18"/>
        </w:rPr>
        <w:t>.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Cuando los propietarios o poseedores de predios urbanos, suburbanos o rústicos no los t</w:t>
      </w:r>
      <w:r>
        <w:rPr>
          <w:rFonts w:ascii="Arial" w:hAnsi="Arial" w:cs="Arial"/>
          <w:color w:val="231F20"/>
          <w:sz w:val="18"/>
          <w:szCs w:val="18"/>
        </w:rPr>
        <w:t xml:space="preserve">engan empadronados, se apegarán </w:t>
      </w:r>
      <w:r>
        <w:rPr>
          <w:rFonts w:ascii="Arial" w:hAnsi="Arial" w:cs="Arial"/>
          <w:color w:val="231F20"/>
          <w:sz w:val="18"/>
          <w:szCs w:val="18"/>
        </w:rPr>
        <w:t>a lo que establece la Ley de Hacienda para los Municipios de San Luis Potosí.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 xml:space="preserve">En todo caso, el importe mínimo a pagar por el impuesto predial nunca será inferior a la suma que resulte de, </w:t>
      </w:r>
      <w:r>
        <w:rPr>
          <w:rFonts w:ascii="Arial" w:hAnsi="Arial" w:cs="Arial"/>
          <w:b/>
          <w:bCs/>
          <w:color w:val="231F20"/>
          <w:sz w:val="18"/>
          <w:szCs w:val="18"/>
        </w:rPr>
        <w:t>4.0 UMA</w:t>
      </w:r>
      <w:r>
        <w:rPr>
          <w:rFonts w:ascii="Arial" w:hAnsi="Arial" w:cs="Arial"/>
          <w:color w:val="231F20"/>
          <w:sz w:val="18"/>
          <w:szCs w:val="18"/>
        </w:rPr>
        <w:t xml:space="preserve">, y su </w:t>
      </w:r>
      <w:r>
        <w:rPr>
          <w:rFonts w:ascii="Arial" w:hAnsi="Arial" w:cs="Arial"/>
          <w:color w:val="231F20"/>
          <w:sz w:val="18"/>
          <w:szCs w:val="18"/>
        </w:rPr>
        <w:t>pago se hará en una exhibición.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ARTÍCULO 7°. </w:t>
      </w:r>
      <w:r>
        <w:rPr>
          <w:rFonts w:ascii="Arial" w:hAnsi="Arial" w:cs="Arial"/>
          <w:color w:val="231F20"/>
          <w:sz w:val="18"/>
          <w:szCs w:val="18"/>
        </w:rPr>
        <w:t>Tratándose de personas de 60 años y de más edad que pertenezcan al INAPAM, discapacitad</w:t>
      </w:r>
      <w:r>
        <w:rPr>
          <w:rFonts w:ascii="Arial" w:hAnsi="Arial" w:cs="Arial"/>
          <w:color w:val="231F20"/>
          <w:sz w:val="18"/>
          <w:szCs w:val="18"/>
        </w:rPr>
        <w:t xml:space="preserve">os, indígenas, así </w:t>
      </w:r>
      <w:r>
        <w:rPr>
          <w:rFonts w:ascii="Arial" w:hAnsi="Arial" w:cs="Arial"/>
          <w:color w:val="231F20"/>
          <w:sz w:val="18"/>
          <w:szCs w:val="18"/>
        </w:rPr>
        <w:t xml:space="preserve">como jubilados y pensionados, previa identificación, cubrirán el </w:t>
      </w: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25% </w:t>
      </w:r>
      <w:r>
        <w:rPr>
          <w:rFonts w:ascii="Arial" w:hAnsi="Arial" w:cs="Arial"/>
          <w:color w:val="231F20"/>
          <w:sz w:val="18"/>
          <w:szCs w:val="18"/>
        </w:rPr>
        <w:t xml:space="preserve">del impuesto predial de </w:t>
      </w:r>
      <w:r>
        <w:rPr>
          <w:rFonts w:ascii="Arial" w:hAnsi="Arial" w:cs="Arial"/>
          <w:color w:val="231F20"/>
          <w:sz w:val="18"/>
          <w:szCs w:val="18"/>
        </w:rPr>
        <w:t xml:space="preserve">su casa habitación. Se exentará </w:t>
      </w:r>
      <w:r>
        <w:rPr>
          <w:rFonts w:ascii="Arial" w:hAnsi="Arial" w:cs="Arial"/>
          <w:color w:val="231F20"/>
          <w:sz w:val="18"/>
          <w:szCs w:val="18"/>
        </w:rPr>
        <w:t>del 100% del total del pago predial a las personas que demuestren invalides total permanente.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ARTÍCULO 8°. </w:t>
      </w:r>
      <w:r>
        <w:rPr>
          <w:rFonts w:ascii="Arial" w:hAnsi="Arial" w:cs="Arial"/>
          <w:color w:val="231F20"/>
          <w:sz w:val="18"/>
          <w:szCs w:val="18"/>
        </w:rPr>
        <w:t>Estímulos a contribuyentes con las siguientes características: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1.- </w:t>
      </w:r>
      <w:r>
        <w:rPr>
          <w:rFonts w:ascii="Arial" w:hAnsi="Arial" w:cs="Arial"/>
          <w:color w:val="231F20"/>
          <w:sz w:val="18"/>
          <w:szCs w:val="18"/>
        </w:rPr>
        <w:t>Los contribuyentes de predios rústicos de propiedad privada en el impuesto predial qu</w:t>
      </w:r>
      <w:r>
        <w:rPr>
          <w:rFonts w:ascii="Arial" w:hAnsi="Arial" w:cs="Arial"/>
          <w:color w:val="231F20"/>
          <w:sz w:val="18"/>
          <w:szCs w:val="18"/>
        </w:rPr>
        <w:t xml:space="preserve">e tributen en tarifas mínimas y </w:t>
      </w:r>
      <w:r>
        <w:rPr>
          <w:rFonts w:ascii="Arial" w:hAnsi="Arial" w:cs="Arial"/>
          <w:color w:val="231F20"/>
          <w:sz w:val="18"/>
          <w:szCs w:val="18"/>
        </w:rPr>
        <w:t>paguen en los tres primeros meses del año, se les establece un estímulo fiscal, mis</w:t>
      </w:r>
      <w:r>
        <w:rPr>
          <w:rFonts w:ascii="Arial" w:hAnsi="Arial" w:cs="Arial"/>
          <w:color w:val="231F20"/>
          <w:sz w:val="18"/>
          <w:szCs w:val="18"/>
        </w:rPr>
        <w:t xml:space="preserve">mo que se aplicará de la manera </w:t>
      </w:r>
      <w:r>
        <w:rPr>
          <w:rFonts w:ascii="Arial" w:hAnsi="Arial" w:cs="Arial"/>
          <w:color w:val="231F20"/>
          <w:sz w:val="18"/>
          <w:szCs w:val="18"/>
        </w:rPr>
        <w:t>siguiente: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2.- </w:t>
      </w:r>
      <w:r>
        <w:rPr>
          <w:rFonts w:ascii="Arial" w:hAnsi="Arial" w:cs="Arial"/>
          <w:color w:val="231F20"/>
          <w:sz w:val="18"/>
          <w:szCs w:val="18"/>
        </w:rPr>
        <w:t>Los contribuyentes que cuenten con título de propiedad de solar urbano que se encuent</w:t>
      </w:r>
      <w:r>
        <w:rPr>
          <w:rFonts w:ascii="Arial" w:hAnsi="Arial" w:cs="Arial"/>
          <w:color w:val="231F20"/>
          <w:sz w:val="18"/>
          <w:szCs w:val="18"/>
        </w:rPr>
        <w:t xml:space="preserve">re al corriente en el ejercicio </w:t>
      </w:r>
      <w:r>
        <w:rPr>
          <w:rFonts w:ascii="Arial" w:hAnsi="Arial" w:cs="Arial"/>
          <w:color w:val="231F20"/>
          <w:sz w:val="18"/>
          <w:szCs w:val="18"/>
        </w:rPr>
        <w:t>correspondiente, se les establecerá un estímulo fiscal, miso que se aplicara de la siguiente manera: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a) </w:t>
      </w:r>
      <w:r>
        <w:rPr>
          <w:rFonts w:ascii="Arial" w:hAnsi="Arial" w:cs="Arial"/>
          <w:color w:val="231F20"/>
          <w:sz w:val="18"/>
          <w:szCs w:val="18"/>
        </w:rPr>
        <w:t xml:space="preserve">Los solares urbanos que se encuentren fuera de la mancha urbana y su periferia pagaran </w:t>
      </w:r>
      <w:r>
        <w:rPr>
          <w:rFonts w:ascii="Arial" w:hAnsi="Arial" w:cs="Arial"/>
          <w:b/>
          <w:bCs/>
          <w:color w:val="231F20"/>
          <w:sz w:val="18"/>
          <w:szCs w:val="18"/>
        </w:rPr>
        <w:t>2.00 UMA.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b) </w:t>
      </w:r>
      <w:r>
        <w:rPr>
          <w:rFonts w:ascii="Arial" w:hAnsi="Arial" w:cs="Arial"/>
          <w:color w:val="231F20"/>
          <w:sz w:val="18"/>
          <w:szCs w:val="18"/>
        </w:rPr>
        <w:t xml:space="preserve">Los solares que se encuentren en la periferia y dentro del radio del </w:t>
      </w:r>
      <w:r>
        <w:rPr>
          <w:rFonts w:ascii="Arial" w:hAnsi="Arial" w:cs="Arial"/>
          <w:color w:val="231F20"/>
          <w:sz w:val="18"/>
          <w:szCs w:val="18"/>
        </w:rPr>
        <w:t xml:space="preserve">Plan de Desarrollo Urbano y que tributen en la tarifa </w:t>
      </w:r>
      <w:r>
        <w:rPr>
          <w:rFonts w:ascii="Arial" w:hAnsi="Arial" w:cs="Arial"/>
          <w:color w:val="231F20"/>
          <w:sz w:val="18"/>
          <w:szCs w:val="18"/>
        </w:rPr>
        <w:t xml:space="preserve">mínima pagaran </w:t>
      </w:r>
      <w:r>
        <w:rPr>
          <w:rFonts w:ascii="Arial" w:hAnsi="Arial" w:cs="Arial"/>
          <w:b/>
          <w:bCs/>
          <w:color w:val="231F20"/>
          <w:sz w:val="18"/>
          <w:szCs w:val="18"/>
        </w:rPr>
        <w:t>3.00 UMA</w:t>
      </w:r>
      <w:r>
        <w:rPr>
          <w:rFonts w:ascii="Arial" w:hAnsi="Arial" w:cs="Arial"/>
          <w:color w:val="231F20"/>
          <w:sz w:val="18"/>
          <w:szCs w:val="18"/>
        </w:rPr>
        <w:t>.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c) </w:t>
      </w:r>
      <w:r>
        <w:rPr>
          <w:rFonts w:ascii="Arial" w:hAnsi="Arial" w:cs="Arial"/>
          <w:color w:val="231F20"/>
          <w:sz w:val="18"/>
          <w:szCs w:val="18"/>
        </w:rPr>
        <w:t xml:space="preserve">Aquellos que tributen más del valor catastral mínimo </w:t>
      </w: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($340,000.00) </w:t>
      </w:r>
      <w:r>
        <w:rPr>
          <w:rFonts w:ascii="Arial" w:hAnsi="Arial" w:cs="Arial"/>
          <w:color w:val="231F20"/>
          <w:sz w:val="18"/>
          <w:szCs w:val="18"/>
        </w:rPr>
        <w:t>se les aplicara la tarifa prevista en el Artículo 6.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 xml:space="preserve">Los contribuyentes que sean beneficiados con el estímulo previsto en este Artículo, no </w:t>
      </w:r>
      <w:r>
        <w:rPr>
          <w:rFonts w:ascii="Arial" w:hAnsi="Arial" w:cs="Arial"/>
          <w:color w:val="231F20"/>
          <w:sz w:val="18"/>
          <w:szCs w:val="18"/>
        </w:rPr>
        <w:t xml:space="preserve">se les aplicarán los descuentos </w:t>
      </w:r>
      <w:r>
        <w:rPr>
          <w:rFonts w:ascii="Arial" w:hAnsi="Arial" w:cs="Arial"/>
          <w:color w:val="231F20"/>
          <w:sz w:val="18"/>
          <w:szCs w:val="18"/>
        </w:rPr>
        <w:t>señalados en el Artículo Cuarto Transitorio de esta Ley.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ARTÍCULO 9°. </w:t>
      </w:r>
      <w:r>
        <w:rPr>
          <w:rFonts w:ascii="Arial" w:hAnsi="Arial" w:cs="Arial"/>
          <w:color w:val="231F20"/>
          <w:sz w:val="18"/>
          <w:szCs w:val="18"/>
        </w:rPr>
        <w:t>Los contribuyentes de predios rústicos ejidales que tributen en el impuest</w:t>
      </w:r>
      <w:r>
        <w:rPr>
          <w:rFonts w:ascii="Arial" w:hAnsi="Arial" w:cs="Arial"/>
          <w:color w:val="231F20"/>
          <w:sz w:val="18"/>
          <w:szCs w:val="18"/>
        </w:rPr>
        <w:t xml:space="preserve">o predial, en tarifas mínimas y </w:t>
      </w:r>
      <w:r>
        <w:rPr>
          <w:rFonts w:ascii="Arial" w:hAnsi="Arial" w:cs="Arial"/>
          <w:color w:val="231F20"/>
          <w:sz w:val="18"/>
          <w:szCs w:val="18"/>
        </w:rPr>
        <w:t>paguen en los tres primeros meses del año, se les establece un estímulo fiscal, mism</w:t>
      </w:r>
      <w:r>
        <w:rPr>
          <w:rFonts w:ascii="Arial" w:hAnsi="Arial" w:cs="Arial"/>
          <w:color w:val="231F20"/>
          <w:sz w:val="18"/>
          <w:szCs w:val="18"/>
        </w:rPr>
        <w:t xml:space="preserve">o que se aplicará de la manera </w:t>
      </w:r>
      <w:r>
        <w:rPr>
          <w:rFonts w:ascii="Arial" w:hAnsi="Arial" w:cs="Arial"/>
          <w:color w:val="231F20"/>
          <w:sz w:val="18"/>
          <w:szCs w:val="18"/>
        </w:rPr>
        <w:t>siguiente: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VALOR CATASTRAL % DE LA TARIFA A PAGAR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a) De 0 hasta $50,00 50.00% </w:t>
      </w:r>
      <w:r>
        <w:rPr>
          <w:rFonts w:ascii="Arial" w:hAnsi="Arial" w:cs="Arial"/>
          <w:b/>
          <w:bCs/>
          <w:color w:val="000000"/>
          <w:sz w:val="18"/>
          <w:szCs w:val="18"/>
        </w:rPr>
        <w:t>(2.00 UMA)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b) $50,001 a $100,00 62.50% </w:t>
      </w:r>
      <w:r>
        <w:rPr>
          <w:rFonts w:ascii="Arial" w:hAnsi="Arial" w:cs="Arial"/>
          <w:b/>
          <w:bCs/>
          <w:color w:val="000000"/>
          <w:sz w:val="18"/>
          <w:szCs w:val="18"/>
        </w:rPr>
        <w:t>(2.50 UMA)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c) $100,001 a $150,00 75.00% </w:t>
      </w:r>
      <w:r>
        <w:rPr>
          <w:rFonts w:ascii="Arial" w:hAnsi="Arial" w:cs="Arial"/>
          <w:b/>
          <w:bCs/>
          <w:color w:val="000000"/>
          <w:sz w:val="18"/>
          <w:szCs w:val="18"/>
        </w:rPr>
        <w:t>(3.00 UMA)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d) $150,001 a $200,00 87.50% </w:t>
      </w:r>
      <w:r>
        <w:rPr>
          <w:rFonts w:ascii="Arial" w:hAnsi="Arial" w:cs="Arial"/>
          <w:b/>
          <w:bCs/>
          <w:color w:val="000000"/>
          <w:sz w:val="18"/>
          <w:szCs w:val="18"/>
        </w:rPr>
        <w:t>(3.50 UMA)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e) $200,001 a $2950,00 100.00% </w:t>
      </w:r>
      <w:r>
        <w:rPr>
          <w:rFonts w:ascii="Arial" w:hAnsi="Arial" w:cs="Arial"/>
          <w:b/>
          <w:bCs/>
          <w:color w:val="000000"/>
          <w:sz w:val="18"/>
          <w:szCs w:val="18"/>
        </w:rPr>
        <w:t>(4.00 UMA)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6"/>
          <w:szCs w:val="16"/>
        </w:rPr>
        <w:lastRenderedPageBreak/>
        <w:t xml:space="preserve">MARTES 31 DE DICIEMBRE DEL 2019 </w:t>
      </w:r>
      <w:r>
        <w:rPr>
          <w:rFonts w:ascii="Arial" w:hAnsi="Arial" w:cs="Arial"/>
          <w:b/>
          <w:bCs/>
          <w:color w:val="000000"/>
          <w:sz w:val="18"/>
          <w:szCs w:val="18"/>
        </w:rPr>
        <w:t>7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VALOR CATASTRAL % DE LA TARIFA A PAGAR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a) De 0 hasta $100,00 50.00% </w:t>
      </w:r>
      <w:r>
        <w:rPr>
          <w:rFonts w:ascii="Arial" w:hAnsi="Arial" w:cs="Arial"/>
          <w:b/>
          <w:bCs/>
          <w:color w:val="000000"/>
          <w:sz w:val="18"/>
          <w:szCs w:val="18"/>
        </w:rPr>
        <w:t>(2.00 UMA)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b) $100,001 a $300,00 62.50% </w:t>
      </w:r>
      <w:r>
        <w:rPr>
          <w:rFonts w:ascii="Arial" w:hAnsi="Arial" w:cs="Arial"/>
          <w:b/>
          <w:bCs/>
          <w:color w:val="000000"/>
          <w:sz w:val="18"/>
          <w:szCs w:val="18"/>
        </w:rPr>
        <w:t>(2.50 UMA)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c) $300,001 a $400,00 75.00% </w:t>
      </w:r>
      <w:r>
        <w:rPr>
          <w:rFonts w:ascii="Arial" w:hAnsi="Arial" w:cs="Arial"/>
          <w:b/>
          <w:bCs/>
          <w:color w:val="000000"/>
          <w:sz w:val="18"/>
          <w:szCs w:val="18"/>
        </w:rPr>
        <w:t>(3.00 UMA)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d) $400,001 a $500,00 87.50% </w:t>
      </w:r>
      <w:r>
        <w:rPr>
          <w:rFonts w:ascii="Arial" w:hAnsi="Arial" w:cs="Arial"/>
          <w:b/>
          <w:bCs/>
          <w:color w:val="000000"/>
          <w:sz w:val="18"/>
          <w:szCs w:val="18"/>
        </w:rPr>
        <w:t>(3.50 UMA)</w:t>
      </w:r>
    </w:p>
    <w:p w:rsid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e) $500,001 a $730,00 100.00% </w:t>
      </w:r>
      <w:r>
        <w:rPr>
          <w:rFonts w:ascii="Arial" w:hAnsi="Arial" w:cs="Arial"/>
          <w:b/>
          <w:bCs/>
          <w:color w:val="000000"/>
          <w:sz w:val="18"/>
          <w:szCs w:val="18"/>
        </w:rPr>
        <w:t>(4.00 UMA)</w:t>
      </w:r>
    </w:p>
    <w:p w:rsidR="005B7835" w:rsidRPr="006D4733" w:rsidRDefault="006D4733" w:rsidP="006D47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 xml:space="preserve">Los contribuyentes que sean beneficiados con el estímulo previsto en este Artículo, no </w:t>
      </w:r>
      <w:r>
        <w:rPr>
          <w:rFonts w:ascii="Arial" w:hAnsi="Arial" w:cs="Arial"/>
          <w:color w:val="231F20"/>
          <w:sz w:val="18"/>
          <w:szCs w:val="18"/>
        </w:rPr>
        <w:t xml:space="preserve">se les aplicarán los descuentos </w:t>
      </w:r>
      <w:bookmarkStart w:id="0" w:name="_GoBack"/>
      <w:bookmarkEnd w:id="0"/>
      <w:r>
        <w:rPr>
          <w:rFonts w:ascii="Arial" w:hAnsi="Arial" w:cs="Arial"/>
          <w:color w:val="231F20"/>
          <w:sz w:val="18"/>
          <w:szCs w:val="18"/>
        </w:rPr>
        <w:t>señalados en el Artículo Cuarto Transitorio de esta Ley.</w:t>
      </w:r>
    </w:p>
    <w:sectPr w:rsidR="005B7835" w:rsidRPr="006D47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733"/>
    <w:rsid w:val="005B7835"/>
    <w:rsid w:val="006D4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641</Words>
  <Characters>3530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sectec40</dc:creator>
  <cp:lastModifiedBy>sectec40</cp:lastModifiedBy>
  <cp:revision>1</cp:revision>
  <dcterms:created xsi:type="dcterms:W3CDTF">2021-08-20T17:02:00Z</dcterms:created>
  <dcterms:modified xsi:type="dcterms:W3CDTF">2021-08-20T17:06:00Z</dcterms:modified>
</cp:coreProperties>
</file>