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B7B" w:rsidRDefault="00652B7B" w:rsidP="00652B7B">
      <w:r w:rsidRPr="005777D1">
        <w:t xml:space="preserve">                                          </w:t>
      </w:r>
    </w:p>
    <w:p w:rsidR="00652B7B" w:rsidRDefault="00652B7B" w:rsidP="00652B7B"/>
    <w:p w:rsidR="00652B7B" w:rsidRDefault="00652B7B" w:rsidP="00652B7B">
      <w:pPr>
        <w:spacing w:after="0" w:line="240" w:lineRule="auto"/>
        <w:jc w:val="center"/>
        <w:rPr>
          <w:rFonts w:eastAsia="Times New Roman" w:cs="Arial"/>
          <w:color w:val="000000"/>
          <w:sz w:val="40"/>
          <w:szCs w:val="36"/>
          <w:lang w:eastAsia="es-MX"/>
        </w:rPr>
      </w:pPr>
    </w:p>
    <w:p w:rsidR="00AB1EF8" w:rsidRDefault="00AB1EF8" w:rsidP="00652B7B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</w:pPr>
    </w:p>
    <w:p w:rsidR="00AB1EF8" w:rsidRPr="0013604B" w:rsidRDefault="00652B7B" w:rsidP="00AB1EF8">
      <w:pPr>
        <w:spacing w:after="0" w:line="240" w:lineRule="auto"/>
        <w:jc w:val="center"/>
        <w:rPr>
          <w:rFonts w:ascii="Calibri" w:eastAsia="Times New Roman" w:hAnsi="Calibri" w:cs="Times New Roman"/>
          <w:sz w:val="40"/>
          <w:szCs w:val="40"/>
          <w:lang w:eastAsia="es-MX"/>
        </w:rPr>
      </w:pPr>
      <w:r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  <w:t>El instituto de Migración y Enlace Internacional en este periodo, no ha generado</w:t>
      </w:r>
      <w:r w:rsidR="00AB1EF8"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  <w:t>,</w:t>
      </w:r>
      <w:r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  <w:t xml:space="preserve"> estudios </w:t>
      </w:r>
      <w:r w:rsidRPr="00652B7B">
        <w:rPr>
          <w:rFonts w:ascii="Calibri" w:eastAsia="Times New Roman" w:hAnsi="Calibri" w:cs="Times New Roman"/>
          <w:color w:val="000000"/>
          <w:sz w:val="44"/>
          <w:szCs w:val="44"/>
          <w:lang w:eastAsia="es-MX"/>
        </w:rPr>
        <w:t>financiados con recursos Públicos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>,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así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como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catálogo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con estudios, investigaciones o análisis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establecidos en el artículo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84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fracción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XLVIII  de la Ley de Transparencia y Acceso a la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Información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Publica del Estado de San Luis </w:t>
      </w:r>
      <w:proofErr w:type="gramStart"/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Potosí</w:t>
      </w:r>
      <w:r>
        <w:rPr>
          <w:rFonts w:eastAsia="Times New Roman" w:cstheme="minorHAnsi"/>
          <w:color w:val="000000"/>
          <w:sz w:val="40"/>
          <w:szCs w:val="36"/>
          <w:lang w:eastAsia="es-MX"/>
        </w:rPr>
        <w:t xml:space="preserve"> </w:t>
      </w:r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>.</w:t>
      </w:r>
      <w:proofErr w:type="gramEnd"/>
      <w:r w:rsidR="00AB1EF8">
        <w:rPr>
          <w:rFonts w:eastAsia="Times New Roman" w:cstheme="minorHAnsi"/>
          <w:color w:val="000000"/>
          <w:sz w:val="40"/>
          <w:szCs w:val="36"/>
          <w:lang w:eastAsia="es-MX"/>
        </w:rPr>
        <w:t xml:space="preserve"> </w:t>
      </w:r>
      <w:r w:rsidR="00AB1EF8" w:rsidRPr="0013604B">
        <w:rPr>
          <w:rFonts w:ascii="Calibri" w:eastAsia="Times New Roman" w:hAnsi="Calibri" w:cs="Times New Roman"/>
          <w:sz w:val="40"/>
          <w:szCs w:val="40"/>
          <w:lang w:eastAsia="es-MX"/>
        </w:rPr>
        <w:t>Conforme el artículo 23 de la Ley de Atención y Apoyo a Migrantes el Estado de San Luis Potos; el Instituto en todo momento queda sujeto a las reglas de presupuesto, contabilidad y gasto Público a la Administración Publica.</w:t>
      </w:r>
    </w:p>
    <w:p w:rsidR="00652B7B" w:rsidRPr="002D4FA5" w:rsidRDefault="00652B7B" w:rsidP="00652B7B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</w:pPr>
    </w:p>
    <w:p w:rsidR="00652B7B" w:rsidRPr="00F40791" w:rsidRDefault="00652B7B" w:rsidP="00652B7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652B7B" w:rsidRDefault="00652B7B" w:rsidP="00652B7B"/>
    <w:p w:rsidR="003762C0" w:rsidRDefault="003762C0"/>
    <w:sectPr w:rsidR="003762C0" w:rsidSect="00D36F90">
      <w:headerReference w:type="default" r:id="rId5"/>
      <w:footerReference w:type="default" r:id="rId6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1A0" w:rsidRPr="00701A9D" w:rsidRDefault="00AB1EF8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C953D1" wp14:editId="06A15039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AB1EF8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AB1EF8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758F3F45" wp14:editId="137B2C7C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AB1EF8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AB1EF8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</w:t>
    </w:r>
    <w:r>
      <w:rPr>
        <w:rFonts w:ascii="TheSans Regular" w:hAnsi="TheSans Regular"/>
        <w:color w:val="808080" w:themeColor="background1" w:themeShade="80"/>
        <w:sz w:val="18"/>
        <w:szCs w:val="18"/>
      </w:rPr>
      <w:t>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AB1EF8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AB1EF8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AB1EF8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AB1EF8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A2AF32F" wp14:editId="0CC0483D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47A010CB" wp14:editId="62B12445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B7B"/>
    <w:rsid w:val="003762C0"/>
    <w:rsid w:val="00652B7B"/>
    <w:rsid w:val="00AB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B7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52B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52B7B"/>
  </w:style>
  <w:style w:type="paragraph" w:styleId="Piedepgina">
    <w:name w:val="footer"/>
    <w:basedOn w:val="Normal"/>
    <w:link w:val="PiedepginaCar"/>
    <w:uiPriority w:val="99"/>
    <w:semiHidden/>
    <w:unhideWhenUsed/>
    <w:rsid w:val="00652B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52B7B"/>
  </w:style>
  <w:style w:type="paragraph" w:styleId="Textodeglobo">
    <w:name w:val="Balloon Text"/>
    <w:basedOn w:val="Normal"/>
    <w:link w:val="TextodegloboCar"/>
    <w:uiPriority w:val="99"/>
    <w:semiHidden/>
    <w:unhideWhenUsed/>
    <w:rsid w:val="00652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B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B7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52B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52B7B"/>
  </w:style>
  <w:style w:type="paragraph" w:styleId="Piedepgina">
    <w:name w:val="footer"/>
    <w:basedOn w:val="Normal"/>
    <w:link w:val="PiedepginaCar"/>
    <w:uiPriority w:val="99"/>
    <w:semiHidden/>
    <w:unhideWhenUsed/>
    <w:rsid w:val="00652B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52B7B"/>
  </w:style>
  <w:style w:type="paragraph" w:styleId="Textodeglobo">
    <w:name w:val="Balloon Text"/>
    <w:basedOn w:val="Normal"/>
    <w:link w:val="TextodegloboCar"/>
    <w:uiPriority w:val="99"/>
    <w:semiHidden/>
    <w:unhideWhenUsed/>
    <w:rsid w:val="00652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B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1</cp:revision>
  <dcterms:created xsi:type="dcterms:W3CDTF">2020-11-10T00:06:00Z</dcterms:created>
  <dcterms:modified xsi:type="dcterms:W3CDTF">2020-11-10T00:20:00Z</dcterms:modified>
</cp:coreProperties>
</file>