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04" w:rsidRDefault="00086A04" w:rsidP="00086A04">
      <w:pPr>
        <w:pStyle w:val="Default"/>
        <w:jc w:val="both"/>
        <w:rPr>
          <w:b/>
          <w:bCs/>
          <w:sz w:val="22"/>
          <w:szCs w:val="22"/>
        </w:rPr>
      </w:pPr>
      <w:r w:rsidRPr="00086A04">
        <w:rPr>
          <w:b/>
        </w:rPr>
        <w:t>ACUERDO DEL CONSEJO ESTATAL ELECTORAL Y DE PARTICIPACIÓN CIUDADANA MEDIANTE EL CUAL SE APRUEBA EL REGLAMENTO ORGÁNICO DEL CONSEJO ESTATAL E</w:t>
      </w:r>
      <w:r>
        <w:rPr>
          <w:b/>
        </w:rPr>
        <w:t>LECTORAL Y DE PARTICIPACIÓN •</w:t>
      </w:r>
      <w:r w:rsidRPr="00086A04">
        <w:rPr>
          <w:b/>
        </w:rPr>
        <w:t>CIUDADANA DE SAN LUIS POTOSÍ.</w:t>
      </w:r>
    </w:p>
    <w:p w:rsidR="00086A04" w:rsidRDefault="00086A04" w:rsidP="006C698B">
      <w:pPr>
        <w:pStyle w:val="Default"/>
        <w:jc w:val="center"/>
        <w:rPr>
          <w:b/>
          <w:bCs/>
          <w:sz w:val="22"/>
          <w:szCs w:val="22"/>
        </w:rPr>
      </w:pPr>
    </w:p>
    <w:p w:rsidR="00CC5B47" w:rsidRDefault="00CC5B47" w:rsidP="00CC5B4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31C1D"/>
          <w:sz w:val="21"/>
          <w:szCs w:val="21"/>
        </w:rPr>
      </w:pPr>
      <w:r>
        <w:rPr>
          <w:rFonts w:ascii="Arial" w:hAnsi="Arial" w:cs="Arial"/>
          <w:b/>
          <w:bCs/>
          <w:color w:val="231C1D"/>
          <w:sz w:val="21"/>
          <w:szCs w:val="21"/>
        </w:rPr>
        <w:t>TITULO OCTAVO</w:t>
      </w:r>
    </w:p>
    <w:p w:rsidR="00CC5B47" w:rsidRDefault="00CC5B47" w:rsidP="00CC5B4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31C1D"/>
          <w:sz w:val="21"/>
          <w:szCs w:val="21"/>
        </w:rPr>
      </w:pPr>
      <w:r>
        <w:rPr>
          <w:rFonts w:ascii="Arial" w:hAnsi="Arial" w:cs="Arial"/>
          <w:b/>
          <w:bCs/>
          <w:color w:val="231C1D"/>
          <w:sz w:val="21"/>
          <w:szCs w:val="21"/>
        </w:rPr>
        <w:t>CAPÍTULO ÚNICO</w:t>
      </w:r>
    </w:p>
    <w:p w:rsidR="00CC5B47" w:rsidRDefault="00CC5B47" w:rsidP="00CC5B4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31C1D"/>
          <w:sz w:val="21"/>
          <w:szCs w:val="21"/>
        </w:rPr>
      </w:pPr>
      <w:r>
        <w:rPr>
          <w:rFonts w:ascii="Arial" w:hAnsi="Arial" w:cs="Arial"/>
          <w:b/>
          <w:bCs/>
          <w:color w:val="231C1D"/>
          <w:sz w:val="21"/>
          <w:szCs w:val="21"/>
        </w:rPr>
        <w:t>De la Unidad Técnica de Fiscalización</w:t>
      </w:r>
    </w:p>
    <w:p w:rsidR="00CC5B47" w:rsidRDefault="00CC5B47" w:rsidP="00CC5B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  <w:sz w:val="21"/>
          <w:szCs w:val="21"/>
        </w:rPr>
      </w:pPr>
      <w:r>
        <w:rPr>
          <w:rFonts w:ascii="Arial" w:hAnsi="Arial" w:cs="Arial"/>
          <w:b/>
          <w:bCs/>
          <w:color w:val="231C1D"/>
        </w:rPr>
        <w:t xml:space="preserve">Artículo 45. </w:t>
      </w:r>
      <w:r>
        <w:rPr>
          <w:rFonts w:ascii="Arial" w:hAnsi="Arial" w:cs="Arial"/>
          <w:color w:val="231C1D"/>
          <w:sz w:val="21"/>
          <w:szCs w:val="21"/>
        </w:rPr>
        <w:t xml:space="preserve">Es el órgano técnico dependiente de </w:t>
      </w:r>
      <w:r>
        <w:rPr>
          <w:rFonts w:ascii="Arial" w:hAnsi="Arial" w:cs="Arial"/>
          <w:color w:val="0D0507"/>
          <w:sz w:val="21"/>
          <w:szCs w:val="21"/>
        </w:rPr>
        <w:t xml:space="preserve">la </w:t>
      </w:r>
      <w:r>
        <w:rPr>
          <w:rFonts w:ascii="Arial" w:hAnsi="Arial" w:cs="Arial"/>
          <w:color w:val="231C1D"/>
          <w:sz w:val="21"/>
          <w:szCs w:val="21"/>
        </w:rPr>
        <w:t>Comisión Permanente de</w:t>
      </w:r>
    </w:p>
    <w:p w:rsidR="00CC5B47" w:rsidRDefault="00CC5B47" w:rsidP="00CC5B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  <w:sz w:val="21"/>
          <w:szCs w:val="21"/>
        </w:rPr>
      </w:pPr>
      <w:r>
        <w:rPr>
          <w:rFonts w:ascii="Arial" w:hAnsi="Arial" w:cs="Arial"/>
          <w:color w:val="231C1D"/>
          <w:sz w:val="21"/>
          <w:szCs w:val="21"/>
        </w:rPr>
        <w:t xml:space="preserve">Fiscalización, que tiene a su cargo </w:t>
      </w:r>
      <w:r>
        <w:rPr>
          <w:rFonts w:ascii="Arial" w:hAnsi="Arial" w:cs="Arial"/>
          <w:color w:val="0D0507"/>
          <w:sz w:val="21"/>
          <w:szCs w:val="21"/>
        </w:rPr>
        <w:t xml:space="preserve">la </w:t>
      </w:r>
      <w:r>
        <w:rPr>
          <w:rFonts w:ascii="Arial" w:hAnsi="Arial" w:cs="Arial"/>
          <w:color w:val="231C1D"/>
          <w:sz w:val="21"/>
          <w:szCs w:val="21"/>
        </w:rPr>
        <w:t xml:space="preserve">función auxiliar de fiscalización de </w:t>
      </w:r>
      <w:r>
        <w:rPr>
          <w:rFonts w:ascii="Arial" w:hAnsi="Arial" w:cs="Arial"/>
          <w:color w:val="0D0507"/>
          <w:sz w:val="21"/>
          <w:szCs w:val="21"/>
        </w:rPr>
        <w:t xml:space="preserve">las </w:t>
      </w:r>
      <w:r>
        <w:rPr>
          <w:rFonts w:ascii="Arial" w:hAnsi="Arial" w:cs="Arial"/>
          <w:color w:val="231C1D"/>
          <w:sz w:val="21"/>
          <w:szCs w:val="21"/>
        </w:rPr>
        <w:t>finanzas de</w:t>
      </w:r>
      <w:r>
        <w:rPr>
          <w:rFonts w:ascii="Arial" w:hAnsi="Arial" w:cs="Arial"/>
          <w:color w:val="0D0507"/>
          <w:sz w:val="21"/>
          <w:szCs w:val="21"/>
        </w:rPr>
        <w:t xml:space="preserve">las </w:t>
      </w:r>
      <w:r>
        <w:rPr>
          <w:rFonts w:ascii="Arial" w:hAnsi="Arial" w:cs="Arial"/>
          <w:color w:val="231C1D"/>
          <w:sz w:val="21"/>
          <w:szCs w:val="21"/>
        </w:rPr>
        <w:t>agrupaciones políticas estatales.</w:t>
      </w:r>
    </w:p>
    <w:p w:rsidR="00CC5B47" w:rsidRDefault="00CC5B47" w:rsidP="00CC5B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  <w:sz w:val="21"/>
          <w:szCs w:val="21"/>
        </w:rPr>
      </w:pPr>
    </w:p>
    <w:p w:rsidR="00CC5B47" w:rsidRDefault="00CC5B47" w:rsidP="00CC5B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  <w:sz w:val="21"/>
          <w:szCs w:val="21"/>
        </w:rPr>
      </w:pPr>
      <w:r>
        <w:rPr>
          <w:rFonts w:ascii="Arial" w:hAnsi="Arial" w:cs="Arial"/>
          <w:b/>
          <w:bCs/>
          <w:color w:val="231C1D"/>
        </w:rPr>
        <w:t xml:space="preserve">Artículo 46. </w:t>
      </w:r>
      <w:r>
        <w:rPr>
          <w:rFonts w:ascii="Arial" w:hAnsi="Arial" w:cs="Arial"/>
          <w:color w:val="0D0507"/>
          <w:sz w:val="21"/>
          <w:szCs w:val="21"/>
        </w:rPr>
        <w:t xml:space="preserve">La </w:t>
      </w:r>
      <w:r>
        <w:rPr>
          <w:rFonts w:ascii="Arial" w:hAnsi="Arial" w:cs="Arial"/>
          <w:color w:val="231C1D"/>
          <w:sz w:val="21"/>
          <w:szCs w:val="21"/>
        </w:rPr>
        <w:t xml:space="preserve">Unidad Técnica de Fiscalización tiene </w:t>
      </w:r>
      <w:r>
        <w:rPr>
          <w:rFonts w:ascii="Arial" w:hAnsi="Arial" w:cs="Arial"/>
          <w:color w:val="0D0507"/>
          <w:sz w:val="21"/>
          <w:szCs w:val="21"/>
        </w:rPr>
        <w:t xml:space="preserve">las </w:t>
      </w:r>
      <w:r>
        <w:rPr>
          <w:rFonts w:ascii="Arial" w:hAnsi="Arial" w:cs="Arial"/>
          <w:color w:val="231C1D"/>
          <w:sz w:val="21"/>
          <w:szCs w:val="21"/>
        </w:rPr>
        <w:t>siguientes atribuciones:</w:t>
      </w:r>
    </w:p>
    <w:p w:rsidR="00CC5B47" w:rsidRDefault="00CC5B47" w:rsidP="00CC5B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  <w:sz w:val="21"/>
          <w:szCs w:val="21"/>
        </w:rPr>
      </w:pPr>
      <w:r>
        <w:rPr>
          <w:rFonts w:ascii="Arial" w:hAnsi="Arial" w:cs="Arial"/>
          <w:color w:val="231C1D"/>
          <w:sz w:val="21"/>
          <w:szCs w:val="21"/>
        </w:rPr>
        <w:t xml:space="preserve">l. Tratar con </w:t>
      </w:r>
      <w:r>
        <w:rPr>
          <w:rFonts w:ascii="Arial" w:hAnsi="Arial" w:cs="Arial"/>
          <w:color w:val="0D0507"/>
          <w:sz w:val="21"/>
          <w:szCs w:val="21"/>
        </w:rPr>
        <w:t xml:space="preserve">la </w:t>
      </w:r>
      <w:r>
        <w:rPr>
          <w:rFonts w:ascii="Arial" w:hAnsi="Arial" w:cs="Arial"/>
          <w:color w:val="231C1D"/>
          <w:sz w:val="21"/>
          <w:szCs w:val="21"/>
        </w:rPr>
        <w:t xml:space="preserve">Comisión Permanente de Fiscalización, </w:t>
      </w:r>
      <w:r>
        <w:rPr>
          <w:rFonts w:ascii="Arial" w:hAnsi="Arial" w:cs="Arial"/>
          <w:color w:val="0D0507"/>
          <w:sz w:val="21"/>
          <w:szCs w:val="21"/>
        </w:rPr>
        <w:t xml:space="preserve">los </w:t>
      </w:r>
      <w:r>
        <w:rPr>
          <w:rFonts w:ascii="Arial" w:hAnsi="Arial" w:cs="Arial"/>
          <w:color w:val="231C1D"/>
          <w:sz w:val="21"/>
          <w:szCs w:val="21"/>
        </w:rPr>
        <w:t xml:space="preserve">asuntos de su </w:t>
      </w:r>
      <w:r>
        <w:rPr>
          <w:rFonts w:ascii="Arial" w:hAnsi="Arial" w:cs="Arial"/>
          <w:color w:val="231C1D"/>
          <w:sz w:val="21"/>
          <w:szCs w:val="21"/>
        </w:rPr>
        <w:t>competencia;</w:t>
      </w:r>
    </w:p>
    <w:p w:rsidR="00CC5B47" w:rsidRDefault="00CC5B47" w:rsidP="00CC5B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  <w:sz w:val="21"/>
          <w:szCs w:val="21"/>
        </w:rPr>
      </w:pPr>
      <w:r>
        <w:rPr>
          <w:rFonts w:ascii="Arial" w:hAnsi="Arial" w:cs="Arial"/>
          <w:color w:val="0D0507"/>
          <w:sz w:val="21"/>
          <w:szCs w:val="21"/>
        </w:rPr>
        <w:t>II</w:t>
      </w:r>
      <w:r>
        <w:rPr>
          <w:rFonts w:ascii="Arial" w:hAnsi="Arial" w:cs="Arial"/>
          <w:color w:val="0D0507"/>
          <w:sz w:val="21"/>
          <w:szCs w:val="21"/>
        </w:rPr>
        <w:t xml:space="preserve">. </w:t>
      </w:r>
      <w:r>
        <w:rPr>
          <w:rFonts w:ascii="Arial" w:hAnsi="Arial" w:cs="Arial"/>
          <w:color w:val="231C1D"/>
          <w:sz w:val="21"/>
          <w:szCs w:val="21"/>
        </w:rPr>
        <w:t xml:space="preserve">Proponer a </w:t>
      </w:r>
      <w:r>
        <w:rPr>
          <w:rFonts w:ascii="Arial" w:hAnsi="Arial" w:cs="Arial"/>
          <w:color w:val="0D0507"/>
          <w:sz w:val="21"/>
          <w:szCs w:val="21"/>
        </w:rPr>
        <w:t xml:space="preserve">la </w:t>
      </w:r>
      <w:r>
        <w:rPr>
          <w:rFonts w:ascii="Arial" w:hAnsi="Arial" w:cs="Arial"/>
          <w:color w:val="231C1D"/>
          <w:sz w:val="21"/>
          <w:szCs w:val="21"/>
        </w:rPr>
        <w:t xml:space="preserve">Comisión Permanente de Fiscalización, </w:t>
      </w:r>
      <w:r>
        <w:rPr>
          <w:rFonts w:ascii="Arial" w:hAnsi="Arial" w:cs="Arial"/>
          <w:color w:val="0D0507"/>
          <w:sz w:val="21"/>
          <w:szCs w:val="21"/>
        </w:rPr>
        <w:t xml:space="preserve">los </w:t>
      </w:r>
      <w:r>
        <w:rPr>
          <w:rFonts w:ascii="Arial" w:hAnsi="Arial" w:cs="Arial"/>
          <w:color w:val="231C1D"/>
          <w:sz w:val="21"/>
          <w:szCs w:val="21"/>
        </w:rPr>
        <w:t xml:space="preserve">planes y programas de </w:t>
      </w:r>
      <w:r>
        <w:rPr>
          <w:rFonts w:ascii="Arial" w:hAnsi="Arial" w:cs="Arial"/>
          <w:color w:val="231C1D"/>
          <w:sz w:val="21"/>
          <w:szCs w:val="21"/>
        </w:rPr>
        <w:t xml:space="preserve">trabajo de </w:t>
      </w:r>
      <w:r>
        <w:rPr>
          <w:rFonts w:ascii="Arial" w:hAnsi="Arial" w:cs="Arial"/>
          <w:color w:val="0D0507"/>
          <w:sz w:val="21"/>
          <w:szCs w:val="21"/>
        </w:rPr>
        <w:t xml:space="preserve">la </w:t>
      </w:r>
      <w:r>
        <w:rPr>
          <w:rFonts w:ascii="Arial" w:hAnsi="Arial" w:cs="Arial"/>
          <w:color w:val="231C1D"/>
          <w:sz w:val="21"/>
          <w:szCs w:val="21"/>
        </w:rPr>
        <w:t>Dirección;</w:t>
      </w:r>
    </w:p>
    <w:p w:rsidR="00CC5B47" w:rsidRDefault="00CC5B47" w:rsidP="00CC5B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D0507"/>
          <w:sz w:val="21"/>
          <w:szCs w:val="21"/>
        </w:rPr>
      </w:pPr>
      <w:r>
        <w:rPr>
          <w:rFonts w:ascii="Arial" w:hAnsi="Arial" w:cs="Arial"/>
          <w:color w:val="231C1D"/>
          <w:sz w:val="21"/>
          <w:szCs w:val="21"/>
        </w:rPr>
        <w:t>III</w:t>
      </w:r>
      <w:r>
        <w:rPr>
          <w:rFonts w:ascii="Arial" w:hAnsi="Arial" w:cs="Arial"/>
          <w:color w:val="231C1D"/>
          <w:sz w:val="21"/>
          <w:szCs w:val="21"/>
        </w:rPr>
        <w:t xml:space="preserve">. Auxiliar a </w:t>
      </w:r>
      <w:r>
        <w:rPr>
          <w:rFonts w:ascii="Arial" w:hAnsi="Arial" w:cs="Arial"/>
          <w:color w:val="0D0507"/>
          <w:sz w:val="21"/>
          <w:szCs w:val="21"/>
        </w:rPr>
        <w:t xml:space="preserve">la </w:t>
      </w:r>
      <w:r>
        <w:rPr>
          <w:rFonts w:ascii="Arial" w:hAnsi="Arial" w:cs="Arial"/>
          <w:color w:val="231C1D"/>
          <w:sz w:val="21"/>
          <w:szCs w:val="21"/>
        </w:rPr>
        <w:t xml:space="preserve">Comisión en el desempeño de </w:t>
      </w:r>
      <w:r>
        <w:rPr>
          <w:rFonts w:ascii="Arial" w:hAnsi="Arial" w:cs="Arial"/>
          <w:color w:val="0D0507"/>
          <w:sz w:val="21"/>
          <w:szCs w:val="21"/>
        </w:rPr>
        <w:t xml:space="preserve">las </w:t>
      </w:r>
      <w:r>
        <w:rPr>
          <w:rFonts w:ascii="Arial" w:hAnsi="Arial" w:cs="Arial"/>
          <w:color w:val="231C1D"/>
          <w:sz w:val="21"/>
          <w:szCs w:val="21"/>
        </w:rPr>
        <w:t xml:space="preserve">facultades que </w:t>
      </w:r>
      <w:r>
        <w:rPr>
          <w:rFonts w:ascii="Arial" w:hAnsi="Arial" w:cs="Arial"/>
          <w:color w:val="0D0507"/>
          <w:sz w:val="21"/>
          <w:szCs w:val="21"/>
        </w:rPr>
        <w:t xml:space="preserve">le </w:t>
      </w:r>
      <w:r>
        <w:rPr>
          <w:rFonts w:ascii="Arial" w:hAnsi="Arial" w:cs="Arial"/>
          <w:color w:val="231C1D"/>
          <w:sz w:val="21"/>
          <w:szCs w:val="21"/>
        </w:rPr>
        <w:t xml:space="preserve">otorga </w:t>
      </w:r>
      <w:r>
        <w:rPr>
          <w:rFonts w:ascii="Arial" w:hAnsi="Arial" w:cs="Arial"/>
          <w:color w:val="0D0507"/>
          <w:sz w:val="21"/>
          <w:szCs w:val="21"/>
        </w:rPr>
        <w:t>la Ley;</w:t>
      </w:r>
    </w:p>
    <w:p w:rsidR="00CC5B47" w:rsidRDefault="00CC5B47" w:rsidP="00CC5B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  <w:sz w:val="21"/>
          <w:szCs w:val="21"/>
        </w:rPr>
      </w:pPr>
      <w:r>
        <w:rPr>
          <w:rFonts w:ascii="Arial" w:hAnsi="Arial" w:cs="Arial"/>
          <w:color w:val="0D0507"/>
          <w:sz w:val="21"/>
          <w:szCs w:val="21"/>
        </w:rPr>
        <w:t xml:space="preserve">IV. </w:t>
      </w:r>
      <w:r>
        <w:rPr>
          <w:rFonts w:ascii="Arial" w:hAnsi="Arial" w:cs="Arial"/>
          <w:color w:val="231C1D"/>
          <w:sz w:val="21"/>
          <w:szCs w:val="21"/>
        </w:rPr>
        <w:t xml:space="preserve">Atender </w:t>
      </w:r>
      <w:r>
        <w:rPr>
          <w:rFonts w:ascii="Arial" w:hAnsi="Arial" w:cs="Arial"/>
          <w:color w:val="0D0507"/>
          <w:sz w:val="21"/>
          <w:szCs w:val="21"/>
        </w:rPr>
        <w:t xml:space="preserve">las </w:t>
      </w:r>
      <w:r>
        <w:rPr>
          <w:rFonts w:ascii="Arial" w:hAnsi="Arial" w:cs="Arial"/>
          <w:color w:val="231C1D"/>
          <w:sz w:val="21"/>
          <w:szCs w:val="21"/>
        </w:rPr>
        <w:t xml:space="preserve">tareas que </w:t>
      </w:r>
      <w:r>
        <w:rPr>
          <w:rFonts w:ascii="Arial" w:hAnsi="Arial" w:cs="Arial"/>
          <w:color w:val="0D0507"/>
          <w:sz w:val="21"/>
          <w:szCs w:val="21"/>
        </w:rPr>
        <w:t xml:space="preserve">las </w:t>
      </w:r>
      <w:r>
        <w:rPr>
          <w:rFonts w:ascii="Arial" w:hAnsi="Arial" w:cs="Arial"/>
          <w:color w:val="231C1D"/>
          <w:sz w:val="21"/>
          <w:szCs w:val="21"/>
        </w:rPr>
        <w:t xml:space="preserve">Comisiones del Consejo </w:t>
      </w:r>
      <w:r>
        <w:rPr>
          <w:rFonts w:ascii="Arial" w:hAnsi="Arial" w:cs="Arial"/>
          <w:color w:val="0D0507"/>
          <w:sz w:val="21"/>
          <w:szCs w:val="21"/>
        </w:rPr>
        <w:t xml:space="preserve">le </w:t>
      </w:r>
      <w:r>
        <w:rPr>
          <w:rFonts w:ascii="Arial" w:hAnsi="Arial" w:cs="Arial"/>
          <w:color w:val="231C1D"/>
          <w:sz w:val="21"/>
          <w:szCs w:val="21"/>
        </w:rPr>
        <w:t>encomienden;</w:t>
      </w:r>
    </w:p>
    <w:p w:rsidR="00CC5B47" w:rsidRDefault="00CC5B47" w:rsidP="00CC5B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  <w:sz w:val="21"/>
          <w:szCs w:val="21"/>
        </w:rPr>
      </w:pPr>
      <w:r>
        <w:rPr>
          <w:rFonts w:ascii="Arial" w:hAnsi="Arial" w:cs="Arial"/>
          <w:color w:val="231C1D"/>
          <w:sz w:val="21"/>
          <w:szCs w:val="21"/>
        </w:rPr>
        <w:t xml:space="preserve">V. Asesorar a </w:t>
      </w:r>
      <w:r>
        <w:rPr>
          <w:rFonts w:ascii="Arial" w:hAnsi="Arial" w:cs="Arial"/>
          <w:color w:val="0D0507"/>
          <w:sz w:val="21"/>
          <w:szCs w:val="21"/>
        </w:rPr>
        <w:t xml:space="preserve">la </w:t>
      </w:r>
      <w:r>
        <w:rPr>
          <w:rFonts w:ascii="Arial" w:hAnsi="Arial" w:cs="Arial"/>
          <w:color w:val="231C1D"/>
          <w:sz w:val="21"/>
          <w:szCs w:val="21"/>
        </w:rPr>
        <w:t xml:space="preserve">Presidencia y al Pleno en </w:t>
      </w:r>
      <w:r>
        <w:rPr>
          <w:rFonts w:ascii="Arial" w:hAnsi="Arial" w:cs="Arial"/>
          <w:color w:val="0D0507"/>
          <w:sz w:val="21"/>
          <w:szCs w:val="21"/>
        </w:rPr>
        <w:t xml:space="preserve">los </w:t>
      </w:r>
      <w:r>
        <w:rPr>
          <w:rFonts w:ascii="Arial" w:hAnsi="Arial" w:cs="Arial"/>
          <w:color w:val="231C1D"/>
          <w:sz w:val="21"/>
          <w:szCs w:val="21"/>
        </w:rPr>
        <w:t>asun</w:t>
      </w:r>
      <w:r>
        <w:rPr>
          <w:rFonts w:ascii="Arial" w:hAnsi="Arial" w:cs="Arial"/>
          <w:color w:val="231C1D"/>
          <w:sz w:val="21"/>
          <w:szCs w:val="21"/>
        </w:rPr>
        <w:t xml:space="preserve">tos de su competencia, así como </w:t>
      </w:r>
      <w:r>
        <w:rPr>
          <w:rFonts w:ascii="Arial" w:hAnsi="Arial" w:cs="Arial"/>
          <w:color w:val="231C1D"/>
          <w:sz w:val="21"/>
          <w:szCs w:val="21"/>
        </w:rPr>
        <w:t>en el puntual seguimiento y cumplimiento de l</w:t>
      </w:r>
      <w:r>
        <w:rPr>
          <w:rFonts w:ascii="Arial" w:hAnsi="Arial" w:cs="Arial"/>
          <w:color w:val="231C1D"/>
          <w:sz w:val="21"/>
          <w:szCs w:val="21"/>
        </w:rPr>
        <w:t xml:space="preserve">as resoluciones de tribunales y </w:t>
      </w:r>
      <w:r>
        <w:rPr>
          <w:rFonts w:ascii="Arial" w:hAnsi="Arial" w:cs="Arial"/>
          <w:color w:val="231C1D"/>
          <w:sz w:val="21"/>
          <w:szCs w:val="21"/>
        </w:rPr>
        <w:t>autoridades electorales competentes; y</w:t>
      </w:r>
    </w:p>
    <w:p w:rsidR="00D8061C" w:rsidRPr="00CC5B47" w:rsidRDefault="00CC5B47" w:rsidP="00CC5B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  <w:sz w:val="21"/>
          <w:szCs w:val="21"/>
        </w:rPr>
      </w:pPr>
      <w:r>
        <w:rPr>
          <w:rFonts w:ascii="Arial" w:hAnsi="Arial" w:cs="Arial"/>
          <w:color w:val="231C1D"/>
          <w:sz w:val="21"/>
          <w:szCs w:val="21"/>
        </w:rPr>
        <w:t xml:space="preserve">VI. Las demás que </w:t>
      </w:r>
      <w:r>
        <w:rPr>
          <w:rFonts w:ascii="Arial" w:hAnsi="Arial" w:cs="Arial"/>
          <w:color w:val="0D0507"/>
          <w:sz w:val="21"/>
          <w:szCs w:val="21"/>
        </w:rPr>
        <w:t xml:space="preserve">le </w:t>
      </w:r>
      <w:r>
        <w:rPr>
          <w:rFonts w:ascii="Arial" w:hAnsi="Arial" w:cs="Arial"/>
          <w:color w:val="231C1D"/>
          <w:sz w:val="21"/>
          <w:szCs w:val="21"/>
        </w:rPr>
        <w:t xml:space="preserve">confieran </w:t>
      </w:r>
      <w:r>
        <w:rPr>
          <w:rFonts w:ascii="Arial" w:hAnsi="Arial" w:cs="Arial"/>
          <w:color w:val="0D0507"/>
          <w:sz w:val="21"/>
          <w:szCs w:val="21"/>
        </w:rPr>
        <w:t xml:space="preserve">la ley, </w:t>
      </w:r>
      <w:r>
        <w:rPr>
          <w:rFonts w:ascii="Arial" w:hAnsi="Arial" w:cs="Arial"/>
          <w:color w:val="231C1D"/>
          <w:sz w:val="21"/>
          <w:szCs w:val="21"/>
        </w:rPr>
        <w:t xml:space="preserve">el presente Reglamento y </w:t>
      </w:r>
      <w:r>
        <w:rPr>
          <w:rFonts w:ascii="Arial" w:hAnsi="Arial" w:cs="Arial"/>
          <w:color w:val="0D0507"/>
          <w:sz w:val="21"/>
          <w:szCs w:val="21"/>
        </w:rPr>
        <w:t xml:space="preserve">las </w:t>
      </w:r>
      <w:r>
        <w:rPr>
          <w:rFonts w:ascii="Arial" w:hAnsi="Arial" w:cs="Arial"/>
          <w:color w:val="231C1D"/>
          <w:sz w:val="21"/>
          <w:szCs w:val="21"/>
        </w:rPr>
        <w:t xml:space="preserve">disposiciones </w:t>
      </w:r>
      <w:r w:rsidRPr="00CC5B47">
        <w:rPr>
          <w:rFonts w:ascii="Arial" w:hAnsi="Arial" w:cs="Arial"/>
          <w:color w:val="231C1D"/>
          <w:sz w:val="21"/>
          <w:szCs w:val="21"/>
        </w:rPr>
        <w:t>aplicables.</w:t>
      </w:r>
      <w:r w:rsidRPr="00CC5B47">
        <w:rPr>
          <w:rFonts w:ascii="Arial" w:hAnsi="Arial" w:cs="Arial"/>
          <w:color w:val="231C1D"/>
          <w:sz w:val="21"/>
          <w:szCs w:val="21"/>
        </w:rPr>
        <w:t xml:space="preserve"> </w:t>
      </w:r>
    </w:p>
    <w:p w:rsidR="00CC5B47" w:rsidRPr="00D8061C" w:rsidRDefault="00CC5B47" w:rsidP="00CC5B47">
      <w:pPr>
        <w:pStyle w:val="Prrafodelista"/>
        <w:autoSpaceDE w:val="0"/>
        <w:autoSpaceDN w:val="0"/>
        <w:adjustRightInd w:val="0"/>
        <w:spacing w:after="0" w:line="240" w:lineRule="auto"/>
        <w:ind w:left="1080"/>
        <w:rPr>
          <w:rFonts w:ascii="Arial" w:hAnsi="Arial" w:cs="Arial"/>
          <w:color w:val="271F21"/>
          <w:sz w:val="21"/>
          <w:szCs w:val="21"/>
        </w:rPr>
      </w:pPr>
    </w:p>
    <w:p w:rsidR="00086A04" w:rsidRDefault="00086A04" w:rsidP="00D806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140D0E"/>
        </w:rPr>
        <w:t xml:space="preserve">El </w:t>
      </w:r>
      <w:r>
        <w:rPr>
          <w:rFonts w:ascii="Arial" w:hAnsi="Arial" w:cs="Arial"/>
          <w:color w:val="261F20"/>
        </w:rPr>
        <w:t>presente Reglamento</w:t>
      </w:r>
      <w:bookmarkStart w:id="0" w:name="_GoBack"/>
      <w:bookmarkEnd w:id="0"/>
      <w:r>
        <w:rPr>
          <w:rFonts w:ascii="Arial" w:hAnsi="Arial" w:cs="Arial"/>
          <w:color w:val="261F20"/>
        </w:rPr>
        <w:t xml:space="preserve"> Orgánico fue aprobado por unanimidad de votos por </w:t>
      </w:r>
      <w:r w:rsidR="00D8061C">
        <w:rPr>
          <w:rFonts w:ascii="Arial" w:hAnsi="Arial" w:cs="Arial"/>
          <w:color w:val="140D0E"/>
        </w:rPr>
        <w:t xml:space="preserve">los </w:t>
      </w:r>
      <w:r>
        <w:rPr>
          <w:rFonts w:ascii="Arial" w:hAnsi="Arial" w:cs="Arial"/>
          <w:color w:val="140D0E"/>
        </w:rPr>
        <w:t xml:space="preserve">integrantes </w:t>
      </w:r>
      <w:r>
        <w:rPr>
          <w:rFonts w:ascii="Arial" w:hAnsi="Arial" w:cs="Arial"/>
          <w:color w:val="261F20"/>
        </w:rPr>
        <w:t xml:space="preserve">del Pleno del Consejo </w:t>
      </w:r>
      <w:r>
        <w:rPr>
          <w:rFonts w:ascii="Arial" w:hAnsi="Arial" w:cs="Arial"/>
          <w:color w:val="140D0E"/>
        </w:rPr>
        <w:t xml:space="preserve">Estatal Electoral </w:t>
      </w:r>
      <w:r>
        <w:rPr>
          <w:rFonts w:ascii="Arial" w:hAnsi="Arial" w:cs="Arial"/>
          <w:color w:val="261F20"/>
        </w:rPr>
        <w:t>y de Participación Ciudadana de San</w:t>
      </w:r>
      <w:r w:rsidR="00FD6AE4">
        <w:rPr>
          <w:rFonts w:ascii="Arial" w:hAnsi="Arial" w:cs="Arial"/>
          <w:color w:val="261F20"/>
        </w:rPr>
        <w:t xml:space="preserve"> </w:t>
      </w:r>
      <w:r>
        <w:rPr>
          <w:rFonts w:ascii="Arial" w:hAnsi="Arial" w:cs="Arial"/>
          <w:color w:val="140D0E"/>
        </w:rPr>
        <w:t xml:space="preserve">Luis </w:t>
      </w:r>
      <w:r>
        <w:rPr>
          <w:rFonts w:ascii="Arial" w:hAnsi="Arial" w:cs="Arial"/>
          <w:color w:val="261F20"/>
        </w:rPr>
        <w:t xml:space="preserve">Potosí, en Sesión </w:t>
      </w:r>
      <w:r>
        <w:rPr>
          <w:rFonts w:ascii="Arial" w:hAnsi="Arial" w:cs="Arial"/>
          <w:color w:val="140D0E"/>
        </w:rPr>
        <w:t xml:space="preserve">Extraordinaria </w:t>
      </w:r>
      <w:r>
        <w:rPr>
          <w:rFonts w:ascii="Arial" w:hAnsi="Arial" w:cs="Arial"/>
          <w:color w:val="261F20"/>
        </w:rPr>
        <w:t>de fecha 16 de enero del 2017.</w:t>
      </w:r>
    </w:p>
    <w:p w:rsidR="00086A04" w:rsidRDefault="00086A04" w:rsidP="002A3ABB">
      <w:pPr>
        <w:jc w:val="both"/>
        <w:rPr>
          <w:rFonts w:ascii="Arial" w:hAnsi="Arial" w:cs="Arial"/>
          <w:color w:val="261F20"/>
        </w:rPr>
      </w:pPr>
    </w:p>
    <w:p w:rsidR="00FA601B" w:rsidRPr="00086A04" w:rsidRDefault="00086A04" w:rsidP="00086A04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261F20"/>
        </w:rPr>
        <w:t xml:space="preserve">El contenido puede ser consultado en la siguiente liga: </w:t>
      </w:r>
      <w:hyperlink r:id="rId6" w:history="1">
        <w:r w:rsidRPr="00901C69">
          <w:rPr>
            <w:rStyle w:val="Hipervnculo"/>
            <w:rFonts w:ascii="Arial" w:hAnsi="Arial" w:cs="Arial"/>
          </w:rPr>
          <w:t>http://www.ceepacslp.org.mx/ceepac/uploads2/files/reglamentos/Reglamento%20Org%C3%A1nico%20compri.pdf</w:t>
        </w:r>
      </w:hyperlink>
      <w:r>
        <w:rPr>
          <w:rFonts w:ascii="Arial" w:hAnsi="Arial" w:cs="Arial"/>
        </w:rPr>
        <w:t xml:space="preserve"> </w:t>
      </w:r>
    </w:p>
    <w:sectPr w:rsidR="00FA601B" w:rsidRPr="00086A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8585F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09278E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557533"/>
    <w:multiLevelType w:val="hybridMultilevel"/>
    <w:tmpl w:val="0B9813FA"/>
    <w:lvl w:ilvl="0" w:tplc="E1A648F4">
      <w:start w:val="8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A04"/>
    <w:rsid w:val="000820DD"/>
    <w:rsid w:val="00086A04"/>
    <w:rsid w:val="00146F5E"/>
    <w:rsid w:val="002A3ABB"/>
    <w:rsid w:val="002D0FB3"/>
    <w:rsid w:val="00390618"/>
    <w:rsid w:val="003D658F"/>
    <w:rsid w:val="006C698B"/>
    <w:rsid w:val="007F266D"/>
    <w:rsid w:val="008519D2"/>
    <w:rsid w:val="008A74B1"/>
    <w:rsid w:val="00AA5A39"/>
    <w:rsid w:val="00B33607"/>
    <w:rsid w:val="00BE1EF9"/>
    <w:rsid w:val="00CA3768"/>
    <w:rsid w:val="00CC5B47"/>
    <w:rsid w:val="00D50DC7"/>
    <w:rsid w:val="00D8061C"/>
    <w:rsid w:val="00ED59BE"/>
    <w:rsid w:val="00EF7733"/>
    <w:rsid w:val="00FA601B"/>
    <w:rsid w:val="00FD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epacslp.org.mx/ceepac/uploads2/files/reglamentos/Reglamento%20Org%C3%A1nico%20compri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262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Paola BPTC. Torres de la Cruz</dc:creator>
  <cp:lastModifiedBy>Brenda Paola BPTC. Torres de la Cruz</cp:lastModifiedBy>
  <cp:revision>20</cp:revision>
  <dcterms:created xsi:type="dcterms:W3CDTF">2020-11-25T17:48:00Z</dcterms:created>
  <dcterms:modified xsi:type="dcterms:W3CDTF">2020-11-25T19:54:00Z</dcterms:modified>
</cp:coreProperties>
</file>