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DB8D50" w14:textId="374A6C93" w:rsidR="009945F5" w:rsidRPr="009945F5" w:rsidRDefault="009945F5" w:rsidP="009945F5">
      <w:pPr>
        <w:spacing w:line="360" w:lineRule="auto"/>
        <w:jc w:val="center"/>
        <w:rPr>
          <w:rFonts w:ascii="Cambria" w:hAnsi="Cambria"/>
          <w:b/>
          <w:bCs/>
          <w:sz w:val="28"/>
          <w:szCs w:val="28"/>
        </w:rPr>
      </w:pPr>
      <w:r w:rsidRPr="009945F5">
        <w:rPr>
          <w:rFonts w:ascii="Cambria" w:hAnsi="Cambria"/>
          <w:b/>
          <w:bCs/>
          <w:sz w:val="28"/>
          <w:szCs w:val="28"/>
        </w:rPr>
        <w:t>PRESUPUESTO BASADO EN RESULTADOS</w:t>
      </w:r>
    </w:p>
    <w:p w14:paraId="04089153" w14:textId="66104B83" w:rsidR="009945F5" w:rsidRPr="009945F5" w:rsidRDefault="009945F5" w:rsidP="009945F5">
      <w:pPr>
        <w:spacing w:line="36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NORMATIVIDAD</w:t>
      </w:r>
    </w:p>
    <w:p w14:paraId="69399DAB" w14:textId="77777777" w:rsid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</w:p>
    <w:p w14:paraId="7484BE7A" w14:textId="70AAF303" w:rsidR="009945F5" w:rsidRPr="009945F5" w:rsidRDefault="009945F5" w:rsidP="009945F5">
      <w:pPr>
        <w:spacing w:line="360" w:lineRule="auto"/>
        <w:jc w:val="both"/>
        <w:rPr>
          <w:rFonts w:ascii="Cambria" w:hAnsi="Cambria"/>
          <w:b/>
          <w:bCs/>
          <w:sz w:val="24"/>
          <w:szCs w:val="24"/>
          <w:u w:val="single"/>
        </w:rPr>
      </w:pPr>
      <w:r w:rsidRPr="009945F5">
        <w:rPr>
          <w:rFonts w:ascii="Cambria" w:hAnsi="Cambria"/>
          <w:b/>
          <w:bCs/>
          <w:sz w:val="24"/>
          <w:szCs w:val="24"/>
          <w:u w:val="single"/>
        </w:rPr>
        <w:t>CONSTITUCIÓN POLÍTICA DE LOS ESTADOS UNIDOS MEXICANOS</w:t>
      </w:r>
    </w:p>
    <w:p w14:paraId="02491CE2" w14:textId="20ACD31E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Artículo 134.</w:t>
      </w:r>
      <w:r w:rsidRPr="009945F5">
        <w:rPr>
          <w:rFonts w:ascii="Cambria" w:hAnsi="Cambria"/>
          <w:sz w:val="24"/>
          <w:szCs w:val="24"/>
        </w:rPr>
        <w:t xml:space="preserve"> Los recursos económicos de que dispongan la Federación, los estados, los municipios,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el Distrito Federal y los órganos político-administrativos de sus demarcaciones territoriales, se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administrarán con eficiencia, eficacia, economía, transparencia y honradez para satisfacer los objetivos a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los que estén destinados.</w:t>
      </w:r>
    </w:p>
    <w:p w14:paraId="457AE4EE" w14:textId="21007885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Los resultados del ejercicio de dichos recursos serán evaluados por las instancias técnicas que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establezcan, respectivamente, la Federación, los estados y el Distrito Federal, con el objeto de propiciar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que los recursos económicos se asignen en los respectivos presupuestos en los términos del párrafo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anterior. Lo anterior, sin menoscabo de lo dispuesto en los artículos 74, fracción VI y 79.</w:t>
      </w:r>
    </w:p>
    <w:p w14:paraId="712ADD1E" w14:textId="60B2414C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Las adquisiciones, arrendamientos y enajenaciones de todo tipo de bienes, prestación de servicios de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cualquier naturaleza y la contratación de obra que realicen, se adjudicarán o llevarán a cabo a través de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licitaciones públicas mediante convocatoria pública para que libremente se presenten proposiciones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solventes en sobre cerrado, que será abierto públicamente, a fin de asegurar al Estado las mejores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condiciones disponibles en cuanto a precio, calidad, financiamiento, oportunidad y demás circunstancias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pertinentes.</w:t>
      </w:r>
    </w:p>
    <w:p w14:paraId="7FA9DAE7" w14:textId="2B665BFF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Cuando las licitaciones a que hace referencia el párrafo anterior no sean idóneas para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asegurar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dichas condiciones, las leyes establecerán las bases, procedimientos, reglas, requisitos y demás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elementos para acreditar la economía, eficacia, eficiencia, imparcialidad y honradez que aseguren las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mejores condiciones para el Estado.</w:t>
      </w:r>
    </w:p>
    <w:p w14:paraId="521AC9DF" w14:textId="185F369A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El manejo de recursos económicos federales por parte de los estados, los municipios, el Distrito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Federal y los órganos político-administrativos de sus demarcaciones territoriales, se sujetará a las bases</w:t>
      </w:r>
    </w:p>
    <w:p w14:paraId="5E200327" w14:textId="677EF18C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lastRenderedPageBreak/>
        <w:t>de este artículo y a las leyes reglamentarias. La evaluación sobre el ejercicio de dichos recursos se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realizará por las instancias técnicas de las entidades federativas a que se refiere el párrafo segundo de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este artículo.</w:t>
      </w:r>
    </w:p>
    <w:p w14:paraId="7D412789" w14:textId="4A90D47C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Los servidores públicos serán responsables del cumplimiento de estas bases en los términos del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 xml:space="preserve">Título Cuarto de esta Constitución. </w:t>
      </w:r>
    </w:p>
    <w:p w14:paraId="635D8227" w14:textId="342FE3D7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Los servidores públicos de la Federación, los Estados y los municipios, así como del Distrito Federal y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sus delegaciones, tienen en todo tiempo la obligación de aplicar con imparcialidad los recursos públicos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que están bajo su responsabilidad, sin influir en la equidad de la competencia entre los partidos políticos.</w:t>
      </w:r>
    </w:p>
    <w:p w14:paraId="732CE879" w14:textId="28A85AF4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La propaganda, bajo cualquier modalidad de comunicación social, que difundan como tales, los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poderes públicos, los órganos autónomos, las dependencias y entidades de la administración pública y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cualquier otro ente de los tres órdenes de gobierno, deberá tener carácter institucional y fines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informativos, educativos o de orientación social. En ningún caso esta propaganda incluirá nombres,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imágenes, voces o símbolos que impliquen promoción personalizada de cualquier servidor público.</w:t>
      </w:r>
    </w:p>
    <w:p w14:paraId="57F8247F" w14:textId="2A8CD91B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Las leyes, en sus respectivos ámbitos de aplicación, garantizarán el estricto cumplimiento de lo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previsto en los dos párrafos anteriores, incluyendo el régimen de sanciones a que haya lugar.</w:t>
      </w:r>
    </w:p>
    <w:p w14:paraId="39387BD9" w14:textId="77777777" w:rsidR="009945F5" w:rsidRDefault="009945F5" w:rsidP="009945F5">
      <w:pPr>
        <w:spacing w:line="360" w:lineRule="auto"/>
        <w:jc w:val="both"/>
        <w:rPr>
          <w:rFonts w:ascii="Cambria" w:hAnsi="Cambria"/>
          <w:b/>
          <w:bCs/>
          <w:sz w:val="24"/>
          <w:szCs w:val="24"/>
        </w:rPr>
      </w:pPr>
    </w:p>
    <w:p w14:paraId="261D78A7" w14:textId="78719A47" w:rsidR="009945F5" w:rsidRPr="009945F5" w:rsidRDefault="009945F5" w:rsidP="009945F5">
      <w:pPr>
        <w:spacing w:line="360" w:lineRule="auto"/>
        <w:jc w:val="both"/>
        <w:rPr>
          <w:rFonts w:ascii="Cambria" w:hAnsi="Cambria"/>
          <w:b/>
          <w:bCs/>
          <w:sz w:val="24"/>
          <w:szCs w:val="24"/>
          <w:u w:val="single"/>
        </w:rPr>
      </w:pPr>
      <w:r w:rsidRPr="009945F5">
        <w:rPr>
          <w:rFonts w:ascii="Cambria" w:hAnsi="Cambria"/>
          <w:b/>
          <w:bCs/>
          <w:sz w:val="24"/>
          <w:szCs w:val="24"/>
          <w:u w:val="single"/>
        </w:rPr>
        <w:t>LEY DE PRESUPUESTO Y RESPONSABILIDAD HACENDARIA DEL ESTADO Y MUNCIPIOS DE SAN LUIS POTOSI</w:t>
      </w:r>
    </w:p>
    <w:p w14:paraId="5DEBC7CF" w14:textId="77777777" w:rsidR="009945F5" w:rsidRPr="009945F5" w:rsidRDefault="009945F5" w:rsidP="009945F5">
      <w:pPr>
        <w:spacing w:line="360" w:lineRule="auto"/>
        <w:rPr>
          <w:rFonts w:ascii="Cambria" w:hAnsi="Cambria"/>
          <w:b/>
          <w:bCs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CAPÍTULO II</w:t>
      </w:r>
    </w:p>
    <w:p w14:paraId="395D471C" w14:textId="77777777" w:rsidR="009945F5" w:rsidRPr="009945F5" w:rsidRDefault="009945F5" w:rsidP="009945F5">
      <w:pPr>
        <w:spacing w:line="360" w:lineRule="auto"/>
        <w:rPr>
          <w:rFonts w:ascii="Cambria" w:hAnsi="Cambria"/>
          <w:b/>
          <w:bCs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De la Evaluación</w:t>
      </w:r>
    </w:p>
    <w:p w14:paraId="33541209" w14:textId="23366E0F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ARTÍCULO 77.</w:t>
      </w:r>
      <w:r w:rsidRPr="009945F5">
        <w:rPr>
          <w:rFonts w:ascii="Cambria" w:hAnsi="Cambria"/>
          <w:sz w:val="24"/>
          <w:szCs w:val="24"/>
        </w:rPr>
        <w:t xml:space="preserve"> La Secretaría realizará trimestralmente la evaluación económica de los ingresos y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egresos, en función de los calendarios de presupuesto de las dependencias y entidades. Los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 xml:space="preserve">demás ejecutores del gasto realizarán este análisis, a través de sus </w:t>
      </w:r>
      <w:r w:rsidRPr="009945F5">
        <w:rPr>
          <w:rFonts w:ascii="Cambria" w:hAnsi="Cambria"/>
          <w:sz w:val="24"/>
          <w:szCs w:val="24"/>
        </w:rPr>
        <w:lastRenderedPageBreak/>
        <w:t>respectivas unidades de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administración, o de las unidades especializadas que éstas determinen.</w:t>
      </w:r>
    </w:p>
    <w:p w14:paraId="5D60EE45" w14:textId="035421B7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ARTÍCULO 78.</w:t>
      </w:r>
      <w:r w:rsidRPr="009945F5">
        <w:rPr>
          <w:rFonts w:ascii="Cambria" w:hAnsi="Cambria"/>
          <w:sz w:val="24"/>
          <w:szCs w:val="24"/>
        </w:rPr>
        <w:t xml:space="preserve"> La evaluación del desempeño se realizará a través de la verificación del grado de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cumplimiento de los objetivos y metas, con base en indicadores estratégicos y de gestión que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permitan conocer los resultados de la aplicación de los recursos públicos. Para tal efecto, las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instancias públicas a cargo de la evaluación del desempeño se sujetarán a lo siguiente:</w:t>
      </w:r>
    </w:p>
    <w:p w14:paraId="6AA1B404" w14:textId="77777777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I.</w:t>
      </w:r>
      <w:r w:rsidRPr="009945F5">
        <w:rPr>
          <w:rFonts w:ascii="Cambria" w:hAnsi="Cambria"/>
          <w:sz w:val="24"/>
          <w:szCs w:val="24"/>
        </w:rPr>
        <w:t xml:space="preserve"> Efectuarán las evaluaciones por sí mismas, o a través de personas físicas y morales</w:t>
      </w:r>
    </w:p>
    <w:p w14:paraId="583443E5" w14:textId="56264EAC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especializadas y con experiencia probada en la materia que corresponda evaluar, y que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cumplan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con los requisitos de independencia, imparcialidad y transparencia;</w:t>
      </w:r>
    </w:p>
    <w:p w14:paraId="681D919D" w14:textId="77777777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II.</w:t>
      </w:r>
      <w:r w:rsidRPr="009945F5">
        <w:rPr>
          <w:rFonts w:ascii="Cambria" w:hAnsi="Cambria"/>
          <w:sz w:val="24"/>
          <w:szCs w:val="24"/>
        </w:rPr>
        <w:t xml:space="preserve"> Todas las evaluaciones se harán públicas y al menos deberán contener la siguiente</w:t>
      </w:r>
    </w:p>
    <w:p w14:paraId="516823AD" w14:textId="77777777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información:</w:t>
      </w:r>
    </w:p>
    <w:p w14:paraId="26F02FEF" w14:textId="52EC2FEB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a)</w:t>
      </w:r>
      <w:r w:rsidRPr="009945F5">
        <w:rPr>
          <w:rFonts w:ascii="Cambria" w:hAnsi="Cambria"/>
          <w:sz w:val="24"/>
          <w:szCs w:val="24"/>
        </w:rPr>
        <w:t xml:space="preserve"> Los datos generales de la unidad de administración responsable de dar seguimiento a la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evaluación.</w:t>
      </w:r>
    </w:p>
    <w:p w14:paraId="28B192F4" w14:textId="27EA6C2A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b)</w:t>
      </w:r>
      <w:r w:rsidRPr="009945F5">
        <w:rPr>
          <w:rFonts w:ascii="Cambria" w:hAnsi="Cambria"/>
          <w:sz w:val="24"/>
          <w:szCs w:val="24"/>
        </w:rPr>
        <w:t xml:space="preserve"> La base de datos generada con la información de gabinete y/o de campo para el análisis de la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evaluación.</w:t>
      </w:r>
    </w:p>
    <w:p w14:paraId="3F5F5B27" w14:textId="77777777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c)</w:t>
      </w:r>
      <w:r w:rsidRPr="009945F5">
        <w:rPr>
          <w:rFonts w:ascii="Cambria" w:hAnsi="Cambria"/>
          <w:sz w:val="24"/>
          <w:szCs w:val="24"/>
        </w:rPr>
        <w:t xml:space="preserve"> Los instrumentos de recolección de información: cuestionarios, entrevistas o formatos, entre</w:t>
      </w:r>
    </w:p>
    <w:p w14:paraId="4838D011" w14:textId="77777777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otros.</w:t>
      </w:r>
    </w:p>
    <w:p w14:paraId="10A9B578" w14:textId="41851956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d)</w:t>
      </w:r>
      <w:r w:rsidRPr="009945F5">
        <w:rPr>
          <w:rFonts w:ascii="Cambria" w:hAnsi="Cambria"/>
          <w:sz w:val="24"/>
          <w:szCs w:val="24"/>
        </w:rPr>
        <w:t xml:space="preserve"> Un resumen ejecutivo en el que se describan los principales hallazgos y recomendaciones del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evaluador;</w:t>
      </w:r>
    </w:p>
    <w:p w14:paraId="59A38965" w14:textId="77777777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III.</w:t>
      </w:r>
      <w:r w:rsidRPr="009945F5">
        <w:rPr>
          <w:rFonts w:ascii="Cambria" w:hAnsi="Cambria"/>
          <w:sz w:val="24"/>
          <w:szCs w:val="24"/>
        </w:rPr>
        <w:t xml:space="preserve"> Las evaluaciones podrán efectuarse respecto de las políticas públicas, los programas</w:t>
      </w:r>
    </w:p>
    <w:p w14:paraId="385821AE" w14:textId="77777777" w:rsid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 xml:space="preserve">correspondientes, y el desempeño de las instituciones encargadas de llevarlos a cabo. </w:t>
      </w:r>
    </w:p>
    <w:p w14:paraId="57846090" w14:textId="2A60385F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Para tal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efecto, se establecerán los métodos de evaluación que sean necesarios, los cuales podrán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utilizarse de acuerdo a las características de las evaluaciones respectivas;</w:t>
      </w:r>
    </w:p>
    <w:p w14:paraId="0C794610" w14:textId="77777777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lastRenderedPageBreak/>
        <w:t>IV.</w:t>
      </w:r>
      <w:r w:rsidRPr="009945F5">
        <w:rPr>
          <w:rFonts w:ascii="Cambria" w:hAnsi="Cambria"/>
          <w:sz w:val="24"/>
          <w:szCs w:val="24"/>
        </w:rPr>
        <w:t xml:space="preserve"> Establecerán programas anuales de evaluación;</w:t>
      </w:r>
    </w:p>
    <w:p w14:paraId="3C2A084E" w14:textId="0FA369AC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V.</w:t>
      </w:r>
      <w:r w:rsidRPr="009945F5">
        <w:rPr>
          <w:rFonts w:ascii="Cambria" w:hAnsi="Cambria"/>
          <w:sz w:val="24"/>
          <w:szCs w:val="24"/>
        </w:rPr>
        <w:t xml:space="preserve"> Los ejecutores del gasto deberán presentar resultados con base en indicadores desagregados,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a fin de que se pueda medir el impacto y la incidencia en los programas, y</w:t>
      </w:r>
    </w:p>
    <w:p w14:paraId="76E4ABFB" w14:textId="7335DB0B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VI.</w:t>
      </w:r>
      <w:r w:rsidRPr="009945F5">
        <w:rPr>
          <w:rFonts w:ascii="Cambria" w:hAnsi="Cambria"/>
          <w:sz w:val="24"/>
          <w:szCs w:val="24"/>
        </w:rPr>
        <w:t xml:space="preserve"> Deberán dar seguimiento a la atención de las recomendaciones realizadas por la Auditoría, o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los órganos de control interno a las evaluaciones correspondientes.</w:t>
      </w:r>
    </w:p>
    <w:p w14:paraId="0AEFE48F" w14:textId="09385192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b/>
          <w:bCs/>
          <w:sz w:val="24"/>
          <w:szCs w:val="24"/>
        </w:rPr>
        <w:t>ARTÍCULO 79.</w:t>
      </w:r>
      <w:r w:rsidRPr="009945F5">
        <w:rPr>
          <w:rFonts w:ascii="Cambria" w:hAnsi="Cambria"/>
          <w:sz w:val="24"/>
          <w:szCs w:val="24"/>
        </w:rPr>
        <w:t xml:space="preserve"> Los órganos de control interno de los ejecutores del gasto, en el ámbito de sus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respectivas competencias, verificarán periódicamente, al menos cada trimestre, los resultados de la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ejecución de los programas y presupuestos, con base en el sistema de evaluación del desempeño,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para identificar la eficiencia, economía, eficacia, y la calidad en la administración pública y el</w:t>
      </w:r>
      <w:r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impacto social del ejercicio del gasto público, así como aplicar las medidas conducentes.</w:t>
      </w:r>
    </w:p>
    <w:p w14:paraId="31D4A01E" w14:textId="3C57FFD8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El sistema de evaluación del desempeño a que se refiere el párrafo anterior del presente artículo,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será obligatorio para los ejecutores del gasto, que incorporarán indicadores para evaluar los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resultados presentados en los informes trimestrales, enfatizando en la calidad de los bienes y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servicios públicos, la satisfacción del ciudadano y el cumplimiento de los criterios establecidos en el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artículo 2° de esta Ley.</w:t>
      </w:r>
    </w:p>
    <w:p w14:paraId="5377DB8C" w14:textId="76CD906E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La Secretaría, y la Contraloría, emitirán las disposiciones para la aplicación y evaluación de los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referidos indicadores en las dependencias y entidades. Los poderes, Legislativo; y Judicial, los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entes autónomos, y los municipios y sus organismos emitirán sus respectivas disposiciones por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conducto de sus unidades de administración.</w:t>
      </w:r>
    </w:p>
    <w:p w14:paraId="797B70C8" w14:textId="59D4915A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En la elaboración de los anteproyectos de presupuesto a los que se refiere el artículo 25 de la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presente Ley, los ejecutores del gasto deberán considerar los indicadores del sistema de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evaluación de desempeño, mismos que formarán parte del Presupuesto de Egresos, e incorporarán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sus resultados en la Cuenta Pública, explicando en forma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detallada las causas de las variaciones y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su correspondiente efecto económico.</w:t>
      </w:r>
    </w:p>
    <w:p w14:paraId="7A485A7E" w14:textId="180C8FB2" w:rsidR="009945F5" w:rsidRPr="009945F5" w:rsidRDefault="009945F5" w:rsidP="009945F5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9945F5">
        <w:rPr>
          <w:rFonts w:ascii="Cambria" w:hAnsi="Cambria"/>
          <w:sz w:val="24"/>
          <w:szCs w:val="24"/>
        </w:rPr>
        <w:t>Los resultados a los que se refiere este artículo deberán ser considerados para efectos de la</w:t>
      </w:r>
      <w:r w:rsidR="0023562E">
        <w:rPr>
          <w:rFonts w:ascii="Cambria" w:hAnsi="Cambria"/>
          <w:sz w:val="24"/>
          <w:szCs w:val="24"/>
        </w:rPr>
        <w:t xml:space="preserve"> </w:t>
      </w:r>
      <w:r w:rsidRPr="009945F5">
        <w:rPr>
          <w:rFonts w:ascii="Cambria" w:hAnsi="Cambria"/>
          <w:sz w:val="24"/>
          <w:szCs w:val="24"/>
        </w:rPr>
        <w:t>programación, presupuestación y ejercicio de los recursos.</w:t>
      </w:r>
    </w:p>
    <w:sectPr w:rsidR="009945F5" w:rsidRPr="009945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5F5"/>
    <w:rsid w:val="0023562E"/>
    <w:rsid w:val="008C74C3"/>
    <w:rsid w:val="0099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5DCE6"/>
  <w15:chartTrackingRefBased/>
  <w15:docId w15:val="{04A92A93-8006-4B26-B8B2-5FAC18D7A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1134</Words>
  <Characters>6239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2021-03-11T05:16:00Z</dcterms:created>
  <dcterms:modified xsi:type="dcterms:W3CDTF">2021-03-11T05:46:00Z</dcterms:modified>
</cp:coreProperties>
</file>