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715D" w:rsidRDefault="0015715D" w:rsidP="0015715D">
      <w:pPr>
        <w:jc w:val="center"/>
        <w:rPr>
          <w:rFonts w:ascii="Arial" w:hAnsi="Arial" w:cs="Arial"/>
          <w:sz w:val="28"/>
          <w:szCs w:val="28"/>
        </w:rPr>
      </w:pPr>
      <w:r w:rsidRPr="0015715D">
        <w:rPr>
          <w:rFonts w:ascii="Arial" w:hAnsi="Arial" w:cs="Arial"/>
          <w:sz w:val="28"/>
          <w:szCs w:val="28"/>
        </w:rPr>
        <w:t>NO APLICA</w:t>
      </w:r>
    </w:p>
    <w:p w:rsidR="00ED527B" w:rsidRDefault="0015715D" w:rsidP="0015715D">
      <w:pPr>
        <w:jc w:val="center"/>
        <w:rPr>
          <w:rFonts w:ascii="Arial" w:hAnsi="Arial" w:cs="Arial"/>
          <w:sz w:val="28"/>
          <w:szCs w:val="28"/>
        </w:rPr>
      </w:pPr>
      <w:r>
        <w:rPr>
          <w:rFonts w:ascii="Arial" w:hAnsi="Arial" w:cs="Arial"/>
          <w:sz w:val="28"/>
          <w:szCs w:val="28"/>
        </w:rPr>
        <w:t>EL ORGANISMO OPERADOR NO RECIBIÓ RECURSOS EXTERNOS</w:t>
      </w:r>
      <w:bookmarkStart w:id="0" w:name="_GoBack"/>
      <w:bookmarkEnd w:id="0"/>
    </w:p>
    <w:p w:rsidR="0015715D" w:rsidRPr="0015715D" w:rsidRDefault="0015715D" w:rsidP="0015715D">
      <w:pPr>
        <w:jc w:val="center"/>
        <w:rPr>
          <w:rFonts w:ascii="Arial" w:hAnsi="Arial" w:cs="Arial"/>
          <w:sz w:val="28"/>
          <w:szCs w:val="28"/>
        </w:rPr>
      </w:pPr>
    </w:p>
    <w:p w:rsidR="0015715D" w:rsidRPr="0015715D" w:rsidRDefault="0015715D" w:rsidP="0015715D">
      <w:pPr>
        <w:jc w:val="both"/>
        <w:rPr>
          <w:rFonts w:ascii="Arial" w:hAnsi="Arial" w:cs="Arial"/>
          <w:sz w:val="28"/>
          <w:szCs w:val="28"/>
        </w:rPr>
      </w:pPr>
    </w:p>
    <w:p w:rsidR="0015715D" w:rsidRPr="0015715D" w:rsidRDefault="0015715D" w:rsidP="0015715D">
      <w:pPr>
        <w:jc w:val="both"/>
        <w:rPr>
          <w:rFonts w:ascii="Arial" w:hAnsi="Arial" w:cs="Arial"/>
          <w:sz w:val="28"/>
          <w:szCs w:val="28"/>
        </w:rPr>
      </w:pPr>
      <w:r w:rsidRPr="0015715D">
        <w:rPr>
          <w:rFonts w:ascii="Arial" w:hAnsi="Arial" w:cs="Arial"/>
          <w:sz w:val="28"/>
          <w:szCs w:val="28"/>
        </w:rPr>
        <w:t>Las Secretarías de Finanzas (o equivalente), serán las que otorguen la información sobre las fórmulas de distribución de los recursos otorgados, por su parte las entidades federativas, a través de su Secretaría de Finanzas (o equivalente), serán las que doten de la información sobre los egresos de todas sus Secretarías Estatales. En el caso de los Ayuntamientos deberá ser la Presidencia municipal (apoyada por la Comisión de Hacienda, Tesorero Municipal y/o Contralor Municipal)</w:t>
      </w:r>
    </w:p>
    <w:sectPr w:rsidR="0015715D" w:rsidRPr="0015715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15D"/>
    <w:rsid w:val="0015715D"/>
    <w:rsid w:val="00ED527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31CB81-1A17-479C-A8A6-764F61594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83</Words>
  <Characters>462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Delgado Zúñiga</dc:creator>
  <cp:keywords/>
  <dc:description/>
  <cp:lastModifiedBy>Jaime Delgado Zúñiga</cp:lastModifiedBy>
  <cp:revision>1</cp:revision>
  <dcterms:created xsi:type="dcterms:W3CDTF">2021-01-13T16:55:00Z</dcterms:created>
  <dcterms:modified xsi:type="dcterms:W3CDTF">2021-01-13T16:58:00Z</dcterms:modified>
</cp:coreProperties>
</file>