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2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51"/>
      </w:tblGrid>
      <w:tr w:rsidR="0014775B" w:rsidRPr="00123789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14775B" w:rsidRPr="00123789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las cancelaciones y condonaciones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LTAIPSLP85IF3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que no generan la información solicitada en el presente inciso publicarán una nota aclaratoria e informativa, así como un hipervínculo al sujeto obligado que refieran</w:t>
            </w:r>
          </w:p>
        </w:tc>
      </w:tr>
    </w:tbl>
    <w:p w:rsidR="0014775B" w:rsidRDefault="0014775B" w:rsidP="0014775B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14775B" w:rsidRDefault="0014775B" w:rsidP="0014775B"/>
    <w:p w:rsidR="0014775B" w:rsidRPr="001F0812" w:rsidRDefault="0014775B" w:rsidP="0014775B">
      <w:r w:rsidRPr="00123789">
        <w:t>NO SE GENERO INFORMACIÓN DE HIPERVÍNCULO A LAS CANCELACIONES Y CONDONACIONES DE CRÉDITOS FISCALES</w:t>
      </w:r>
      <w:r>
        <w:t xml:space="preserve"> </w:t>
      </w:r>
      <w:r w:rsidR="008E1A3D">
        <w:t>EN EL MES DE OCTUBRE</w:t>
      </w:r>
      <w:bookmarkStart w:id="0" w:name="_GoBack"/>
      <w:bookmarkEnd w:id="0"/>
      <w:r w:rsidRPr="00123789">
        <w:t xml:space="preserve"> DEL 2020. ACUERDO AL ARTÍCULO 18 Y 19 D</w:t>
      </w:r>
      <w:r>
        <w:t>E LA LEY DE TRANSPARENCIA, NO FUERON OTORGADAS</w:t>
      </w:r>
      <w:r w:rsidRPr="00123789">
        <w:t xml:space="preserve"> CONDONACIONES.</w:t>
      </w:r>
    </w:p>
    <w:p w:rsidR="000D093F" w:rsidRDefault="008E1A3D"/>
    <w:sectPr w:rsidR="000D09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729"/>
    <w:rsid w:val="0014775B"/>
    <w:rsid w:val="00284729"/>
    <w:rsid w:val="008E1A3D"/>
    <w:rsid w:val="00930C81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3</cp:revision>
  <dcterms:created xsi:type="dcterms:W3CDTF">2020-11-09T16:30:00Z</dcterms:created>
  <dcterms:modified xsi:type="dcterms:W3CDTF">2020-11-25T14:44:00Z</dcterms:modified>
</cp:coreProperties>
</file>