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1146" w:rsidRDefault="00477982" w:rsidP="00477982">
      <w:pPr>
        <w:spacing w:line="480" w:lineRule="auto"/>
        <w:jc w:val="both"/>
        <w:rPr>
          <w:rFonts w:ascii="Arial" w:hAnsi="Arial" w:cs="Arial"/>
          <w:sz w:val="28"/>
          <w:szCs w:val="28"/>
        </w:rPr>
      </w:pPr>
      <w:bookmarkStart w:id="0" w:name="_GoBack"/>
      <w:bookmarkEnd w:id="0"/>
      <w:r w:rsidRPr="00477982">
        <w:rPr>
          <w:rFonts w:ascii="Arial" w:hAnsi="Arial" w:cs="Arial"/>
          <w:sz w:val="28"/>
          <w:szCs w:val="28"/>
        </w:rPr>
        <w:t xml:space="preserve">La información relativa a </w:t>
      </w:r>
      <w:proofErr w:type="spellStart"/>
      <w:r w:rsidRPr="00477982">
        <w:rPr>
          <w:rFonts w:ascii="Arial" w:hAnsi="Arial" w:cs="Arial"/>
          <w:sz w:val="28"/>
          <w:szCs w:val="28"/>
        </w:rPr>
        <w:t>curriculum</w:t>
      </w:r>
      <w:proofErr w:type="spellEnd"/>
      <w:r w:rsidRPr="00477982">
        <w:rPr>
          <w:rFonts w:ascii="Arial" w:hAnsi="Arial" w:cs="Arial"/>
          <w:sz w:val="28"/>
          <w:szCs w:val="28"/>
        </w:rPr>
        <w:t xml:space="preserve"> de candidatos no se genera, por no ser requisito de elegibilidad</w:t>
      </w:r>
      <w:r>
        <w:rPr>
          <w:rFonts w:ascii="Arial" w:hAnsi="Arial" w:cs="Arial"/>
          <w:sz w:val="28"/>
          <w:szCs w:val="28"/>
        </w:rPr>
        <w:t>,</w:t>
      </w:r>
      <w:r w:rsidRPr="00477982">
        <w:rPr>
          <w:rFonts w:ascii="Arial" w:hAnsi="Arial" w:cs="Arial"/>
          <w:sz w:val="28"/>
          <w:szCs w:val="28"/>
        </w:rPr>
        <w:t xml:space="preserve"> ni estar contemplada dicha obligación en la normatividad electoral. Lo anterior con fundamento en los artículos 303 y 304 de la Ley Electoral del Estado de San Luis Potosí.</w:t>
      </w:r>
    </w:p>
    <w:p w:rsidR="00702F74" w:rsidRDefault="00702F74" w:rsidP="00477982">
      <w:pPr>
        <w:spacing w:line="480" w:lineRule="auto"/>
        <w:jc w:val="both"/>
        <w:rPr>
          <w:rFonts w:ascii="Arial" w:hAnsi="Arial" w:cs="Arial"/>
          <w:sz w:val="28"/>
          <w:szCs w:val="28"/>
        </w:rPr>
      </w:pPr>
    </w:p>
    <w:p w:rsidR="00702F74" w:rsidRDefault="00702F74" w:rsidP="00477982">
      <w:pPr>
        <w:spacing w:line="480" w:lineRule="auto"/>
        <w:jc w:val="both"/>
        <w:rPr>
          <w:rFonts w:ascii="Arial" w:hAnsi="Arial" w:cs="Arial"/>
          <w:sz w:val="28"/>
          <w:szCs w:val="28"/>
        </w:rPr>
      </w:pPr>
    </w:p>
    <w:p w:rsidR="00702F74" w:rsidRPr="00702F74" w:rsidRDefault="00702F74" w:rsidP="00702F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:rsidR="00702F74" w:rsidRPr="00702F74" w:rsidRDefault="00702F74" w:rsidP="00702F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:rsidR="00702F74" w:rsidRPr="00702F74" w:rsidRDefault="00702F74" w:rsidP="00702F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sectPr w:rsidR="00702F74" w:rsidRPr="00702F74" w:rsidSect="00327C14">
      <w:pgSz w:w="12242" w:h="15842" w:code="1"/>
      <w:pgMar w:top="2269" w:right="1418" w:bottom="1418" w:left="1418" w:header="709" w:footer="709" w:gutter="0"/>
      <w:paperSrc w:first="259" w:other="259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F14"/>
    <w:rsid w:val="00327C14"/>
    <w:rsid w:val="003878A1"/>
    <w:rsid w:val="00477982"/>
    <w:rsid w:val="00702F74"/>
    <w:rsid w:val="00795F14"/>
    <w:rsid w:val="00EA4480"/>
    <w:rsid w:val="00EC1146"/>
    <w:rsid w:val="00FE2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087FB3-8DFE-4120-BB8C-461A4B04A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15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3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 Laura MLLR. Lopez Rocha</dc:creator>
  <cp:keywords/>
  <dc:description/>
  <cp:lastModifiedBy>Martha Laura MLLR. Lopez Rocha</cp:lastModifiedBy>
  <cp:revision>2</cp:revision>
  <dcterms:created xsi:type="dcterms:W3CDTF">2021-09-29T17:17:00Z</dcterms:created>
  <dcterms:modified xsi:type="dcterms:W3CDTF">2021-09-29T17:17:00Z</dcterms:modified>
</cp:coreProperties>
</file>