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798" w:rsidRDefault="00412798">
      <w:pPr>
        <w:rPr>
          <w:noProof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469353CD" wp14:editId="1D02AA8E">
            <wp:simplePos x="0" y="0"/>
            <wp:positionH relativeFrom="column">
              <wp:posOffset>53340</wp:posOffset>
            </wp:positionH>
            <wp:positionV relativeFrom="paragraph">
              <wp:posOffset>-283210</wp:posOffset>
            </wp:positionV>
            <wp:extent cx="3917315" cy="1096645"/>
            <wp:effectExtent l="0" t="0" r="6985" b="0"/>
            <wp:wrapThrough wrapText="bothSides">
              <wp:wrapPolygon edited="0">
                <wp:start x="0" y="0"/>
                <wp:lineTo x="0" y="17260"/>
                <wp:lineTo x="21533" y="17260"/>
                <wp:lineTo x="21533" y="0"/>
                <wp:lineTo x="0" y="0"/>
              </wp:wrapPolygon>
            </wp:wrapThrough>
            <wp:docPr id="11" name="Imagen 11" descr="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2" t="43374" r="38516" b="-16801"/>
                    <a:stretch/>
                  </pic:blipFill>
                  <pic:spPr bwMode="auto">
                    <a:xfrm>
                      <a:off x="0" y="0"/>
                      <a:ext cx="3917315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2798" w:rsidRDefault="00412798">
      <w:pPr>
        <w:rPr>
          <w:noProof/>
          <w:lang w:eastAsia="es-MX"/>
        </w:rPr>
      </w:pPr>
    </w:p>
    <w:p w:rsidR="00412798" w:rsidRDefault="00412798">
      <w:pPr>
        <w:rPr>
          <w:noProof/>
          <w:lang w:eastAsia="es-MX"/>
        </w:rPr>
      </w:pPr>
    </w:p>
    <w:p w:rsidR="00704928" w:rsidRDefault="00412798" w:rsidP="00412798">
      <w:pPr>
        <w:jc w:val="both"/>
      </w:pPr>
      <w:r w:rsidRPr="00412798">
        <w:rPr>
          <w:noProof/>
          <w:lang w:eastAsia="es-MX"/>
        </w:rPr>
        <w:t>Conforme a lo dispuesto por el Título Décimo Segundo de la Ley de los Trabajadores al Servicio de las Instituciones Públicas del Estado de San Luis Potosí;  Títulos Primero, Segundo y Tercero de la Ley Orgánica del Tribunal Estatal de Justicia Administrativa; Ley Federal del Trabajo; Libros Primero, Segundo y Tercero del Código Procesal Administrativo para el Estado de San Luis Potosí;  Títulos Primero y Segundo de la Ley Orgánica del Poder Judicial del Estado de San Luis Potosí; así como  el artículo 41 Bis de la Ley Orgánica de la Administración Pública del Estado de San Luis Potosí, del año 2015 a la fecha, esta dependencia no se encuentra facultada para emitir resoluciones y laudos en procesos o proc</w:t>
      </w:r>
      <w:bookmarkStart w:id="0" w:name="_GoBack"/>
      <w:bookmarkEnd w:id="0"/>
      <w:r w:rsidRPr="00412798">
        <w:rPr>
          <w:noProof/>
          <w:lang w:eastAsia="es-MX"/>
        </w:rPr>
        <w:t>edimientos seguidos en forma de juicio</w:t>
      </w:r>
    </w:p>
    <w:sectPr w:rsidR="007049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798"/>
    <w:rsid w:val="00412798"/>
    <w:rsid w:val="0070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27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12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27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Fernanda</cp:lastModifiedBy>
  <cp:revision>1</cp:revision>
  <dcterms:created xsi:type="dcterms:W3CDTF">2021-04-26T16:57:00Z</dcterms:created>
  <dcterms:modified xsi:type="dcterms:W3CDTF">2021-04-26T17:00:00Z</dcterms:modified>
</cp:coreProperties>
</file>