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13FB6E9D"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F66D70">
        <w:rPr>
          <w:rFonts w:ascii="AvantGarde Bk BT" w:hAnsi="AvantGarde Bk BT" w:cs="Arial"/>
          <w:b/>
          <w:color w:val="000000" w:themeColor="text1"/>
          <w:sz w:val="24"/>
          <w:szCs w:val="24"/>
        </w:rPr>
        <w:t>1481</w:t>
      </w:r>
      <w:r>
        <w:rPr>
          <w:rFonts w:ascii="AvantGarde Bk BT" w:hAnsi="AvantGarde Bk BT" w:cs="Arial"/>
          <w:b/>
          <w:color w:val="000000" w:themeColor="text1"/>
          <w:sz w:val="24"/>
          <w:szCs w:val="24"/>
        </w:rPr>
        <w:t>/2019</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F66D70">
        <w:rPr>
          <w:rFonts w:ascii="AvantGarde Bk BT" w:hAnsi="AvantGarde Bk BT" w:cs="Arial"/>
          <w:b/>
          <w:color w:val="000000" w:themeColor="text1"/>
          <w:sz w:val="24"/>
          <w:szCs w:val="24"/>
        </w:rPr>
        <w:t>SICOM</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5DA0AF21" w:rsidR="00946007" w:rsidRPr="007C5605" w:rsidRDefault="00F66D70"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TRIBUNAL ELECTORAL DEL ESTADO DE SAN LUIS POTOSÍ</w:t>
      </w:r>
      <w:r w:rsidR="007D2F86">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37B9261" w14:textId="627A19F7" w:rsidR="00946007" w:rsidRPr="007C5605" w:rsidRDefault="00946007" w:rsidP="00911F5B">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A919FB">
        <w:rPr>
          <w:rFonts w:ascii="AvantGarde Bk BT" w:hAnsi="AvantGarde Bk BT" w:cs="Arial"/>
          <w:color w:val="000000" w:themeColor="text1"/>
          <w:sz w:val="24"/>
          <w:szCs w:val="24"/>
        </w:rPr>
        <w:t>12 doce de noviembre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68F740D" w14:textId="582F78A7" w:rsidR="00946007" w:rsidRPr="00927822" w:rsidRDefault="00946007" w:rsidP="00927822">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CA07B07" w14:textId="569E60EB" w:rsidR="00946007" w:rsidRPr="00207103" w:rsidRDefault="00946007" w:rsidP="00927822">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D50B3F">
        <w:rPr>
          <w:rFonts w:ascii="AvantGarde Bk BT" w:hAnsi="AvantGarde Bk BT" w:cs="Arial"/>
          <w:color w:val="000000" w:themeColor="text1"/>
          <w:sz w:val="24"/>
          <w:szCs w:val="24"/>
        </w:rPr>
        <w:t xml:space="preserve">04 seis de </w:t>
      </w:r>
      <w:r w:rsidR="00F66D70">
        <w:rPr>
          <w:rFonts w:ascii="AvantGarde Bk BT" w:hAnsi="AvantGarde Bk BT" w:cs="Arial"/>
          <w:color w:val="000000" w:themeColor="text1"/>
          <w:sz w:val="24"/>
          <w:szCs w:val="24"/>
        </w:rPr>
        <w:t>julio</w:t>
      </w:r>
      <w:r>
        <w:rPr>
          <w:rFonts w:ascii="AvantGarde Bk BT" w:hAnsi="AvantGarde Bk BT" w:cs="Arial"/>
          <w:color w:val="000000" w:themeColor="text1"/>
          <w:sz w:val="24"/>
          <w:szCs w:val="24"/>
        </w:rPr>
        <w:t xml:space="preserve"> de 2019 dos mil diecinueve </w:t>
      </w:r>
      <w:r w:rsidR="007E72A6">
        <w:rPr>
          <w:rFonts w:ascii="AvantGarde Bk BT" w:hAnsi="AvantGarde Bk BT" w:cs="Arial"/>
          <w:color w:val="000000" w:themeColor="text1"/>
          <w:sz w:val="24"/>
          <w:szCs w:val="24"/>
        </w:rPr>
        <w:t>e</w:t>
      </w:r>
      <w:r w:rsidR="00751174">
        <w:rPr>
          <w:rFonts w:ascii="AvantGarde Bk BT" w:hAnsi="AvantGarde Bk BT" w:cs="Arial"/>
          <w:color w:val="000000" w:themeColor="text1"/>
          <w:sz w:val="24"/>
          <w:szCs w:val="24"/>
        </w:rPr>
        <w:t>l</w:t>
      </w:r>
      <w:r>
        <w:rPr>
          <w:rFonts w:ascii="AvantGarde Bk BT" w:hAnsi="AvantGarde Bk BT" w:cs="Arial"/>
          <w:color w:val="000000" w:themeColor="text1"/>
          <w:sz w:val="24"/>
          <w:szCs w:val="24"/>
        </w:rPr>
        <w:t xml:space="preserve"> </w:t>
      </w:r>
      <w:r w:rsidR="00F66D70">
        <w:rPr>
          <w:rFonts w:ascii="AvantGarde Bk BT" w:hAnsi="AvantGarde Bk BT" w:cs="Arial"/>
          <w:b/>
          <w:color w:val="000000" w:themeColor="text1"/>
          <w:sz w:val="24"/>
          <w:szCs w:val="24"/>
        </w:rPr>
        <w:t>TRIBUNAL ELECTORAL DEL ESTADO DE SAN LUIS POTOSÍ</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w:t>
      </w:r>
      <w:r w:rsidR="00645312">
        <w:rPr>
          <w:rFonts w:ascii="AvantGarde Bk BT" w:hAnsi="AvantGarde Bk BT" w:cs="Arial"/>
          <w:color w:val="000000" w:themeColor="text1"/>
          <w:sz w:val="24"/>
          <w:szCs w:val="24"/>
        </w:rPr>
        <w:t>egistrada con número de folio 0</w:t>
      </w:r>
      <w:r w:rsidR="00D50B3F">
        <w:rPr>
          <w:rFonts w:ascii="AvantGarde Bk BT" w:hAnsi="AvantGarde Bk BT" w:cs="Arial"/>
          <w:color w:val="000000" w:themeColor="text1"/>
          <w:sz w:val="24"/>
          <w:szCs w:val="24"/>
        </w:rPr>
        <w:t>0</w:t>
      </w:r>
      <w:r w:rsidR="00F66D70">
        <w:rPr>
          <w:rFonts w:ascii="AvantGarde Bk BT" w:hAnsi="AvantGarde Bk BT" w:cs="Arial"/>
          <w:color w:val="000000" w:themeColor="text1"/>
          <w:sz w:val="24"/>
          <w:szCs w:val="24"/>
        </w:rPr>
        <w:t>9109</w:t>
      </w:r>
      <w:r w:rsidR="00285161">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w:t>
      </w:r>
    </w:p>
    <w:p w14:paraId="0A2136A9" w14:textId="3990F341" w:rsidR="00946007" w:rsidRPr="00927822"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F66D70">
        <w:rPr>
          <w:rFonts w:ascii="AvantGarde Bk BT" w:hAnsi="AvantGarde Bk BT" w:cs="Arial"/>
          <w:color w:val="000000" w:themeColor="text1"/>
          <w:sz w:val="24"/>
          <w:szCs w:val="24"/>
        </w:rPr>
        <w:t>08 ocho de julio</w:t>
      </w:r>
      <w:r w:rsidRPr="00770DB4">
        <w:rPr>
          <w:rFonts w:ascii="AvantGarde Bk BT" w:hAnsi="AvantGarde Bk BT" w:cs="Arial"/>
          <w:sz w:val="24"/>
          <w:szCs w:val="24"/>
        </w:rPr>
        <w:t xml:space="preserve"> </w:t>
      </w:r>
      <w:r>
        <w:rPr>
          <w:rFonts w:ascii="AvantGarde Bk BT" w:hAnsi="AvantGarde Bk BT" w:cs="Arial"/>
          <w:color w:val="000000" w:themeColor="text1"/>
          <w:sz w:val="24"/>
          <w:szCs w:val="24"/>
        </w:rPr>
        <w:t>de 2019 dos mil diecinueve el sujeto obligado otorgó contestación a la solicitud de acceso.</w:t>
      </w:r>
    </w:p>
    <w:p w14:paraId="5D640CBF" w14:textId="178A270A" w:rsidR="00946007" w:rsidRPr="0092495A"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F66D70">
        <w:rPr>
          <w:rFonts w:ascii="AvantGarde Bk BT" w:hAnsi="AvantGarde Bk BT" w:cs="Arial"/>
          <w:color w:val="000000" w:themeColor="text1"/>
          <w:sz w:val="24"/>
          <w:szCs w:val="24"/>
        </w:rPr>
        <w:t>26 veintiséis de julio</w:t>
      </w:r>
      <w:r w:rsidR="00120122">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473DAFF5" w14:textId="15E23A27" w:rsidR="00946007" w:rsidRPr="007C5605"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A919FB">
        <w:rPr>
          <w:rFonts w:ascii="AvantGarde Bk BT" w:hAnsi="AvantGarde Bk BT" w:cs="Arial"/>
          <w:color w:val="000000" w:themeColor="text1"/>
          <w:sz w:val="24"/>
          <w:szCs w:val="24"/>
        </w:rPr>
        <w:t xml:space="preserve">08 ocho de agosto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la presidencia de esta Comisión de Transparencia tuvo por recibido el recurso de revisión, que por razón de turno, tocó conocer a la ponencia </w:t>
      </w:r>
      <w:r w:rsidRPr="007C5605">
        <w:rPr>
          <w:rFonts w:ascii="AvantGarde Bk BT" w:hAnsi="AvantGarde Bk BT" w:cs="Arial"/>
          <w:color w:val="000000" w:themeColor="text1"/>
          <w:sz w:val="24"/>
          <w:szCs w:val="24"/>
        </w:rPr>
        <w:lastRenderedPageBreak/>
        <w:t>del Maestro Alejandro Lafuente Torres para que procediera, previo su análisis, a su admisión o desechamiento según fuera el caso.</w:t>
      </w:r>
    </w:p>
    <w:p w14:paraId="5F9DA4C1" w14:textId="0E6A6AFA" w:rsidR="00946007" w:rsidRPr="007C5605" w:rsidRDefault="00946007" w:rsidP="007E72A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A919FB">
        <w:rPr>
          <w:rFonts w:ascii="AvantGarde Bk BT" w:hAnsi="AvantGarde Bk BT" w:cs="Arial"/>
          <w:color w:val="000000" w:themeColor="text1"/>
          <w:sz w:val="24"/>
          <w:szCs w:val="24"/>
        </w:rPr>
        <w:t>22 veintidós de agosto</w:t>
      </w:r>
      <w:r w:rsidR="006B727F">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el Comisionado Ponente:</w:t>
      </w:r>
    </w:p>
    <w:p w14:paraId="3DC67082" w14:textId="4DAA3DAC"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w:t>
      </w:r>
      <w:r w:rsidR="00120122">
        <w:rPr>
          <w:rFonts w:ascii="AvantGarde Bk BT" w:hAnsi="AvantGarde Bk BT" w:cs="Arial"/>
          <w:color w:val="000000" w:themeColor="text1"/>
          <w:sz w:val="24"/>
          <w:szCs w:val="24"/>
        </w:rPr>
        <w:t>la fracción</w:t>
      </w:r>
      <w:r w:rsidR="00645312">
        <w:rPr>
          <w:rFonts w:ascii="AvantGarde Bk BT" w:hAnsi="AvantGarde Bk BT" w:cs="Arial"/>
          <w:color w:val="000000" w:themeColor="text1"/>
          <w:sz w:val="24"/>
          <w:szCs w:val="24"/>
        </w:rPr>
        <w:t xml:space="preserve"> </w:t>
      </w:r>
      <w:r w:rsidR="009B0870">
        <w:rPr>
          <w:rFonts w:ascii="AvantGarde Bk BT" w:hAnsi="AvantGarde Bk BT" w:cs="Arial"/>
          <w:color w:val="000000" w:themeColor="text1"/>
          <w:sz w:val="24"/>
          <w:szCs w:val="24"/>
        </w:rPr>
        <w:t>V</w:t>
      </w:r>
      <w:r w:rsidR="00A919FB">
        <w:rPr>
          <w:rFonts w:ascii="AvantGarde Bk BT" w:hAnsi="AvantGarde Bk BT" w:cs="Arial"/>
          <w:color w:val="000000" w:themeColor="text1"/>
          <w:sz w:val="24"/>
          <w:szCs w:val="24"/>
        </w:rPr>
        <w:t>III</w:t>
      </w:r>
      <w:r w:rsidR="00F14472">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del artículo 167, de la Ley de la materia.</w:t>
      </w:r>
    </w:p>
    <w:p w14:paraId="00D6F064" w14:textId="2928C537"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A919FB">
        <w:rPr>
          <w:rFonts w:ascii="AvantGarde Bk BT" w:hAnsi="AvantGarde Bk BT" w:cs="Arial"/>
          <w:b/>
          <w:color w:val="000000" w:themeColor="text1"/>
          <w:sz w:val="24"/>
          <w:szCs w:val="24"/>
        </w:rPr>
        <w:t>1481</w:t>
      </w:r>
      <w:r>
        <w:rPr>
          <w:rFonts w:ascii="AvantGarde Bk BT" w:hAnsi="AvantGarde Bk BT" w:cs="Arial"/>
          <w:b/>
          <w:color w:val="000000" w:themeColor="text1"/>
          <w:sz w:val="24"/>
          <w:szCs w:val="24"/>
        </w:rPr>
        <w:t xml:space="preserve">/2019-1 </w:t>
      </w:r>
      <w:r w:rsidR="00A919FB">
        <w:rPr>
          <w:rFonts w:ascii="AvantGarde Bk BT" w:hAnsi="AvantGarde Bk BT" w:cs="Arial"/>
          <w:b/>
          <w:color w:val="000000" w:themeColor="text1"/>
          <w:sz w:val="24"/>
          <w:szCs w:val="24"/>
        </w:rPr>
        <w:t>SICOM</w:t>
      </w:r>
      <w:r w:rsidRPr="00BF7B76">
        <w:rPr>
          <w:rFonts w:ascii="AvantGarde Bk BT" w:hAnsi="AvantGarde Bk BT" w:cs="Arial"/>
          <w:b/>
          <w:color w:val="000000" w:themeColor="text1"/>
          <w:sz w:val="24"/>
          <w:szCs w:val="24"/>
        </w:rPr>
        <w:t>.</w:t>
      </w:r>
    </w:p>
    <w:p w14:paraId="50D0D28A" w14:textId="456AA10F"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006B727F">
        <w:rPr>
          <w:rFonts w:ascii="AvantGarde Bk BT" w:hAnsi="AvantGarde Bk BT" w:cs="Arial"/>
          <w:color w:val="000000" w:themeColor="text1"/>
          <w:sz w:val="24"/>
          <w:szCs w:val="24"/>
        </w:rPr>
        <w:t>l</w:t>
      </w:r>
      <w:r w:rsidR="00D50B3F">
        <w:rPr>
          <w:rFonts w:ascii="AvantGarde Bk BT" w:hAnsi="AvantGarde Bk BT" w:cs="Arial"/>
          <w:color w:val="000000" w:themeColor="text1"/>
          <w:sz w:val="24"/>
          <w:szCs w:val="24"/>
        </w:rPr>
        <w:t xml:space="preserve"> </w:t>
      </w:r>
      <w:r w:rsidR="00A919FB">
        <w:rPr>
          <w:rFonts w:ascii="AvantGarde Bk BT" w:hAnsi="AvantGarde Bk BT" w:cs="Arial"/>
          <w:b/>
          <w:color w:val="000000" w:themeColor="text1"/>
          <w:sz w:val="24"/>
          <w:szCs w:val="24"/>
        </w:rPr>
        <w:t>TRIBUNAL ELECTORAL DEL ESTADO DE SAN LUIS POTOSÍ</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6E11DD44"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w:t>
      </w:r>
      <w:r w:rsidR="00264834">
        <w:rPr>
          <w:rFonts w:ascii="AvantGarde Bk BT" w:hAnsi="AvantGarde Bk BT" w:cs="Arial"/>
          <w:color w:val="000000" w:themeColor="text1"/>
          <w:sz w:val="24"/>
          <w:szCs w:val="24"/>
        </w:rPr>
        <w:t>s</w:t>
      </w:r>
      <w:r>
        <w:rPr>
          <w:rFonts w:ascii="AvantGarde Bk BT" w:hAnsi="AvantGarde Bk BT" w:cs="Arial"/>
          <w:color w:val="000000" w:themeColor="text1"/>
          <w:sz w:val="24"/>
          <w:szCs w:val="24"/>
        </w:rPr>
        <w:t>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0BD2A582" w14:textId="40768099" w:rsidR="00946007" w:rsidRPr="007C5605" w:rsidRDefault="00946007" w:rsidP="00927822">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 xml:space="preserve">remitieran copia certificada del nombramiento </w:t>
      </w:r>
      <w:r w:rsidRPr="007C5605">
        <w:rPr>
          <w:rFonts w:ascii="AvantGarde Bk BT" w:hAnsi="AvantGarde Bk BT" w:cs="Arial"/>
          <w:color w:val="000000" w:themeColor="text1"/>
          <w:sz w:val="24"/>
          <w:szCs w:val="24"/>
        </w:rPr>
        <w:lastRenderedPageBreak/>
        <w:t>que los acreditara como tales; para que señalaran personas y domicilio para oír y recibir notificaciones en esta ciudad y se les informó que una vez que fuera decretado el cierre de instrucción no se atendería la información que fuese enviada.</w:t>
      </w:r>
    </w:p>
    <w:p w14:paraId="230F3781" w14:textId="56C1571F" w:rsidR="00946007" w:rsidRDefault="00946007" w:rsidP="00120122">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00A919FB">
        <w:rPr>
          <w:rFonts w:ascii="AvantGarde Bk BT" w:hAnsi="AvantGarde Bk BT" w:cs="Arial"/>
          <w:b/>
          <w:color w:val="000000" w:themeColor="text1"/>
          <w:sz w:val="24"/>
          <w:szCs w:val="24"/>
        </w:rPr>
        <w:t>Rendición del informe del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A919FB">
        <w:rPr>
          <w:rFonts w:ascii="AvantGarde Bk BT" w:hAnsi="AvantGarde Bk BT" w:cs="Arial"/>
          <w:color w:val="000000" w:themeColor="text1"/>
          <w:sz w:val="24"/>
          <w:szCs w:val="24"/>
        </w:rPr>
        <w:t>18 dieciocho de septiembre</w:t>
      </w:r>
      <w:r w:rsidR="00645312">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 el ponente:</w:t>
      </w:r>
    </w:p>
    <w:p w14:paraId="2DBB880C" w14:textId="13D3D072" w:rsidR="002C4B6A" w:rsidRPr="002B7561" w:rsidRDefault="002C4B6A" w:rsidP="002C4B6A">
      <w:pPr>
        <w:pStyle w:val="corte4fondo"/>
        <w:numPr>
          <w:ilvl w:val="0"/>
          <w:numId w:val="2"/>
        </w:numPr>
        <w:tabs>
          <w:tab w:val="left" w:pos="567"/>
        </w:tabs>
        <w:rPr>
          <w:rFonts w:ascii="AvantGarde Bk BT" w:hAnsi="AvantGarde Bk BT" w:cs="Arial"/>
          <w:sz w:val="24"/>
          <w:szCs w:val="24"/>
        </w:rPr>
      </w:pPr>
      <w:r>
        <w:rPr>
          <w:rFonts w:ascii="AvantGarde Bk BT" w:hAnsi="AvantGarde Bk BT" w:cs="Arial"/>
          <w:sz w:val="24"/>
          <w:szCs w:val="24"/>
        </w:rPr>
        <w:t>R</w:t>
      </w:r>
      <w:r w:rsidRPr="002B7561">
        <w:rPr>
          <w:rFonts w:ascii="AvantGarde Bk BT" w:hAnsi="AvantGarde Bk BT" w:cs="Arial"/>
          <w:sz w:val="24"/>
          <w:szCs w:val="24"/>
        </w:rPr>
        <w:t xml:space="preserve">econoció </w:t>
      </w:r>
      <w:r>
        <w:rPr>
          <w:rFonts w:ascii="AvantGarde Bk BT" w:hAnsi="AvantGarde Bk BT" w:cs="Arial"/>
          <w:sz w:val="24"/>
          <w:szCs w:val="24"/>
        </w:rPr>
        <w:t>la personalidad del Titular del sujeto obligado, como del Titular de la Unidad de Transparencia</w:t>
      </w:r>
      <w:r w:rsidRPr="002B7561">
        <w:rPr>
          <w:rFonts w:ascii="AvantGarde Bk BT" w:hAnsi="AvantGarde Bk BT" w:cs="Arial"/>
          <w:sz w:val="24"/>
          <w:szCs w:val="24"/>
        </w:rPr>
        <w:t xml:space="preserve"> para comparecer en este expediente.</w:t>
      </w:r>
    </w:p>
    <w:p w14:paraId="0E5F103A" w14:textId="77777777" w:rsidR="002C4B6A" w:rsidRPr="002B7561" w:rsidRDefault="002C4B6A" w:rsidP="002C4B6A">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6FFE28B4" w14:textId="77777777" w:rsidR="002C4B6A" w:rsidRPr="002B7561" w:rsidRDefault="002C4B6A" w:rsidP="002C4B6A">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73451927" w14:textId="77777777" w:rsidR="002C4B6A" w:rsidRDefault="002C4B6A" w:rsidP="002C4B6A">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Tuvo por omiso en realizar manifestaciones en vía de alegatos y en ofrecer pruebas al recurrente</w:t>
      </w:r>
      <w:r w:rsidRPr="002B7561">
        <w:rPr>
          <w:rFonts w:ascii="AvantGarde Bk BT" w:hAnsi="AvantGarde Bk BT" w:cs="Arial"/>
          <w:sz w:val="24"/>
          <w:szCs w:val="24"/>
        </w:rPr>
        <w:t>.</w:t>
      </w:r>
    </w:p>
    <w:p w14:paraId="5235D012" w14:textId="42169BB1" w:rsidR="002C4B6A" w:rsidRPr="002C4B6A" w:rsidRDefault="002C4B6A" w:rsidP="002C4B6A">
      <w:pPr>
        <w:pStyle w:val="corte4fondo"/>
        <w:numPr>
          <w:ilvl w:val="0"/>
          <w:numId w:val="1"/>
        </w:numPr>
        <w:tabs>
          <w:tab w:val="left" w:pos="567"/>
        </w:tabs>
        <w:spacing w:after="240"/>
        <w:rPr>
          <w:rFonts w:ascii="AvantGarde Bk BT" w:hAnsi="AvantGarde Bk BT" w:cs="Arial"/>
          <w:sz w:val="24"/>
          <w:szCs w:val="24"/>
        </w:rPr>
      </w:pPr>
      <w:r>
        <w:rPr>
          <w:rFonts w:ascii="AvantGarde Bk BT" w:hAnsi="AvantGarde Bk BT" w:cs="Arial"/>
          <w:sz w:val="24"/>
          <w:szCs w:val="24"/>
        </w:rPr>
        <w:t xml:space="preserve">Finalmente, </w:t>
      </w:r>
      <w:r w:rsidRPr="002C4B6A">
        <w:rPr>
          <w:rFonts w:ascii="AvantGarde Bk BT" w:hAnsi="AvantGarde Bk BT" w:cs="Arial"/>
          <w:color w:val="000000" w:themeColor="text1"/>
          <w:sz w:val="24"/>
          <w:szCs w:val="24"/>
        </w:rPr>
        <w:t>el ponente decretó la ampliación del plazo prevista en el artículo 170 de la ley de la materia, esto en razón de la complejidad del estudio del expediente en cuestión.</w:t>
      </w:r>
    </w:p>
    <w:p w14:paraId="29C7C638" w14:textId="3EEDB240" w:rsidR="00946007" w:rsidRPr="002B7561" w:rsidRDefault="00946007" w:rsidP="00927822">
      <w:pPr>
        <w:pStyle w:val="corte4fondo"/>
        <w:tabs>
          <w:tab w:val="left" w:pos="567"/>
        </w:tabs>
        <w:spacing w:after="240"/>
        <w:jc w:val="center"/>
        <w:rPr>
          <w:rFonts w:ascii="AvantGarde Bk BT" w:hAnsi="AvantGarde Bk BT" w:cs="Arial"/>
          <w:b/>
          <w:sz w:val="24"/>
          <w:szCs w:val="24"/>
        </w:rPr>
      </w:pPr>
      <w:r w:rsidRPr="002B7561">
        <w:rPr>
          <w:rFonts w:ascii="AvantGarde Bk BT" w:hAnsi="AvantGarde Bk BT" w:cs="Arial"/>
          <w:b/>
          <w:sz w:val="24"/>
          <w:szCs w:val="24"/>
        </w:rPr>
        <w:t>CONSIDERANDO</w:t>
      </w:r>
    </w:p>
    <w:p w14:paraId="1A700222" w14:textId="390B15ED" w:rsidR="00946007" w:rsidRPr="002B7561"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084D4F61" w14:textId="59074EE0" w:rsidR="00946007" w:rsidRPr="002B7561"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6CA5EDD" w14:textId="54AF6CB3" w:rsidR="00946007" w:rsidRPr="00927822"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lastRenderedPageBreak/>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2846ACAF" w14:textId="2AC0142D" w:rsidR="00946007" w:rsidRPr="00927822" w:rsidRDefault="00946007" w:rsidP="00911F5B">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5BC29706" w14:textId="476F2358" w:rsidR="002C4B6A" w:rsidRPr="00E965A2" w:rsidRDefault="00946007" w:rsidP="002C4B6A">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w:t>
      </w:r>
      <w:r w:rsidR="002C4B6A" w:rsidRPr="008A6D72">
        <w:rPr>
          <w:rFonts w:ascii="AvantGarde Bk BT" w:hAnsi="AvantGarde Bk BT" w:cs="Arial"/>
          <w:sz w:val="24"/>
          <w:szCs w:val="24"/>
        </w:rPr>
        <w:t xml:space="preserve">El </w:t>
      </w:r>
      <w:r w:rsidR="002C4B6A">
        <w:rPr>
          <w:rFonts w:ascii="AvantGarde Bk BT" w:hAnsi="AvantGarde Bk BT" w:cs="Arial"/>
          <w:sz w:val="24"/>
          <w:szCs w:val="24"/>
        </w:rPr>
        <w:t>08 ocho de julio</w:t>
      </w:r>
      <w:r w:rsidR="002C4B6A" w:rsidRPr="008A6D72">
        <w:rPr>
          <w:rFonts w:ascii="AvantGarde Bk BT" w:hAnsi="AvantGarde Bk BT" w:cs="Arial"/>
          <w:sz w:val="24"/>
          <w:szCs w:val="24"/>
        </w:rPr>
        <w:t xml:space="preserve"> de 2019 dos mil diecinueve</w:t>
      </w:r>
      <w:r w:rsidR="002C4B6A" w:rsidRPr="00E965A2">
        <w:rPr>
          <w:rFonts w:ascii="AvantGarde Bk BT" w:hAnsi="AvantGarde Bk BT" w:cs="Arial"/>
          <w:sz w:val="24"/>
          <w:szCs w:val="24"/>
        </w:rPr>
        <w:t xml:space="preserve"> el solicitante de la información fue notificado de la respuesta a su solicitud de información. </w:t>
      </w:r>
    </w:p>
    <w:p w14:paraId="5328A3A2" w14:textId="53E71457" w:rsidR="002C4B6A" w:rsidRPr="00E965A2" w:rsidRDefault="002C4B6A" w:rsidP="002C4B6A">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Pr>
          <w:rFonts w:ascii="AvantGarde Bk BT" w:hAnsi="AvantGarde Bk BT" w:cs="Arial"/>
          <w:sz w:val="24"/>
          <w:szCs w:val="24"/>
        </w:rPr>
        <w:t xml:space="preserve">09 nueve de julio al 12 doce de agosto </w:t>
      </w:r>
      <w:r w:rsidRPr="00E965A2">
        <w:rPr>
          <w:rFonts w:ascii="AvantGarde Bk BT" w:hAnsi="AvantGarde Bk BT" w:cs="Arial"/>
          <w:sz w:val="24"/>
          <w:szCs w:val="24"/>
        </w:rPr>
        <w:t>de 2019 dos mil diecinueve.</w:t>
      </w:r>
    </w:p>
    <w:p w14:paraId="591A719D" w14:textId="0EE54A8F" w:rsidR="002C4B6A" w:rsidRPr="00E965A2" w:rsidRDefault="002C4B6A" w:rsidP="002C4B6A">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 xml:space="preserve">• Sin tomar en cuenta los días 13 trece, 14 catorce, 20 veinte, 21 veintiuno, 22 veintidós, veintitrés, 24 veinticuatro, 25 veinticinco, 26 veintiséis, 27 veintisiete, 28 veintiocho, 29 veintinueve, 30 treinta y 31 treinta y uno de julio; así como el 01 uno, 02 dos, 03 tres, 04 cuatro, 10 diez y 11 once de agosto </w:t>
      </w:r>
      <w:r w:rsidRPr="00E965A2">
        <w:rPr>
          <w:rFonts w:ascii="AvantGarde Bk BT" w:hAnsi="AvantGarde Bk BT" w:cs="Arial"/>
          <w:sz w:val="24"/>
          <w:szCs w:val="24"/>
        </w:rPr>
        <w:t>por ser inhábiles.</w:t>
      </w:r>
    </w:p>
    <w:p w14:paraId="66858639" w14:textId="5E9FA48E" w:rsidR="002C4B6A" w:rsidRPr="00927822" w:rsidRDefault="002C4B6A" w:rsidP="002C4B6A">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sz w:val="24"/>
          <w:szCs w:val="24"/>
        </w:rPr>
        <w:t>• Consecuentemente si el 26 ventiséis de julio</w:t>
      </w:r>
      <w:r w:rsidRPr="00770DB4">
        <w:rPr>
          <w:rFonts w:ascii="AvantGarde Bk BT" w:hAnsi="AvantGarde Bk BT" w:cs="Arial"/>
          <w:sz w:val="24"/>
          <w:szCs w:val="24"/>
        </w:rPr>
        <w:t xml:space="preserve"> de 2019 dos mil diecinueve el recurrente interpuso el citado medio de impugnación ante esta Comisión de Transparencia, resulta claro que es oportuna su presentación.</w:t>
      </w:r>
    </w:p>
    <w:p w14:paraId="00F2571E" w14:textId="676CA834" w:rsidR="00946007" w:rsidRPr="00927822" w:rsidRDefault="00946007" w:rsidP="002C4B6A">
      <w:pPr>
        <w:pStyle w:val="corte4fondo"/>
        <w:tabs>
          <w:tab w:val="left" w:pos="567"/>
        </w:tabs>
        <w:spacing w:after="240"/>
        <w:rPr>
          <w:rFonts w:ascii="AvantGarde Bk BT" w:hAnsi="AvantGarde Bk BT" w:cs="Arial"/>
          <w:color w:val="FF0000"/>
          <w:sz w:val="24"/>
          <w:szCs w:val="24"/>
        </w:rPr>
      </w:pP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117B1434" w14:textId="3AC92A39" w:rsidR="00946007" w:rsidRPr="00E0750B" w:rsidRDefault="00946007" w:rsidP="00264834">
      <w:pPr>
        <w:pStyle w:val="corte4fondo"/>
        <w:tabs>
          <w:tab w:val="left" w:pos="567"/>
        </w:tabs>
        <w:spacing w:after="240"/>
        <w:ind w:firstLine="680"/>
        <w:rPr>
          <w:rFonts w:ascii="AvantGarde Bk BT" w:hAnsi="AvantGarde Bk BT" w:cs="Arial"/>
          <w:b/>
          <w:sz w:val="24"/>
          <w:szCs w:val="24"/>
        </w:rPr>
      </w:pPr>
      <w:r w:rsidRPr="00E0750B">
        <w:rPr>
          <w:rFonts w:ascii="AvantGarde Bk BT" w:hAnsi="AvantGarde Bk BT" w:cs="Arial"/>
          <w:b/>
          <w:sz w:val="24"/>
          <w:szCs w:val="24"/>
        </w:rPr>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100524E" w14:textId="053C3C40" w:rsidR="00946007" w:rsidRPr="00264834" w:rsidRDefault="00946007" w:rsidP="00B60C37">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t>En la solicitud de información de la que se deriva el presente recurso de revisión se solicitó:</w:t>
      </w:r>
    </w:p>
    <w:p w14:paraId="578B7536" w14:textId="77777777" w:rsidR="002C4B6A" w:rsidRPr="002C4B6A" w:rsidRDefault="00946007" w:rsidP="002C4B6A">
      <w:pPr>
        <w:pStyle w:val="corte4fondo"/>
        <w:tabs>
          <w:tab w:val="left" w:pos="567"/>
        </w:tabs>
        <w:ind w:left="680"/>
        <w:rPr>
          <w:rFonts w:ascii="AvantGarde Bk BT" w:hAnsi="AvantGarde Bk BT" w:cs="Arial"/>
          <w:i/>
          <w:sz w:val="20"/>
          <w:szCs w:val="22"/>
        </w:rPr>
      </w:pPr>
      <w:r w:rsidRPr="00E0750B">
        <w:rPr>
          <w:rFonts w:ascii="AvantGarde Bk BT" w:hAnsi="AvantGarde Bk BT" w:cs="Arial"/>
          <w:sz w:val="24"/>
          <w:szCs w:val="24"/>
        </w:rPr>
        <w:lastRenderedPageBreak/>
        <w:t>“</w:t>
      </w:r>
      <w:r w:rsidR="002C4B6A" w:rsidRPr="002C4B6A">
        <w:rPr>
          <w:rFonts w:ascii="AvantGarde Bk BT" w:hAnsi="AvantGarde Bk BT" w:cs="Arial"/>
          <w:i/>
          <w:sz w:val="20"/>
          <w:szCs w:val="22"/>
        </w:rPr>
        <w:t>Por medio de la presente Plataforma, solicito:</w:t>
      </w:r>
    </w:p>
    <w:p w14:paraId="46140FC5" w14:textId="1C1C8D0F" w:rsidR="00946007" w:rsidRPr="00E0750B" w:rsidRDefault="002C4B6A" w:rsidP="001B3021">
      <w:pPr>
        <w:pStyle w:val="corte4fondo"/>
        <w:tabs>
          <w:tab w:val="left" w:pos="567"/>
        </w:tabs>
        <w:spacing w:after="240"/>
        <w:ind w:left="680"/>
        <w:rPr>
          <w:rFonts w:ascii="AvantGarde Bk BT" w:hAnsi="AvantGarde Bk BT" w:cs="Arial"/>
          <w:sz w:val="24"/>
          <w:szCs w:val="24"/>
        </w:rPr>
      </w:pPr>
      <w:r w:rsidRPr="002C4B6A">
        <w:rPr>
          <w:rFonts w:ascii="AvantGarde Bk BT" w:hAnsi="AvantGarde Bk BT" w:cs="Arial"/>
          <w:i/>
          <w:sz w:val="20"/>
          <w:szCs w:val="22"/>
        </w:rPr>
        <w:t>Entrega a recepción que realizó el Magistrado Oskar Kalixto Sánchez a la Magistrada Yolanda Pedroza Reyes, en octubre del 2018; con todos los anexos de los bienes entregados y recibidos.</w:t>
      </w:r>
      <w:r w:rsidR="00946007" w:rsidRPr="00E0750B">
        <w:rPr>
          <w:rFonts w:ascii="AvantGarde Bk BT" w:hAnsi="AvantGarde Bk BT" w:cs="Arial"/>
          <w:sz w:val="24"/>
          <w:szCs w:val="24"/>
        </w:rPr>
        <w:t xml:space="preserve">” </w:t>
      </w:r>
      <w:r w:rsidR="00946007" w:rsidRPr="00E0750B">
        <w:rPr>
          <w:rFonts w:ascii="AvantGarde Bk BT" w:hAnsi="AvantGarde Bk BT" w:cs="Arial"/>
          <w:b/>
          <w:sz w:val="24"/>
          <w:szCs w:val="24"/>
        </w:rPr>
        <w:t>SIC.</w:t>
      </w:r>
      <w:r w:rsidR="00946007" w:rsidRPr="00E0750B">
        <w:rPr>
          <w:rFonts w:ascii="AvantGarde Bk BT" w:hAnsi="AvantGarde Bk BT" w:cs="Arial"/>
          <w:sz w:val="24"/>
          <w:szCs w:val="24"/>
        </w:rPr>
        <w:t xml:space="preserve"> (Visible a foja </w:t>
      </w:r>
      <w:r w:rsidR="009E114B">
        <w:rPr>
          <w:rFonts w:ascii="AvantGarde Bk BT" w:hAnsi="AvantGarde Bk BT" w:cs="Arial"/>
          <w:sz w:val="24"/>
          <w:szCs w:val="24"/>
        </w:rPr>
        <w:t>0</w:t>
      </w:r>
      <w:r w:rsidR="00EA7CC3">
        <w:rPr>
          <w:rFonts w:ascii="AvantGarde Bk BT" w:hAnsi="AvantGarde Bk BT" w:cs="Arial"/>
          <w:sz w:val="24"/>
          <w:szCs w:val="24"/>
        </w:rPr>
        <w:t>2</w:t>
      </w:r>
      <w:r w:rsidR="00946007" w:rsidRPr="00E0750B">
        <w:rPr>
          <w:rFonts w:ascii="AvantGarde Bk BT" w:hAnsi="AvantGarde Bk BT" w:cs="Arial"/>
          <w:sz w:val="24"/>
          <w:szCs w:val="24"/>
        </w:rPr>
        <w:t xml:space="preserve"> de autos).</w:t>
      </w:r>
    </w:p>
    <w:p w14:paraId="48F358FB" w14:textId="74866416" w:rsidR="00946007" w:rsidRPr="00E0750B" w:rsidRDefault="00946007" w:rsidP="00B60C37">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 xml:space="preserve">Como respuesta a la solicitud, el sujeto obligado </w:t>
      </w:r>
      <w:r w:rsidR="00EA7CC3">
        <w:rPr>
          <w:rFonts w:ascii="AvantGarde Bk BT" w:hAnsi="AvantGarde Bk BT" w:cs="Arial"/>
          <w:sz w:val="24"/>
          <w:szCs w:val="24"/>
        </w:rPr>
        <w:t>señaló</w:t>
      </w:r>
      <w:r w:rsidRPr="00E0750B">
        <w:rPr>
          <w:rFonts w:ascii="AvantGarde Bk BT" w:hAnsi="AvantGarde Bk BT" w:cs="Arial"/>
          <w:sz w:val="24"/>
          <w:szCs w:val="24"/>
        </w:rPr>
        <w:t>:</w:t>
      </w:r>
    </w:p>
    <w:p w14:paraId="3EFB821D" w14:textId="77777777" w:rsidR="001B3021" w:rsidRPr="001B3021" w:rsidRDefault="00EA7CC3" w:rsidP="001B3021">
      <w:pPr>
        <w:pStyle w:val="corte4fondo"/>
        <w:tabs>
          <w:tab w:val="left" w:pos="567"/>
        </w:tabs>
        <w:ind w:left="680"/>
        <w:rPr>
          <w:rFonts w:ascii="AvantGarde Bk BT" w:hAnsi="AvantGarde Bk BT" w:cs="Arial"/>
          <w:i/>
          <w:sz w:val="20"/>
          <w:szCs w:val="24"/>
        </w:rPr>
      </w:pPr>
      <w:r w:rsidRPr="001B3021">
        <w:rPr>
          <w:rFonts w:ascii="AvantGarde Bk BT" w:hAnsi="AvantGarde Bk BT" w:cs="Arial"/>
          <w:i/>
          <w:sz w:val="24"/>
          <w:szCs w:val="24"/>
        </w:rPr>
        <w:t>“</w:t>
      </w:r>
      <w:r w:rsidR="001B3021" w:rsidRPr="001B3021">
        <w:rPr>
          <w:rFonts w:ascii="AvantGarde Bk BT" w:hAnsi="AvantGarde Bk BT" w:cs="Arial"/>
          <w:i/>
          <w:sz w:val="20"/>
          <w:szCs w:val="24"/>
        </w:rPr>
        <w:t>OFICIO No. TESLP/UTAIP/065/2019</w:t>
      </w:r>
    </w:p>
    <w:p w14:paraId="51BB64F5" w14:textId="77777777" w:rsidR="001B3021" w:rsidRPr="001B3021" w:rsidRDefault="001B3021" w:rsidP="001B3021">
      <w:pPr>
        <w:pStyle w:val="corte4fondo"/>
        <w:tabs>
          <w:tab w:val="left" w:pos="567"/>
        </w:tabs>
        <w:ind w:left="680"/>
        <w:rPr>
          <w:rFonts w:ascii="AvantGarde Bk BT" w:hAnsi="AvantGarde Bk BT" w:cs="Arial"/>
          <w:i/>
          <w:sz w:val="20"/>
          <w:szCs w:val="24"/>
        </w:rPr>
      </w:pPr>
      <w:r w:rsidRPr="001B3021">
        <w:rPr>
          <w:rFonts w:ascii="AvantGarde Bk BT" w:hAnsi="AvantGarde Bk BT" w:cs="Arial"/>
          <w:i/>
          <w:sz w:val="20"/>
          <w:szCs w:val="24"/>
        </w:rPr>
        <w:t>San Luis Potosí, S.L.P. a 16 de julio de 2019.</w:t>
      </w:r>
    </w:p>
    <w:p w14:paraId="1D1CDD5A" w14:textId="77777777" w:rsidR="001B3021" w:rsidRPr="001B3021" w:rsidRDefault="001B3021" w:rsidP="001B3021">
      <w:pPr>
        <w:pStyle w:val="corte4fondo"/>
        <w:tabs>
          <w:tab w:val="left" w:pos="567"/>
        </w:tabs>
        <w:ind w:left="680"/>
        <w:rPr>
          <w:rFonts w:ascii="AvantGarde Bk BT" w:hAnsi="AvantGarde Bk BT" w:cs="Arial"/>
          <w:i/>
          <w:sz w:val="20"/>
          <w:szCs w:val="24"/>
        </w:rPr>
      </w:pPr>
      <w:r w:rsidRPr="001B3021">
        <w:rPr>
          <w:rFonts w:ascii="AvantGarde Bk BT" w:hAnsi="AvantGarde Bk BT" w:cs="Arial"/>
          <w:i/>
          <w:sz w:val="20"/>
          <w:szCs w:val="24"/>
        </w:rPr>
        <w:t>Transparencia Transparente</w:t>
      </w:r>
    </w:p>
    <w:p w14:paraId="77649112" w14:textId="77777777" w:rsidR="001B3021" w:rsidRPr="001B3021" w:rsidRDefault="001B3021" w:rsidP="001B3021">
      <w:pPr>
        <w:pStyle w:val="corte4fondo"/>
        <w:tabs>
          <w:tab w:val="left" w:pos="567"/>
        </w:tabs>
        <w:ind w:left="680"/>
        <w:rPr>
          <w:rFonts w:ascii="AvantGarde Bk BT" w:hAnsi="AvantGarde Bk BT" w:cs="Arial"/>
          <w:i/>
          <w:sz w:val="20"/>
          <w:szCs w:val="24"/>
        </w:rPr>
      </w:pPr>
      <w:r w:rsidRPr="001B3021">
        <w:rPr>
          <w:rFonts w:ascii="AvantGarde Bk BT" w:hAnsi="AvantGarde Bk BT" w:cs="Arial"/>
          <w:i/>
          <w:sz w:val="20"/>
          <w:szCs w:val="24"/>
        </w:rPr>
        <w:t>P R E S E N T E.</w:t>
      </w:r>
    </w:p>
    <w:p w14:paraId="681E5566" w14:textId="77777777" w:rsidR="001B3021" w:rsidRPr="001B3021" w:rsidRDefault="001B3021" w:rsidP="001B3021">
      <w:pPr>
        <w:pStyle w:val="corte4fondo"/>
        <w:tabs>
          <w:tab w:val="left" w:pos="567"/>
        </w:tabs>
        <w:ind w:left="680"/>
        <w:rPr>
          <w:rFonts w:ascii="AvantGarde Bk BT" w:hAnsi="AvantGarde Bk BT" w:cs="Arial"/>
          <w:i/>
          <w:sz w:val="20"/>
          <w:szCs w:val="24"/>
        </w:rPr>
      </w:pPr>
      <w:r w:rsidRPr="001B3021">
        <w:rPr>
          <w:rFonts w:ascii="AvantGarde Bk BT" w:hAnsi="AvantGarde Bk BT" w:cs="Arial"/>
          <w:i/>
          <w:sz w:val="20"/>
          <w:szCs w:val="24"/>
        </w:rPr>
        <w:t>En respuesta a la solicitud de información pública presentada mediante la Plataforma Nacional de Transparencia (PNT), registrada con el folio 00910919; se hace de su conocimiento que el área administrativa responsables de la información que solicita señala lo siguiente:</w:t>
      </w:r>
    </w:p>
    <w:p w14:paraId="6EBF1F9D" w14:textId="77777777" w:rsidR="001B3021" w:rsidRPr="001B3021" w:rsidRDefault="001B3021" w:rsidP="001B3021">
      <w:pPr>
        <w:pStyle w:val="corte4fondo"/>
        <w:tabs>
          <w:tab w:val="left" w:pos="567"/>
        </w:tabs>
        <w:ind w:left="680"/>
        <w:rPr>
          <w:rFonts w:ascii="AvantGarde Bk BT" w:hAnsi="AvantGarde Bk BT" w:cs="Arial"/>
          <w:i/>
          <w:sz w:val="20"/>
          <w:szCs w:val="24"/>
        </w:rPr>
      </w:pPr>
      <w:r w:rsidRPr="001B3021">
        <w:rPr>
          <w:rFonts w:ascii="AvantGarde Bk BT" w:hAnsi="AvantGarde Bk BT" w:cs="Arial"/>
          <w:i/>
          <w:sz w:val="20"/>
          <w:szCs w:val="24"/>
        </w:rPr>
        <w:t xml:space="preserve">Respecto a su solicitud de: </w:t>
      </w:r>
    </w:p>
    <w:p w14:paraId="352CCA03" w14:textId="77777777" w:rsidR="001B3021" w:rsidRPr="001B3021" w:rsidRDefault="001B3021" w:rsidP="001B3021">
      <w:pPr>
        <w:pStyle w:val="corte4fondo"/>
        <w:tabs>
          <w:tab w:val="left" w:pos="567"/>
        </w:tabs>
        <w:ind w:left="680"/>
        <w:rPr>
          <w:rFonts w:ascii="AvantGarde Bk BT" w:hAnsi="AvantGarde Bk BT" w:cs="Arial"/>
          <w:i/>
          <w:sz w:val="20"/>
          <w:szCs w:val="24"/>
        </w:rPr>
      </w:pPr>
      <w:r w:rsidRPr="001B3021">
        <w:rPr>
          <w:rFonts w:ascii="AvantGarde Bk BT" w:hAnsi="AvantGarde Bk BT" w:cs="Arial"/>
          <w:i/>
          <w:sz w:val="20"/>
          <w:szCs w:val="24"/>
        </w:rPr>
        <w:t>“Por medio de la presente Plataforma, solicito:</w:t>
      </w:r>
    </w:p>
    <w:p w14:paraId="124EB839" w14:textId="77777777" w:rsidR="001B3021" w:rsidRPr="001B3021" w:rsidRDefault="001B3021" w:rsidP="001B3021">
      <w:pPr>
        <w:pStyle w:val="corte4fondo"/>
        <w:tabs>
          <w:tab w:val="left" w:pos="567"/>
        </w:tabs>
        <w:ind w:left="680"/>
        <w:rPr>
          <w:rFonts w:ascii="AvantGarde Bk BT" w:hAnsi="AvantGarde Bk BT" w:cs="Arial"/>
          <w:i/>
          <w:sz w:val="20"/>
          <w:szCs w:val="24"/>
        </w:rPr>
      </w:pPr>
      <w:r w:rsidRPr="001B3021">
        <w:rPr>
          <w:rFonts w:ascii="AvantGarde Bk BT" w:hAnsi="AvantGarde Bk BT" w:cs="Arial"/>
          <w:i/>
          <w:sz w:val="20"/>
          <w:szCs w:val="24"/>
        </w:rPr>
        <w:t>Entrega a recepción que realizó el Magistrado Oskar Kalixto Sánchez a la Magistrada Yolanda Pedroza Reyes, en octubre del 2018; con todos los anexos de los bienes entregados y recibidos.”</w:t>
      </w:r>
    </w:p>
    <w:p w14:paraId="70FE2218" w14:textId="77777777" w:rsidR="001B3021" w:rsidRPr="001B3021" w:rsidRDefault="001B3021" w:rsidP="001B3021">
      <w:pPr>
        <w:pStyle w:val="corte4fondo"/>
        <w:tabs>
          <w:tab w:val="left" w:pos="567"/>
        </w:tabs>
        <w:ind w:left="680"/>
        <w:rPr>
          <w:rFonts w:ascii="AvantGarde Bk BT" w:hAnsi="AvantGarde Bk BT" w:cs="Arial"/>
          <w:i/>
          <w:sz w:val="20"/>
          <w:szCs w:val="24"/>
        </w:rPr>
      </w:pPr>
      <w:r w:rsidRPr="001B3021">
        <w:rPr>
          <w:rFonts w:ascii="AvantGarde Bk BT" w:hAnsi="AvantGarde Bk BT" w:cs="Arial"/>
          <w:i/>
          <w:sz w:val="20"/>
          <w:szCs w:val="24"/>
        </w:rPr>
        <w:t>La Contraloría Interna de este Tribunal Electoral, informa lo siguiente:</w:t>
      </w:r>
    </w:p>
    <w:p w14:paraId="606EE62E" w14:textId="77777777" w:rsidR="001B3021" w:rsidRPr="001B3021" w:rsidRDefault="001B3021" w:rsidP="001B3021">
      <w:pPr>
        <w:pStyle w:val="corte4fondo"/>
        <w:tabs>
          <w:tab w:val="left" w:pos="567"/>
        </w:tabs>
        <w:ind w:left="680"/>
        <w:rPr>
          <w:rFonts w:ascii="AvantGarde Bk BT" w:hAnsi="AvantGarde Bk BT" w:cs="Arial"/>
          <w:i/>
          <w:sz w:val="20"/>
          <w:szCs w:val="24"/>
        </w:rPr>
      </w:pPr>
      <w:r w:rsidRPr="001B3021">
        <w:rPr>
          <w:rFonts w:ascii="AvantGarde Bk BT" w:hAnsi="AvantGarde Bk BT" w:cs="Arial"/>
          <w:i/>
          <w:sz w:val="20"/>
          <w:szCs w:val="24"/>
        </w:rPr>
        <w:t>“…le informo que realizando una búsqueda no se localizó una entrega recepción del Magistrado Oskar Kalixto Sánchez a la Magistrada Yolanda Pedroza Reyes en la fecha señalada. No obstante le proporciono versión pública del acta de entrega-recepción celebrada el 05 cinco de noviembre del año 2018 dos mil dieciocho, lo anterior de conformidad al artículo 125 de la Ley de Transparencia y Acceso a la Información Pública del Estado de San Luis Potosí ya que el archivo original contiene datos personales, así mismo se proporciona el anexo de los bienes entregados.”</w:t>
      </w:r>
    </w:p>
    <w:p w14:paraId="19816F78" w14:textId="77777777" w:rsidR="001B3021" w:rsidRPr="001B3021" w:rsidRDefault="001B3021" w:rsidP="001B3021">
      <w:pPr>
        <w:pStyle w:val="corte4fondo"/>
        <w:tabs>
          <w:tab w:val="left" w:pos="567"/>
        </w:tabs>
        <w:ind w:left="680"/>
        <w:rPr>
          <w:rFonts w:ascii="AvantGarde Bk BT" w:hAnsi="AvantGarde Bk BT" w:cs="Arial"/>
          <w:i/>
          <w:sz w:val="20"/>
          <w:szCs w:val="24"/>
        </w:rPr>
      </w:pPr>
      <w:r w:rsidRPr="001B3021">
        <w:rPr>
          <w:rFonts w:ascii="AvantGarde Bk BT" w:hAnsi="AvantGarde Bk BT" w:cs="Arial"/>
          <w:i/>
          <w:sz w:val="20"/>
          <w:szCs w:val="24"/>
        </w:rPr>
        <w:t>Se anexan al presente dos archivos en formato PDF de nombres “ACTA ENTREGA RECEPCION” y “FER 22 BIENES MUEBLES”.</w:t>
      </w:r>
    </w:p>
    <w:p w14:paraId="159E12A2" w14:textId="77777777" w:rsidR="001B3021" w:rsidRPr="001B3021" w:rsidRDefault="001B3021" w:rsidP="001B3021">
      <w:pPr>
        <w:pStyle w:val="corte4fondo"/>
        <w:tabs>
          <w:tab w:val="left" w:pos="567"/>
        </w:tabs>
        <w:ind w:left="680"/>
        <w:rPr>
          <w:rFonts w:ascii="AvantGarde Bk BT" w:hAnsi="AvantGarde Bk BT" w:cs="Arial"/>
          <w:i/>
          <w:sz w:val="20"/>
          <w:szCs w:val="24"/>
        </w:rPr>
      </w:pPr>
      <w:r w:rsidRPr="001B3021">
        <w:rPr>
          <w:rFonts w:ascii="AvantGarde Bk BT" w:hAnsi="AvantGarde Bk BT" w:cs="Arial"/>
          <w:i/>
          <w:sz w:val="20"/>
          <w:szCs w:val="24"/>
        </w:rPr>
        <w:t>Con lo anterior se da respuesta a la solicitud de información en término de lo dispuesto por los artículos 153 y 154 de la Ley de Transparencia y Acceso a la Información Pública del Estado, adicionalmente, se le invita a que visite el portal electrónico de este Tribunal Electoral del Estado de San Luis Potosí: www.teeslp.gob.mx, y se hace de su conocimiento el derecho de interponer recurso de revisión ante la Comisión Estatal de Garantía de Acceso a la Información Pública, de conformidad con los artículos 163 y 166 de la Ley de Transparencia y Acceso a la Información Pública del Estado de San Luis Potosí.</w:t>
      </w:r>
    </w:p>
    <w:p w14:paraId="6C3D81A1" w14:textId="77777777" w:rsidR="001B3021" w:rsidRPr="001B3021" w:rsidRDefault="001B3021" w:rsidP="001B3021">
      <w:pPr>
        <w:pStyle w:val="corte4fondo"/>
        <w:tabs>
          <w:tab w:val="left" w:pos="567"/>
        </w:tabs>
        <w:ind w:left="680"/>
        <w:rPr>
          <w:rFonts w:ascii="AvantGarde Bk BT" w:hAnsi="AvantGarde Bk BT" w:cs="Arial"/>
          <w:i/>
          <w:sz w:val="20"/>
          <w:szCs w:val="24"/>
        </w:rPr>
      </w:pPr>
      <w:r w:rsidRPr="001B3021">
        <w:rPr>
          <w:rFonts w:ascii="AvantGarde Bk BT" w:hAnsi="AvantGarde Bk BT" w:cs="Arial"/>
          <w:i/>
          <w:sz w:val="20"/>
          <w:szCs w:val="24"/>
        </w:rPr>
        <w:t>Sin otro particular quedo a sus apreciables órdenes.</w:t>
      </w:r>
    </w:p>
    <w:p w14:paraId="105FD8F5" w14:textId="4674EF72" w:rsidR="001E69CC" w:rsidRPr="001B3021" w:rsidRDefault="001B3021" w:rsidP="001B3021">
      <w:pPr>
        <w:pStyle w:val="corte4fondo"/>
        <w:tabs>
          <w:tab w:val="left" w:pos="567"/>
        </w:tabs>
        <w:spacing w:after="240"/>
        <w:ind w:left="680"/>
        <w:rPr>
          <w:rFonts w:ascii="AvantGarde Bk BT" w:hAnsi="AvantGarde Bk BT" w:cs="Arial"/>
          <w:i/>
          <w:sz w:val="24"/>
          <w:szCs w:val="24"/>
        </w:rPr>
      </w:pPr>
      <w:r w:rsidRPr="001B3021">
        <w:rPr>
          <w:rFonts w:ascii="AvantGarde Bk BT" w:hAnsi="AvantGarde Bk BT" w:cs="Arial"/>
          <w:i/>
          <w:sz w:val="20"/>
          <w:szCs w:val="24"/>
        </w:rPr>
        <w:lastRenderedPageBreak/>
        <w:t>LIC. JORGE A. ESQUIVEL GUILLÉN                                                                               TITULAR DE LA UNIDAD DE TRANSPARENCIA Y ACCESO A LA INFORMACIÓN PÚBLICA DEL TRIBUNAL ELECTORAL DE SAN LUIS POTOSÍ</w:t>
      </w:r>
      <w:r w:rsidR="00EA7CC3" w:rsidRPr="001B3021">
        <w:rPr>
          <w:rFonts w:ascii="AvantGarde Bk BT" w:hAnsi="AvantGarde Bk BT" w:cs="Arial"/>
          <w:i/>
          <w:sz w:val="24"/>
          <w:szCs w:val="24"/>
        </w:rPr>
        <w:t>.”</w:t>
      </w:r>
      <w:r w:rsidRPr="001B3021">
        <w:rPr>
          <w:i/>
        </w:rPr>
        <w:t xml:space="preserve"> </w:t>
      </w:r>
    </w:p>
    <w:p w14:paraId="04C96BCC" w14:textId="2D675F96" w:rsidR="00565C7A" w:rsidRPr="0051746B" w:rsidRDefault="00EA7CC3" w:rsidP="001B3021">
      <w:pPr>
        <w:pStyle w:val="corte4fondo"/>
        <w:tabs>
          <w:tab w:val="left" w:pos="567"/>
        </w:tabs>
        <w:rPr>
          <w:rFonts w:ascii="AvantGarde Bk BT" w:hAnsi="AvantGarde Bk BT" w:cs="Arial"/>
          <w:i/>
          <w:sz w:val="24"/>
          <w:szCs w:val="22"/>
        </w:rPr>
      </w:pPr>
      <w:r>
        <w:rPr>
          <w:rFonts w:ascii="AvantGarde Bk BT" w:hAnsi="AvantGarde Bk BT" w:cs="Arial"/>
          <w:sz w:val="24"/>
          <w:szCs w:val="24"/>
        </w:rPr>
        <w:t xml:space="preserve">Asimismo, el sujeto obligado agregó </w:t>
      </w:r>
      <w:r w:rsidR="001B3021">
        <w:rPr>
          <w:rFonts w:ascii="AvantGarde Bk BT" w:hAnsi="AvantGarde Bk BT" w:cs="Arial"/>
          <w:sz w:val="24"/>
          <w:szCs w:val="24"/>
        </w:rPr>
        <w:t xml:space="preserve">a su respuesta la versión pública del Acta de Entrega recepción y el formato FER-22 de bienes muebles, mismos que se encuentran visibles a foja 05 a 26 de autos y que se tienen por reproducidos como si a la letra se insertasen. </w:t>
      </w:r>
    </w:p>
    <w:p w14:paraId="6CFD3889" w14:textId="57ABB1FB" w:rsidR="00565C7A" w:rsidRDefault="00565C7A" w:rsidP="009419B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Inconforme con la respuesta, el peticionario se inconformó y señaló como agravio lo siguiente:</w:t>
      </w:r>
    </w:p>
    <w:p w14:paraId="67BC393B" w14:textId="56F077EA" w:rsidR="00565C7A" w:rsidRDefault="00565C7A" w:rsidP="00B12D20">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w:t>
      </w:r>
      <w:r w:rsidR="001B3021">
        <w:rPr>
          <w:rFonts w:ascii="AvantGarde Bk BT" w:hAnsi="AvantGarde Bk BT" w:cs="Arial"/>
          <w:i/>
          <w:sz w:val="20"/>
          <w:szCs w:val="24"/>
        </w:rPr>
        <w:t xml:space="preserve">Al abrir el documento anexado por parte de la autoridad, no carga el mismo, la pagina queda totalmente en blanco (como se muestra en la imagen que se anexa en documento Word y se adjunta a la presente queja </w:t>
      </w:r>
      <w:r w:rsidR="00B12D20">
        <w:rPr>
          <w:rFonts w:ascii="AvantGarde Bk BT" w:hAnsi="AvantGarde Bk BT" w:cs="Arial"/>
          <w:i/>
          <w:sz w:val="20"/>
          <w:szCs w:val="24"/>
        </w:rPr>
        <w:t>y7o recurso de revisión</w:t>
      </w:r>
      <w:r w:rsidR="00706D6B" w:rsidRPr="001E69CC">
        <w:rPr>
          <w:rFonts w:ascii="AvantGarde Bk BT" w:hAnsi="AvantGarde Bk BT" w:cs="Arial"/>
          <w:i/>
          <w:sz w:val="22"/>
          <w:szCs w:val="24"/>
        </w:rPr>
        <w:t>.</w:t>
      </w:r>
      <w:r w:rsidR="00706D6B">
        <w:rPr>
          <w:rFonts w:ascii="AvantGarde Bk BT" w:hAnsi="AvantGarde Bk BT" w:cs="Arial"/>
          <w:sz w:val="24"/>
          <w:szCs w:val="24"/>
        </w:rPr>
        <w:t xml:space="preserve">” </w:t>
      </w:r>
      <w:r w:rsidR="00706D6B" w:rsidRPr="00706D6B">
        <w:rPr>
          <w:rFonts w:ascii="AvantGarde Bk BT" w:hAnsi="AvantGarde Bk BT" w:cs="Arial"/>
          <w:b/>
          <w:sz w:val="24"/>
          <w:szCs w:val="24"/>
        </w:rPr>
        <w:t>SIC</w:t>
      </w:r>
      <w:r w:rsidR="0051746B">
        <w:rPr>
          <w:rFonts w:ascii="AvantGarde Bk BT" w:hAnsi="AvantGarde Bk BT" w:cs="Arial"/>
          <w:b/>
          <w:sz w:val="24"/>
          <w:szCs w:val="24"/>
        </w:rPr>
        <w:t xml:space="preserve"> </w:t>
      </w:r>
      <w:r w:rsidR="0051746B" w:rsidRPr="0051746B">
        <w:rPr>
          <w:rFonts w:ascii="AvantGarde Bk BT" w:hAnsi="AvantGarde Bk BT" w:cs="Arial"/>
          <w:sz w:val="24"/>
          <w:szCs w:val="24"/>
        </w:rPr>
        <w:t>(Visible a foja 01</w:t>
      </w:r>
      <w:r w:rsidR="00B12D20">
        <w:rPr>
          <w:rFonts w:ascii="AvantGarde Bk BT" w:hAnsi="AvantGarde Bk BT" w:cs="Arial"/>
          <w:sz w:val="24"/>
          <w:szCs w:val="24"/>
        </w:rPr>
        <w:t xml:space="preserve"> y 29</w:t>
      </w:r>
      <w:r w:rsidR="0051746B" w:rsidRPr="0051746B">
        <w:rPr>
          <w:rFonts w:ascii="AvantGarde Bk BT" w:hAnsi="AvantGarde Bk BT" w:cs="Arial"/>
          <w:sz w:val="24"/>
          <w:szCs w:val="24"/>
        </w:rPr>
        <w:t xml:space="preserve"> de autos).</w:t>
      </w:r>
    </w:p>
    <w:p w14:paraId="3EF07C88" w14:textId="134B53CC" w:rsidR="00B12D20" w:rsidRDefault="00B12D20" w:rsidP="00B12D20">
      <w:pPr>
        <w:pStyle w:val="corte4fondo"/>
        <w:tabs>
          <w:tab w:val="left" w:pos="567"/>
        </w:tabs>
        <w:spacing w:after="240"/>
        <w:ind w:firstLine="680"/>
        <w:rPr>
          <w:rFonts w:ascii="AvantGarde Bk BT" w:hAnsi="AvantGarde Bk BT" w:cs="Arial"/>
          <w:sz w:val="24"/>
          <w:szCs w:val="24"/>
        </w:rPr>
      </w:pPr>
      <w:r w:rsidRPr="001E2BA6">
        <w:rPr>
          <w:rFonts w:ascii="AvantGarde Bk BT" w:hAnsi="AvantGarde Bk BT" w:cs="Arial"/>
          <w:sz w:val="24"/>
          <w:szCs w:val="24"/>
        </w:rPr>
        <w:t xml:space="preserve">Al respecto, en el informe que el sujeto obligado rindió ante este organismo, y que se encuentra visible de foja </w:t>
      </w:r>
      <w:r>
        <w:rPr>
          <w:rFonts w:ascii="AvantGarde Bk BT" w:hAnsi="AvantGarde Bk BT" w:cs="Arial"/>
          <w:sz w:val="24"/>
          <w:szCs w:val="24"/>
        </w:rPr>
        <w:t>40</w:t>
      </w:r>
      <w:r w:rsidRPr="001E2BA6">
        <w:rPr>
          <w:rFonts w:ascii="AvantGarde Bk BT" w:hAnsi="AvantGarde Bk BT" w:cs="Arial"/>
          <w:sz w:val="24"/>
          <w:szCs w:val="24"/>
        </w:rPr>
        <w:t xml:space="preserve"> </w:t>
      </w:r>
      <w:r>
        <w:rPr>
          <w:rFonts w:ascii="AvantGarde Bk BT" w:hAnsi="AvantGarde Bk BT" w:cs="Arial"/>
          <w:sz w:val="24"/>
          <w:szCs w:val="24"/>
        </w:rPr>
        <w:t xml:space="preserve">a 65 </w:t>
      </w:r>
      <w:r w:rsidRPr="001E2BA6">
        <w:rPr>
          <w:rFonts w:ascii="AvantGarde Bk BT" w:hAnsi="AvantGarde Bk BT" w:cs="Arial"/>
          <w:sz w:val="24"/>
          <w:szCs w:val="24"/>
        </w:rPr>
        <w:t>de autos, reiteró su respuesta e hizo hincapié en que las manifestaciones vertidas por el recurrente en sus agravios son falsas, pues se atendió cabalmente la solicitud de información</w:t>
      </w:r>
      <w:r>
        <w:rPr>
          <w:rFonts w:ascii="AvantGarde Bk BT" w:hAnsi="AvantGarde Bk BT" w:cs="Arial"/>
          <w:sz w:val="24"/>
          <w:szCs w:val="24"/>
        </w:rPr>
        <w:t>.</w:t>
      </w:r>
      <w:r w:rsidRPr="001E2BA6">
        <w:rPr>
          <w:rFonts w:ascii="AvantGarde Bk BT" w:hAnsi="AvantGarde Bk BT" w:cs="Arial"/>
          <w:sz w:val="24"/>
          <w:szCs w:val="24"/>
        </w:rPr>
        <w:t xml:space="preserve"> </w:t>
      </w:r>
    </w:p>
    <w:p w14:paraId="12366213" w14:textId="77777777" w:rsidR="00B12D20" w:rsidRDefault="00B12D20" w:rsidP="00B12D20">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Así las cosas, este cuerpo colegiado estima que los agravios vertidos por el particular resultan</w:t>
      </w:r>
      <w:r w:rsidRPr="00F02A2C">
        <w:rPr>
          <w:rFonts w:ascii="AvantGarde Bk BT" w:hAnsi="AvantGarde Bk BT" w:cs="Arial"/>
          <w:sz w:val="24"/>
          <w:szCs w:val="24"/>
        </w:rPr>
        <w:t xml:space="preserve"> </w:t>
      </w:r>
      <w:r>
        <w:rPr>
          <w:rFonts w:ascii="AvantGarde Bk BT" w:hAnsi="AvantGarde Bk BT" w:cs="Arial"/>
          <w:sz w:val="24"/>
          <w:szCs w:val="24"/>
        </w:rPr>
        <w:t>inatendibles pues estos no guardan relación lógica con la respuesta emitida por el sujeto obligado.</w:t>
      </w:r>
    </w:p>
    <w:p w14:paraId="4B5D3630" w14:textId="77777777" w:rsidR="00B12D20" w:rsidRDefault="00B12D20" w:rsidP="00B12D20">
      <w:pPr>
        <w:pStyle w:val="corte4fondo"/>
        <w:tabs>
          <w:tab w:val="left" w:pos="567"/>
        </w:tabs>
        <w:spacing w:after="240"/>
        <w:ind w:firstLine="680"/>
        <w:rPr>
          <w:rFonts w:ascii="AvantGarde Bk BT" w:hAnsi="AvantGarde Bk BT" w:cs="Arial"/>
          <w:sz w:val="24"/>
          <w:szCs w:val="24"/>
        </w:rPr>
      </w:pPr>
      <w:r w:rsidRPr="00F02A2C">
        <w:rPr>
          <w:rFonts w:ascii="AvantGarde Bk BT" w:hAnsi="AvantGarde Bk BT" w:cs="Arial"/>
          <w:sz w:val="24"/>
          <w:szCs w:val="24"/>
        </w:rPr>
        <w:t xml:space="preserve">No obstante lo anterior, se debe precisar que este cuerpo colegiado tiene por objeto garantizar a toda persona su derecho de acceso a la información pública </w:t>
      </w:r>
      <w:r w:rsidRPr="00F02A2C">
        <w:rPr>
          <w:rFonts w:ascii="AvantGarde Bk BT" w:hAnsi="AvantGarde Bk BT" w:cs="Arial"/>
          <w:sz w:val="24"/>
          <w:szCs w:val="24"/>
          <w:vertAlign w:val="superscript"/>
        </w:rPr>
        <w:footnoteReference w:id="1"/>
      </w:r>
      <w:r w:rsidRPr="00F02A2C">
        <w:rPr>
          <w:rFonts w:ascii="AvantGarde Bk BT" w:hAnsi="AvantGarde Bk BT" w:cs="Arial"/>
          <w:sz w:val="24"/>
          <w:szCs w:val="24"/>
        </w:rPr>
        <w:t>y con fundamento en el artículo 14 de la ley de transparencia</w:t>
      </w:r>
      <w:r w:rsidRPr="00F02A2C">
        <w:rPr>
          <w:rFonts w:ascii="AvantGarde Bk BT" w:hAnsi="AvantGarde Bk BT" w:cs="Arial"/>
          <w:sz w:val="24"/>
          <w:szCs w:val="24"/>
          <w:vertAlign w:val="superscript"/>
        </w:rPr>
        <w:footnoteReference w:id="2"/>
      </w:r>
      <w:r w:rsidRPr="00F02A2C">
        <w:rPr>
          <w:rFonts w:ascii="AvantGarde Bk BT" w:hAnsi="AvantGarde Bk BT" w:cs="Arial"/>
          <w:sz w:val="24"/>
          <w:szCs w:val="24"/>
        </w:rPr>
        <w:t>, suple la deficiencia de la queja plantada por el ahora recurrente.</w:t>
      </w:r>
    </w:p>
    <w:p w14:paraId="4BE9486B" w14:textId="1D9B4E46" w:rsidR="009E114B" w:rsidRDefault="001D1BDC" w:rsidP="009E114B">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lastRenderedPageBreak/>
        <w:t>En primer término</w:t>
      </w:r>
      <w:r w:rsidR="009E114B">
        <w:rPr>
          <w:rFonts w:ascii="AvantGarde Bk BT" w:hAnsi="AvantGarde Bk BT" w:cs="Arial"/>
          <w:sz w:val="24"/>
          <w:szCs w:val="24"/>
        </w:rPr>
        <w:t xml:space="preserve">, </w:t>
      </w:r>
      <w:r w:rsidR="009E114B" w:rsidRPr="00F337EC">
        <w:rPr>
          <w:rFonts w:ascii="AvantGarde Bk BT" w:hAnsi="AvantGarde Bk BT" w:cs="Arial"/>
          <w:sz w:val="24"/>
          <w:szCs w:val="24"/>
        </w:rPr>
        <w:t>la ley de transparencia</w:t>
      </w:r>
      <w:r w:rsidR="009E114B">
        <w:rPr>
          <w:rFonts w:ascii="AvantGarde Bk BT" w:hAnsi="AvantGarde Bk BT" w:cs="Arial"/>
          <w:sz w:val="24"/>
          <w:szCs w:val="24"/>
        </w:rPr>
        <w:t xml:space="preserve"> prevé que</w:t>
      </w:r>
      <w:r w:rsidR="009E114B"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w:t>
      </w:r>
      <w:r w:rsidR="009E114B">
        <w:rPr>
          <w:rFonts w:ascii="AvantGarde Bk BT" w:hAnsi="AvantGarde Bk BT" w:cs="Arial"/>
          <w:sz w:val="24"/>
          <w:szCs w:val="24"/>
        </w:rPr>
        <w:t>rmación se encuentre satisfecho</w:t>
      </w:r>
      <w:r w:rsidR="009E114B" w:rsidRPr="00F337EC">
        <w:rPr>
          <w:rFonts w:ascii="AvantGarde Bk BT" w:hAnsi="AvantGarde Bk BT" w:cs="Arial"/>
          <w:sz w:val="24"/>
          <w:szCs w:val="24"/>
          <w:vertAlign w:val="superscript"/>
        </w:rPr>
        <w:footnoteReference w:id="3"/>
      </w:r>
      <w:r w:rsidR="009E114B">
        <w:rPr>
          <w:rFonts w:ascii="AvantGarde Bk BT" w:hAnsi="AvantGarde Bk BT" w:cs="Arial"/>
          <w:sz w:val="24"/>
          <w:szCs w:val="24"/>
        </w:rPr>
        <w:t>; l</w:t>
      </w:r>
      <w:r w:rsidR="009E114B" w:rsidRPr="00F337EC">
        <w:rPr>
          <w:rFonts w:ascii="AvantGarde Bk BT" w:hAnsi="AvantGarde Bk BT" w:cs="Arial"/>
          <w:sz w:val="24"/>
          <w:szCs w:val="24"/>
        </w:rPr>
        <w:t>o anterior aunado a que los funcionarios públicos están obligados a documentar todo acto que devenga de sus funciones y/o atribuciones.</w:t>
      </w:r>
      <w:r w:rsidR="009E114B" w:rsidRPr="00F337EC">
        <w:rPr>
          <w:rFonts w:ascii="AvantGarde Bk BT" w:hAnsi="AvantGarde Bk BT" w:cs="Arial"/>
          <w:sz w:val="24"/>
          <w:szCs w:val="24"/>
          <w:vertAlign w:val="superscript"/>
        </w:rPr>
        <w:t xml:space="preserve"> </w:t>
      </w:r>
      <w:r w:rsidR="009E114B" w:rsidRPr="00F337EC">
        <w:rPr>
          <w:rFonts w:ascii="AvantGarde Bk BT" w:hAnsi="AvantGarde Bk BT" w:cs="Arial"/>
          <w:sz w:val="24"/>
          <w:szCs w:val="24"/>
          <w:vertAlign w:val="superscript"/>
        </w:rPr>
        <w:footnoteReference w:id="4"/>
      </w:r>
    </w:p>
    <w:p w14:paraId="1C461420" w14:textId="48D1EAAC" w:rsidR="00657BBB" w:rsidRDefault="00FB1595" w:rsidP="00D52806">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Derivado de lo anterior, resulta claro que los sujetos obligados se encuentran sujetos al principio de exhaustividad</w:t>
      </w:r>
      <w:r w:rsidR="003B38E1">
        <w:rPr>
          <w:rFonts w:ascii="AvantGarde Bk BT" w:hAnsi="AvantGarde Bk BT" w:cs="Arial"/>
          <w:sz w:val="24"/>
          <w:szCs w:val="24"/>
        </w:rPr>
        <w:t xml:space="preserve"> y congruencia, es decir, </w:t>
      </w:r>
      <w:r w:rsidR="00657BBB">
        <w:rPr>
          <w:rFonts w:ascii="AvantGarde Bk BT" w:hAnsi="AvantGarde Bk BT" w:cs="Arial"/>
          <w:sz w:val="24"/>
          <w:szCs w:val="24"/>
        </w:rPr>
        <w:t>los sujetos obligados</w:t>
      </w:r>
      <w:r w:rsidR="003B38E1">
        <w:rPr>
          <w:rFonts w:ascii="AvantGarde Bk BT" w:hAnsi="AvantGarde Bk BT" w:cs="Arial"/>
          <w:sz w:val="24"/>
          <w:szCs w:val="24"/>
        </w:rPr>
        <w:t xml:space="preserve"> deben atender </w:t>
      </w:r>
      <w:r w:rsidR="003B38E1" w:rsidRPr="003B38E1">
        <w:rPr>
          <w:rFonts w:ascii="AvantGarde Bk BT" w:hAnsi="AvantGarde Bk BT" w:cs="Arial"/>
          <w:sz w:val="24"/>
          <w:szCs w:val="24"/>
        </w:rPr>
        <w:t>expresamente a cada uno de los puntos solicitados</w:t>
      </w:r>
      <w:r w:rsidR="003B38E1">
        <w:rPr>
          <w:rFonts w:ascii="AvantGarde Bk BT" w:hAnsi="AvantGarde Bk BT" w:cs="Arial"/>
          <w:sz w:val="24"/>
          <w:szCs w:val="24"/>
        </w:rPr>
        <w:t xml:space="preserve"> y debe existir </w:t>
      </w:r>
      <w:r w:rsidR="003B38E1" w:rsidRPr="003B38E1">
        <w:rPr>
          <w:rFonts w:ascii="AvantGarde Bk BT" w:hAnsi="AvantGarde Bk BT" w:cs="Arial"/>
          <w:sz w:val="24"/>
          <w:szCs w:val="24"/>
        </w:rPr>
        <w:t>concordancia entre el requerimiento formulado por el particular y la respuesta proporcionada</w:t>
      </w:r>
      <w:r w:rsidR="00657BBB">
        <w:rPr>
          <w:rFonts w:ascii="AvantGarde Bk BT" w:hAnsi="AvantGarde Bk BT" w:cs="Arial"/>
          <w:sz w:val="24"/>
          <w:szCs w:val="24"/>
        </w:rPr>
        <w:t>.</w:t>
      </w:r>
    </w:p>
    <w:p w14:paraId="3824AFA9" w14:textId="6AF3DC68" w:rsidR="00657BBB" w:rsidRDefault="00657BBB" w:rsidP="00D52806">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Información y Protección de Datos:</w:t>
      </w:r>
    </w:p>
    <w:p w14:paraId="53E0B239" w14:textId="3F64960A" w:rsidR="00657BBB" w:rsidRDefault="00657BBB" w:rsidP="00D52806">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w:t>
      </w:r>
      <w:r w:rsidRPr="00657BBB">
        <w:rPr>
          <w:rFonts w:ascii="AvantGarde Bk BT" w:hAnsi="AvantGarde Bk BT" w:cs="Arial"/>
          <w:b/>
          <w:i/>
          <w:sz w:val="22"/>
          <w:szCs w:val="24"/>
        </w:rPr>
        <w:t>Criterio 02/17. Congruencia y exhaustividad.-</w:t>
      </w:r>
      <w:r w:rsidRPr="00657BBB">
        <w:rPr>
          <w:rFonts w:ascii="AvantGarde Bk BT" w:hAnsi="AvantGarde Bk BT" w:cs="Arial"/>
          <w:i/>
          <w:sz w:val="22"/>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w:t>
      </w:r>
      <w:r w:rsidRPr="00657BBB">
        <w:rPr>
          <w:rFonts w:ascii="AvantGarde Bk BT" w:hAnsi="AvantGarde Bk BT" w:cs="Arial"/>
          <w:i/>
          <w:sz w:val="22"/>
          <w:szCs w:val="24"/>
          <w:u w:val="single"/>
        </w:rPr>
        <w:t xml:space="preserve">Para el efectivo ejercicio del derecho de acceso a la información, la congruencia implica que exista concordancia entre el requerimiento formulado por el particular y la respuesta proporcionada por el sujeto </w:t>
      </w:r>
      <w:r w:rsidRPr="00657BBB">
        <w:rPr>
          <w:rFonts w:ascii="AvantGarde Bk BT" w:hAnsi="AvantGarde Bk BT" w:cs="Arial"/>
          <w:i/>
          <w:sz w:val="22"/>
          <w:szCs w:val="24"/>
          <w:u w:val="single"/>
        </w:rPr>
        <w:lastRenderedPageBreak/>
        <w:t>obligado; mientras que la exhaustividad significa que dicha respuesta se refiera expresamente a cada uno de los puntos solicitados.</w:t>
      </w:r>
      <w:r w:rsidRPr="00657BBB">
        <w:rPr>
          <w:rFonts w:ascii="AvantGarde Bk BT" w:hAnsi="AvantGarde Bk BT" w:cs="Arial"/>
          <w:i/>
          <w:sz w:val="22"/>
          <w:szCs w:val="24"/>
        </w:rPr>
        <w:t xml:space="preserve"> Por lo anterior, los sujetos obligados cumplirán con los principios de congruencia y exhaustividad, cuando las respuestas que emitan guarden una relación lógica con lo solicitado y atiendan de manera puntual y expresa, cada uno de los contenidos de información.</w:t>
      </w:r>
      <w:r>
        <w:rPr>
          <w:rFonts w:ascii="AvantGarde Bk BT" w:hAnsi="AvantGarde Bk BT" w:cs="Arial"/>
          <w:sz w:val="24"/>
          <w:szCs w:val="24"/>
        </w:rPr>
        <w:t>” (Énfasis añadido de forma intencional.)</w:t>
      </w:r>
    </w:p>
    <w:p w14:paraId="71430BCF" w14:textId="3222E8FA" w:rsidR="001D1BDC" w:rsidRPr="00D52806" w:rsidRDefault="00D52806" w:rsidP="00D52806">
      <w:pPr>
        <w:pStyle w:val="corte4fondo"/>
        <w:tabs>
          <w:tab w:val="left" w:pos="567"/>
        </w:tabs>
        <w:spacing w:after="240"/>
        <w:ind w:firstLine="680"/>
        <w:rPr>
          <w:rFonts w:ascii="AvantGarde Bk BT" w:hAnsi="AvantGarde Bk BT" w:cs="Arial"/>
          <w:sz w:val="24"/>
          <w:szCs w:val="24"/>
          <w:lang w:val="es-ES"/>
        </w:rPr>
      </w:pPr>
      <w:r w:rsidRPr="00967927">
        <w:rPr>
          <w:rFonts w:ascii="AvantGarde Bk BT" w:hAnsi="AvantGarde Bk BT" w:cs="Arial"/>
          <w:sz w:val="24"/>
          <w:szCs w:val="24"/>
        </w:rPr>
        <w:t xml:space="preserve">Con relación a lo antes expuesto resulta evidente que en principio toda la información en posesión de los sujetos obligados es pública y por ende, </w:t>
      </w:r>
      <w:r w:rsidRPr="00967927">
        <w:rPr>
          <w:rFonts w:ascii="AvantGarde Bk BT" w:hAnsi="AvantGarde Bk BT" w:cs="Arial"/>
          <w:sz w:val="24"/>
          <w:szCs w:val="24"/>
          <w:lang w:val="es-ES"/>
        </w:rPr>
        <w:t>se encuentran constreñidos a proporcionar la información que conforme a sus atribuciones tengan la obligación de poseer, archivar y/o generar, lo anterior para efecto de permitir que el derecho de acceso a la información se encuentre satisfecho.</w:t>
      </w:r>
      <w:r w:rsidRPr="00967927">
        <w:rPr>
          <w:rFonts w:ascii="AvantGarde Bk BT" w:hAnsi="AvantGarde Bk BT" w:cs="Arial"/>
          <w:sz w:val="24"/>
          <w:szCs w:val="24"/>
          <w:vertAlign w:val="superscript"/>
          <w:lang w:val="es-ES"/>
        </w:rPr>
        <w:footnoteReference w:id="5"/>
      </w:r>
    </w:p>
    <w:p w14:paraId="73D04898" w14:textId="77777777" w:rsidR="00657BBB" w:rsidRPr="00967927" w:rsidRDefault="00657BBB" w:rsidP="00657BBB">
      <w:pPr>
        <w:pStyle w:val="corte4fondo"/>
        <w:tabs>
          <w:tab w:val="left" w:pos="567"/>
        </w:tabs>
        <w:spacing w:after="240"/>
        <w:ind w:firstLine="680"/>
        <w:rPr>
          <w:rFonts w:ascii="AvantGarde Bk BT" w:hAnsi="AvantGarde Bk BT" w:cs="Arial"/>
          <w:sz w:val="24"/>
          <w:szCs w:val="24"/>
          <w:lang w:val="es-ES"/>
        </w:rPr>
      </w:pPr>
      <w:r w:rsidRPr="00967927">
        <w:rPr>
          <w:rFonts w:ascii="AvantGarde Bk BT" w:hAnsi="AvantGarde Bk BT" w:cs="Arial"/>
          <w:sz w:val="24"/>
          <w:szCs w:val="24"/>
          <w:lang w:val="es-ES"/>
        </w:rPr>
        <w:t>No obstante lo anterior, la ley de transparencia prevé dos casos de excepción al derecho de acceso a la información como lo es la información clasificada como reservada y la información clasificada como confidencial.</w:t>
      </w:r>
      <w:r w:rsidRPr="00967927">
        <w:rPr>
          <w:rFonts w:ascii="AvantGarde Bk BT" w:hAnsi="AvantGarde Bk BT" w:cs="Arial"/>
          <w:sz w:val="24"/>
          <w:szCs w:val="24"/>
          <w:vertAlign w:val="superscript"/>
          <w:lang w:val="es-ES"/>
        </w:rPr>
        <w:footnoteReference w:id="6"/>
      </w:r>
    </w:p>
    <w:p w14:paraId="187DDF3D" w14:textId="77777777" w:rsidR="00657BBB" w:rsidRPr="00967927" w:rsidRDefault="00657BBB" w:rsidP="00657BBB">
      <w:pPr>
        <w:pStyle w:val="corte4fondo"/>
        <w:tabs>
          <w:tab w:val="left" w:pos="567"/>
        </w:tabs>
        <w:spacing w:after="240"/>
        <w:ind w:firstLine="680"/>
        <w:rPr>
          <w:rFonts w:ascii="AvantGarde Bk BT" w:hAnsi="AvantGarde Bk BT" w:cs="Arial"/>
          <w:sz w:val="24"/>
          <w:szCs w:val="24"/>
        </w:rPr>
      </w:pPr>
      <w:r w:rsidRPr="00967927">
        <w:rPr>
          <w:rFonts w:ascii="AvantGarde Bk BT" w:hAnsi="AvantGarde Bk BT" w:cs="Arial"/>
          <w:sz w:val="24"/>
          <w:szCs w:val="24"/>
        </w:rPr>
        <w:t>A este respecto, la propia ley de transparencia prevé que, en los casos de que un documento contenga información confidencial, para efectos de atender a una solicitud de información deberá de elaborar la versión pública de dicho documento</w:t>
      </w:r>
      <w:r w:rsidRPr="00967927">
        <w:rPr>
          <w:rStyle w:val="Refdenotaalpie"/>
          <w:rFonts w:ascii="AvantGarde Bk BT" w:hAnsi="AvantGarde Bk BT" w:cs="Arial"/>
          <w:sz w:val="24"/>
          <w:szCs w:val="24"/>
        </w:rPr>
        <w:footnoteReference w:id="7"/>
      </w:r>
      <w:r w:rsidRPr="00967927">
        <w:rPr>
          <w:rFonts w:ascii="AvantGarde Bk BT" w:hAnsi="AvantGarde Bk BT" w:cs="Arial"/>
          <w:sz w:val="24"/>
          <w:szCs w:val="24"/>
        </w:rPr>
        <w:t>, misma que deberá ser confirmada por el Comité de Transparencia</w:t>
      </w:r>
      <w:r w:rsidRPr="00967927">
        <w:rPr>
          <w:rStyle w:val="Refdenotaalpie"/>
          <w:rFonts w:ascii="AvantGarde Bk BT" w:hAnsi="AvantGarde Bk BT" w:cs="Arial"/>
          <w:sz w:val="24"/>
          <w:szCs w:val="24"/>
        </w:rPr>
        <w:footnoteReference w:id="8"/>
      </w:r>
      <w:r w:rsidRPr="00967927">
        <w:rPr>
          <w:rFonts w:ascii="AvantGarde Bk BT" w:hAnsi="AvantGarde Bk BT" w:cs="Arial"/>
          <w:sz w:val="24"/>
          <w:szCs w:val="24"/>
        </w:rPr>
        <w:t>.</w:t>
      </w:r>
    </w:p>
    <w:p w14:paraId="2FE9EFEB" w14:textId="0B369A83" w:rsidR="00657BBB" w:rsidRDefault="00657BBB" w:rsidP="00657BBB">
      <w:pPr>
        <w:pStyle w:val="corte4fondo"/>
        <w:tabs>
          <w:tab w:val="left" w:pos="567"/>
        </w:tabs>
        <w:spacing w:after="240"/>
        <w:ind w:firstLine="680"/>
        <w:rPr>
          <w:rFonts w:ascii="AvantGarde Bk BT" w:hAnsi="AvantGarde Bk BT" w:cs="Arial"/>
          <w:sz w:val="24"/>
          <w:szCs w:val="24"/>
        </w:rPr>
      </w:pPr>
      <w:r w:rsidRPr="00967927">
        <w:rPr>
          <w:rFonts w:ascii="AvantGarde Bk BT" w:hAnsi="AvantGarde Bk BT" w:cs="Arial"/>
          <w:sz w:val="24"/>
          <w:szCs w:val="24"/>
        </w:rPr>
        <w:t xml:space="preserve">En este contexto y en lo que respecta a la información </w:t>
      </w:r>
      <w:r>
        <w:rPr>
          <w:rFonts w:ascii="AvantGarde Bk BT" w:hAnsi="AvantGarde Bk BT" w:cs="Arial"/>
          <w:sz w:val="24"/>
          <w:szCs w:val="24"/>
        </w:rPr>
        <w:t xml:space="preserve">clasificada, ya sea como confidencial o como reservada, </w:t>
      </w:r>
      <w:r w:rsidRPr="00967927">
        <w:rPr>
          <w:rFonts w:ascii="AvantGarde Bk BT" w:hAnsi="AvantGarde Bk BT" w:cs="Arial"/>
          <w:sz w:val="24"/>
          <w:szCs w:val="24"/>
        </w:rPr>
        <w:t xml:space="preserve">el sujeto obligado debe observar en todo momento </w:t>
      </w:r>
      <w:r w:rsidRPr="00967927">
        <w:rPr>
          <w:rFonts w:ascii="AvantGarde Bk BT" w:hAnsi="AvantGarde Bk BT" w:cs="Arial"/>
          <w:sz w:val="24"/>
          <w:szCs w:val="24"/>
        </w:rPr>
        <w:lastRenderedPageBreak/>
        <w:t xml:space="preserve">lo establecido tanto en la </w:t>
      </w:r>
      <w:r w:rsidR="00784A6F" w:rsidRPr="00967927">
        <w:rPr>
          <w:rFonts w:ascii="AvantGarde Bk BT" w:hAnsi="AvantGarde Bk BT" w:cs="Arial"/>
          <w:sz w:val="24"/>
          <w:szCs w:val="24"/>
        </w:rPr>
        <w:t xml:space="preserve">Ley General </w:t>
      </w:r>
      <w:r w:rsidR="00784A6F">
        <w:rPr>
          <w:rFonts w:ascii="AvantGarde Bk BT" w:hAnsi="AvantGarde Bk BT" w:cs="Arial"/>
          <w:sz w:val="24"/>
          <w:szCs w:val="24"/>
        </w:rPr>
        <w:t>de T</w:t>
      </w:r>
      <w:r w:rsidRPr="00967927">
        <w:rPr>
          <w:rFonts w:ascii="AvantGarde Bk BT" w:hAnsi="AvantGarde Bk BT" w:cs="Arial"/>
          <w:sz w:val="24"/>
          <w:szCs w:val="24"/>
        </w:rPr>
        <w:t>ransparenci</w:t>
      </w:r>
      <w:r w:rsidR="00784A6F">
        <w:rPr>
          <w:rFonts w:ascii="AvantGarde Bk BT" w:hAnsi="AvantGarde Bk BT" w:cs="Arial"/>
          <w:sz w:val="24"/>
          <w:szCs w:val="24"/>
        </w:rPr>
        <w:t>a y Acceso a la Información, como en la L</w:t>
      </w:r>
      <w:r w:rsidRPr="00967927">
        <w:rPr>
          <w:rFonts w:ascii="AvantGarde Bk BT" w:hAnsi="AvantGarde Bk BT" w:cs="Arial"/>
          <w:sz w:val="24"/>
          <w:szCs w:val="24"/>
        </w:rPr>
        <w:t xml:space="preserve">ey de </w:t>
      </w:r>
      <w:r w:rsidR="00784A6F">
        <w:rPr>
          <w:rFonts w:ascii="AvantGarde Bk BT" w:hAnsi="AvantGarde Bk BT" w:cs="Arial"/>
          <w:sz w:val="24"/>
          <w:szCs w:val="24"/>
        </w:rPr>
        <w:t>Transparencia y Acceso a l</w:t>
      </w:r>
      <w:r w:rsidR="00784A6F" w:rsidRPr="00967927">
        <w:rPr>
          <w:rFonts w:ascii="AvantGarde Bk BT" w:hAnsi="AvantGarde Bk BT" w:cs="Arial"/>
          <w:sz w:val="24"/>
          <w:szCs w:val="24"/>
        </w:rPr>
        <w:t>a Información Públic</w:t>
      </w:r>
      <w:r w:rsidRPr="00967927">
        <w:rPr>
          <w:rFonts w:ascii="AvantGarde Bk BT" w:hAnsi="AvantGarde Bk BT" w:cs="Arial"/>
          <w:sz w:val="24"/>
          <w:szCs w:val="24"/>
        </w:rPr>
        <w:t xml:space="preserve">a del Estado, así como los </w:t>
      </w:r>
      <w:r w:rsidR="00784A6F" w:rsidRPr="00967927">
        <w:rPr>
          <w:rFonts w:ascii="AvantGarde Bk BT" w:hAnsi="AvantGarde Bk BT" w:cs="Arial"/>
          <w:sz w:val="24"/>
          <w:szCs w:val="24"/>
        </w:rPr>
        <w:t xml:space="preserve">Lineamientos Generales </w:t>
      </w:r>
      <w:r w:rsidRPr="00967927">
        <w:rPr>
          <w:rFonts w:ascii="AvantGarde Bk BT" w:hAnsi="AvantGarde Bk BT" w:cs="Arial"/>
          <w:sz w:val="24"/>
          <w:szCs w:val="24"/>
        </w:rPr>
        <w:t xml:space="preserve">en </w:t>
      </w:r>
      <w:r w:rsidR="00784A6F" w:rsidRPr="00967927">
        <w:rPr>
          <w:rFonts w:ascii="AvantGarde Bk BT" w:hAnsi="AvantGarde Bk BT" w:cs="Arial"/>
          <w:sz w:val="24"/>
          <w:szCs w:val="24"/>
        </w:rPr>
        <w:t>Materia</w:t>
      </w:r>
      <w:r w:rsidRPr="00967927">
        <w:rPr>
          <w:rFonts w:ascii="AvantGarde Bk BT" w:hAnsi="AvantGarde Bk BT" w:cs="Arial"/>
          <w:sz w:val="24"/>
          <w:szCs w:val="24"/>
        </w:rPr>
        <w:t xml:space="preserve"> de </w:t>
      </w:r>
      <w:r w:rsidR="00784A6F" w:rsidRPr="00967927">
        <w:rPr>
          <w:rFonts w:ascii="AvantGarde Bk BT" w:hAnsi="AvantGarde Bk BT" w:cs="Arial"/>
          <w:sz w:val="24"/>
          <w:szCs w:val="24"/>
        </w:rPr>
        <w:t>Clasificaci</w:t>
      </w:r>
      <w:r w:rsidRPr="00967927">
        <w:rPr>
          <w:rFonts w:ascii="AvantGarde Bk BT" w:hAnsi="AvantGarde Bk BT" w:cs="Arial"/>
          <w:sz w:val="24"/>
          <w:szCs w:val="24"/>
        </w:rPr>
        <w:t xml:space="preserve">ón y </w:t>
      </w:r>
      <w:r w:rsidR="00784A6F" w:rsidRPr="00967927">
        <w:rPr>
          <w:rFonts w:ascii="AvantGarde Bk BT" w:hAnsi="AvantGarde Bk BT" w:cs="Arial"/>
          <w:sz w:val="24"/>
          <w:szCs w:val="24"/>
        </w:rPr>
        <w:t>Desclasificación</w:t>
      </w:r>
      <w:r w:rsidR="00784A6F">
        <w:rPr>
          <w:rFonts w:ascii="AvantGarde Bk BT" w:hAnsi="AvantGarde Bk BT" w:cs="Arial"/>
          <w:sz w:val="24"/>
          <w:szCs w:val="24"/>
        </w:rPr>
        <w:t xml:space="preserve"> de la Información, así como para la E</w:t>
      </w:r>
      <w:r w:rsidR="00784A6F" w:rsidRPr="00967927">
        <w:rPr>
          <w:rFonts w:ascii="AvantGarde Bk BT" w:hAnsi="AvantGarde Bk BT" w:cs="Arial"/>
          <w:sz w:val="24"/>
          <w:szCs w:val="24"/>
        </w:rPr>
        <w:t>laboración</w:t>
      </w:r>
      <w:r w:rsidRPr="00967927">
        <w:rPr>
          <w:rFonts w:ascii="AvantGarde Bk BT" w:hAnsi="AvantGarde Bk BT" w:cs="Arial"/>
          <w:sz w:val="24"/>
          <w:szCs w:val="24"/>
        </w:rPr>
        <w:t xml:space="preserve"> de </w:t>
      </w:r>
      <w:r w:rsidR="00784A6F" w:rsidRPr="00967927">
        <w:rPr>
          <w:rFonts w:ascii="AvantGarde Bk BT" w:hAnsi="AvantGarde Bk BT" w:cs="Arial"/>
          <w:sz w:val="24"/>
          <w:szCs w:val="24"/>
        </w:rPr>
        <w:t>Versiones Públicas</w:t>
      </w:r>
      <w:r w:rsidRPr="00967927">
        <w:rPr>
          <w:rFonts w:ascii="AvantGarde Bk BT" w:hAnsi="AvantGarde Bk BT" w:cs="Arial"/>
          <w:sz w:val="24"/>
          <w:szCs w:val="24"/>
        </w:rPr>
        <w:t>.</w:t>
      </w:r>
      <w:r w:rsidRPr="00967927">
        <w:rPr>
          <w:rFonts w:ascii="AvantGarde Bk BT" w:hAnsi="AvantGarde Bk BT" w:cs="Arial"/>
          <w:sz w:val="24"/>
          <w:szCs w:val="24"/>
          <w:vertAlign w:val="superscript"/>
        </w:rPr>
        <w:footnoteReference w:id="9"/>
      </w:r>
    </w:p>
    <w:p w14:paraId="48D25C92" w14:textId="17B8EF74" w:rsidR="00784A6F" w:rsidRPr="00967927" w:rsidRDefault="00784A6F" w:rsidP="00657BBB">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A este respecto y en lo que concierne al caso en estudio, se advierte que el sujeto obligado no realizó las versiones públicas de</w:t>
      </w:r>
      <w:r w:rsidR="00EA743E">
        <w:rPr>
          <w:rFonts w:ascii="AvantGarde Bk BT" w:hAnsi="AvantGarde Bk BT" w:cs="Arial"/>
          <w:sz w:val="24"/>
          <w:szCs w:val="24"/>
        </w:rPr>
        <w:t>l Acta de entrega recepción conforme</w:t>
      </w:r>
      <w:r>
        <w:rPr>
          <w:rFonts w:ascii="AvantGarde Bk BT" w:hAnsi="AvantGarde Bk BT" w:cs="Arial"/>
          <w:sz w:val="24"/>
          <w:szCs w:val="24"/>
        </w:rPr>
        <w:t xml:space="preserve"> a lo previsto en los lineamientos </w:t>
      </w:r>
      <w:r w:rsidR="00EA743E">
        <w:rPr>
          <w:rFonts w:ascii="AvantGarde Bk BT" w:hAnsi="AvantGarde Bk BT" w:cs="Arial"/>
          <w:sz w:val="24"/>
          <w:szCs w:val="24"/>
        </w:rPr>
        <w:t>puesto que, no se advierten las etiquetas de eliminado, ni mucho menos el fundamento para eliminar dichos datos</w:t>
      </w:r>
      <w:r>
        <w:rPr>
          <w:rFonts w:ascii="AvantGarde Bk BT" w:hAnsi="AvantGarde Bk BT" w:cs="Arial"/>
          <w:sz w:val="24"/>
          <w:szCs w:val="24"/>
        </w:rPr>
        <w:t>.</w:t>
      </w:r>
    </w:p>
    <w:p w14:paraId="7CD6967D" w14:textId="36DCF667" w:rsidR="00DE4660" w:rsidRPr="00A424FE" w:rsidRDefault="00DE4660" w:rsidP="00A424FE">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Finalmente, </w:t>
      </w:r>
      <w:r w:rsidRPr="00002DE6">
        <w:rPr>
          <w:rFonts w:ascii="AvantGarde Bk BT" w:hAnsi="AvantGarde Bk BT" w:cs="Arial"/>
          <w:sz w:val="24"/>
          <w:szCs w:val="24"/>
        </w:rPr>
        <w:t>este órgano garante considera necesario hacer hincapié que los sujetos obligados deben permitir y garantizar todas las condiciones para que el particular pueda acceder a la información que los entes obligados generen de conformidad a sus atribuciones, asimismo cuando la información se encuentre en libros, trípticos, registros públicos o formatos electrónicos disponibles en internet, se deberá señalar la fuente donde se encuentre dicha información.</w:t>
      </w:r>
      <w:r w:rsidRPr="00002DE6">
        <w:rPr>
          <w:rFonts w:ascii="AvantGarde Bk BT" w:hAnsi="AvantGarde Bk BT" w:cs="Arial"/>
          <w:sz w:val="24"/>
          <w:szCs w:val="24"/>
          <w:vertAlign w:val="superscript"/>
        </w:rPr>
        <w:footnoteReference w:id="10"/>
      </w:r>
      <w:r>
        <w:rPr>
          <w:rFonts w:ascii="AvantGarde Bk BT" w:hAnsi="AvantGarde Bk BT" w:cs="Arial"/>
          <w:sz w:val="24"/>
          <w:szCs w:val="24"/>
        </w:rPr>
        <w:t xml:space="preserve"> </w:t>
      </w:r>
    </w:p>
    <w:p w14:paraId="1C37FCDB" w14:textId="77777777" w:rsidR="009E114B" w:rsidRPr="00873D15" w:rsidRDefault="009E114B" w:rsidP="009E114B">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6.1. Efectos de esta resolución.</w:t>
      </w:r>
    </w:p>
    <w:p w14:paraId="2AEC2DA9" w14:textId="5477F7DF" w:rsidR="009E114B" w:rsidRDefault="009E114B" w:rsidP="009E114B">
      <w:pPr>
        <w:pStyle w:val="corte4fondo"/>
        <w:tabs>
          <w:tab w:val="left" w:pos="567"/>
        </w:tabs>
        <w:spacing w:after="240"/>
        <w:rPr>
          <w:rFonts w:ascii="AvantGarde Bk BT" w:hAnsi="AvantGarde Bk BT" w:cs="Arial"/>
          <w:color w:val="000000" w:themeColor="text1"/>
          <w:sz w:val="24"/>
          <w:szCs w:val="24"/>
        </w:rPr>
      </w:pPr>
      <w:r w:rsidRPr="00CE1E98">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9419B2">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ente obligado y lo conmina para que:</w:t>
      </w:r>
    </w:p>
    <w:p w14:paraId="29C3A1B0" w14:textId="07245794" w:rsidR="00B24B66" w:rsidRPr="00B24B66" w:rsidRDefault="00EA743E" w:rsidP="00B24B66">
      <w:pPr>
        <w:pStyle w:val="corte4fondo"/>
        <w:numPr>
          <w:ilvl w:val="3"/>
          <w:numId w:val="4"/>
        </w:numPr>
        <w:tabs>
          <w:tab w:val="left" w:pos="567"/>
        </w:tabs>
        <w:spacing w:after="240"/>
        <w:ind w:left="1276" w:hanging="567"/>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Envíe nuevamente la información solicitada al peticionario, en la inteligencia de que las versiones públicas deberán realizarse conforme a lo previsto en la</w:t>
      </w:r>
      <w:r w:rsidRPr="00EA743E">
        <w:rPr>
          <w:rFonts w:ascii="AvantGarde Bk BT" w:hAnsi="AvantGarde Bk BT" w:cs="Arial"/>
          <w:color w:val="000000" w:themeColor="text1"/>
          <w:sz w:val="24"/>
          <w:szCs w:val="24"/>
        </w:rPr>
        <w:t xml:space="preserve"> Ley General de Transparencia y Acceso a la Información Pública</w:t>
      </w:r>
      <w:r>
        <w:rPr>
          <w:rFonts w:ascii="AvantGarde Bk BT" w:hAnsi="AvantGarde Bk BT" w:cs="Arial"/>
          <w:color w:val="000000" w:themeColor="text1"/>
          <w:sz w:val="24"/>
          <w:szCs w:val="24"/>
        </w:rPr>
        <w:t xml:space="preserve">, </w:t>
      </w:r>
      <w:r w:rsidR="00332954" w:rsidRPr="00332954">
        <w:rPr>
          <w:rFonts w:ascii="AvantGarde Bk BT" w:hAnsi="AvantGarde Bk BT" w:cs="Arial"/>
          <w:color w:val="000000" w:themeColor="text1"/>
          <w:sz w:val="24"/>
          <w:szCs w:val="24"/>
        </w:rPr>
        <w:t>la Ley de Transparencia y Acceso a la Información Pública del Estado, así como los Lineamientos Generales en Materia de Clasificación y Desclasificación de la Información, así como para la Elaboración de Versiones Públicas</w:t>
      </w:r>
      <w:r w:rsidR="00B24B66" w:rsidRPr="00B24B66">
        <w:rPr>
          <w:rFonts w:ascii="AvantGarde Bk BT" w:hAnsi="AvantGarde Bk BT" w:cs="Arial"/>
          <w:color w:val="000000" w:themeColor="text1"/>
          <w:sz w:val="24"/>
          <w:szCs w:val="24"/>
        </w:rPr>
        <w:t>.</w:t>
      </w:r>
    </w:p>
    <w:p w14:paraId="600988BF" w14:textId="1AAFCC39" w:rsidR="00A424FE" w:rsidRDefault="00332954" w:rsidP="009419B2">
      <w:pPr>
        <w:pStyle w:val="corte4fondo"/>
        <w:numPr>
          <w:ilvl w:val="3"/>
          <w:numId w:val="4"/>
        </w:numPr>
        <w:tabs>
          <w:tab w:val="left" w:pos="567"/>
        </w:tabs>
        <w:spacing w:after="240"/>
        <w:ind w:left="1276" w:hanging="567"/>
        <w:rPr>
          <w:rFonts w:ascii="AvantGarde Bk BT" w:hAnsi="AvantGarde Bk BT" w:cs="Arial"/>
          <w:color w:val="000000" w:themeColor="text1"/>
          <w:sz w:val="24"/>
          <w:szCs w:val="24"/>
        </w:rPr>
      </w:pPr>
      <w:r>
        <w:rPr>
          <w:rFonts w:ascii="AvantGarde Bk BT" w:hAnsi="AvantGarde Bk BT" w:cs="Arial"/>
          <w:color w:val="000000" w:themeColor="text1"/>
          <w:sz w:val="24"/>
          <w:szCs w:val="24"/>
        </w:rPr>
        <w:t>Asimismo, el sujeto obligado deberá acompañar a su respuesta el Acta expedida por el Comité de Transparencia, mediante la cual se apruebe la elaboración de dichas versiones públicas</w:t>
      </w:r>
      <w:r w:rsidR="00B24B66">
        <w:rPr>
          <w:rFonts w:ascii="AvantGarde Bk BT" w:hAnsi="AvantGarde Bk BT" w:cs="Arial"/>
          <w:sz w:val="24"/>
          <w:szCs w:val="24"/>
        </w:rPr>
        <w:t>.</w:t>
      </w:r>
    </w:p>
    <w:p w14:paraId="6872A0A6" w14:textId="103F9C38" w:rsidR="00002DE6" w:rsidRPr="007C5605" w:rsidRDefault="006601D9" w:rsidP="006601D9">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6.2. </w:t>
      </w:r>
      <w:r w:rsidR="00002DE6" w:rsidRPr="007C5605">
        <w:rPr>
          <w:rFonts w:ascii="AvantGarde Bk BT" w:hAnsi="AvantGarde Bk BT" w:cs="Arial"/>
          <w:b/>
          <w:color w:val="000000" w:themeColor="text1"/>
          <w:sz w:val="24"/>
          <w:szCs w:val="24"/>
        </w:rPr>
        <w:t>Modalidad de la información.</w:t>
      </w:r>
    </w:p>
    <w:p w14:paraId="172E84D4" w14:textId="4291F46E" w:rsidR="00002DE6" w:rsidRPr="00002DE6" w:rsidRDefault="00002DE6" w:rsidP="00002DE6">
      <w:pPr>
        <w:pStyle w:val="corte4fondo"/>
        <w:tabs>
          <w:tab w:val="left" w:pos="567"/>
        </w:tabs>
        <w:spacing w:after="240"/>
        <w:rPr>
          <w:rFonts w:ascii="AvantGarde Bk BT" w:hAnsi="AvantGarde Bk BT" w:cs="Arial"/>
          <w:color w:val="000000" w:themeColor="text1"/>
          <w:sz w:val="24"/>
          <w:szCs w:val="24"/>
        </w:rPr>
      </w:pPr>
      <w:r w:rsidRPr="00D67102">
        <w:rPr>
          <w:rFonts w:ascii="AvantGarde Bk BT" w:hAnsi="AvantGarde Bk BT" w:cs="Arial"/>
          <w:color w:val="000000" w:themeColor="text1"/>
          <w:sz w:val="24"/>
          <w:szCs w:val="24"/>
        </w:rPr>
        <w:t>En virtud de que el recurrente realizó su solicitud de información a través de la Plataforma Nacional de Transparencia San Luis Potosí</w:t>
      </w:r>
      <w:r>
        <w:rPr>
          <w:rFonts w:ascii="AvantGarde Bk BT" w:hAnsi="AvantGarde Bk BT" w:cs="Arial"/>
          <w:color w:val="000000" w:themeColor="text1"/>
          <w:sz w:val="24"/>
          <w:szCs w:val="24"/>
        </w:rPr>
        <w:t xml:space="preserve"> y, dada la imposibilidad entregar la información por ese mismo medio, </w:t>
      </w:r>
      <w:r w:rsidRPr="00D67102">
        <w:rPr>
          <w:rFonts w:ascii="AvantGarde Bk BT" w:hAnsi="AvantGarde Bk BT" w:cs="Arial"/>
          <w:color w:val="000000" w:themeColor="text1"/>
          <w:sz w:val="24"/>
          <w:szCs w:val="24"/>
        </w:rPr>
        <w:t xml:space="preserve">el sujeto obligado deberá </w:t>
      </w:r>
      <w:r>
        <w:rPr>
          <w:rFonts w:ascii="AvantGarde Bk BT" w:hAnsi="AvantGarde Bk BT" w:cs="Arial"/>
          <w:color w:val="000000" w:themeColor="text1"/>
          <w:sz w:val="24"/>
          <w:szCs w:val="24"/>
        </w:rPr>
        <w:t>dar respuesta</w:t>
      </w:r>
      <w:r w:rsidRPr="00D67102">
        <w:rPr>
          <w:rFonts w:ascii="AvantGarde Bk BT" w:hAnsi="AvantGarde Bk BT" w:cs="Arial"/>
          <w:color w:val="000000" w:themeColor="text1"/>
          <w:sz w:val="24"/>
          <w:szCs w:val="24"/>
        </w:rPr>
        <w:t xml:space="preserve"> a través del correo electrónico señalado por el particular para oír y recibir notificaciones.</w:t>
      </w:r>
    </w:p>
    <w:p w14:paraId="6EAA672B" w14:textId="741AF591" w:rsidR="00002DE6" w:rsidRPr="00831D47" w:rsidRDefault="006601D9" w:rsidP="00002DE6">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w:t>
      </w:r>
      <w:r w:rsidR="00002DE6" w:rsidRPr="00831D47">
        <w:rPr>
          <w:rFonts w:ascii="AvantGarde Bk BT" w:hAnsi="AvantGarde Bk BT" w:cs="Arial"/>
          <w:b/>
          <w:color w:val="000000" w:themeColor="text1"/>
          <w:sz w:val="24"/>
          <w:szCs w:val="24"/>
        </w:rPr>
        <w:t xml:space="preserve">. Plazo para el cumplimento de esta resolución e informe sobre el cumplimento a la misma. </w:t>
      </w:r>
    </w:p>
    <w:p w14:paraId="5E3763A4" w14:textId="1BC8AA94" w:rsidR="00002DE6" w:rsidRPr="00002DE6" w:rsidRDefault="00002DE6" w:rsidP="00002DE6">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sidR="00B24B66">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0DF66B8A" w14:textId="18403AD1" w:rsidR="00002DE6" w:rsidRPr="004C15C0" w:rsidRDefault="00002DE6" w:rsidP="00002DE6">
      <w:pPr>
        <w:pStyle w:val="corte4fondo"/>
        <w:tabs>
          <w:tab w:val="left" w:pos="567"/>
        </w:tabs>
        <w:spacing w:after="240"/>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lastRenderedPageBreak/>
        <w:t>6.</w:t>
      </w:r>
      <w:r w:rsidR="006601D9">
        <w:rPr>
          <w:rFonts w:ascii="AvantGarde Bk BT" w:hAnsi="AvantGarde Bk BT" w:cs="Arial"/>
          <w:b/>
          <w:color w:val="000000" w:themeColor="text1"/>
          <w:sz w:val="24"/>
          <w:szCs w:val="24"/>
        </w:rPr>
        <w:t>4</w:t>
      </w:r>
      <w:r w:rsidRPr="00831D47">
        <w:rPr>
          <w:rFonts w:ascii="AvantGarde Bk BT" w:hAnsi="AvantGarde Bk BT" w:cs="Arial"/>
          <w:b/>
          <w:color w:val="000000" w:themeColor="text1"/>
          <w:sz w:val="24"/>
          <w:szCs w:val="24"/>
        </w:rPr>
        <w:t>. Medida de apremio en caso de incumplimiento a la resolución.</w:t>
      </w:r>
    </w:p>
    <w:p w14:paraId="2362AF80" w14:textId="40DA06F2" w:rsidR="00002DE6" w:rsidRPr="00002DE6" w:rsidRDefault="00002DE6" w:rsidP="00002DE6">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que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1BF38CF5" w14:textId="7B4350D2" w:rsidR="00002DE6" w:rsidRPr="00684218" w:rsidRDefault="006601D9" w:rsidP="00002DE6">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6.5</w:t>
      </w:r>
      <w:r w:rsidR="00002DE6" w:rsidRPr="008E469A">
        <w:rPr>
          <w:rFonts w:ascii="AvantGarde Bk BT" w:hAnsi="AvantGarde Bk BT" w:cs="Arial"/>
          <w:b/>
          <w:color w:val="000000" w:themeColor="text1"/>
          <w:sz w:val="24"/>
          <w:szCs w:val="24"/>
        </w:rPr>
        <w:t>. Medio de impugnación.</w:t>
      </w:r>
    </w:p>
    <w:p w14:paraId="05E2542E" w14:textId="450238F6" w:rsidR="00002DE6" w:rsidRPr="003358EE" w:rsidRDefault="00002DE6" w:rsidP="00824FBE">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3B749AE1" w14:textId="35F73E55" w:rsidR="00002DE6" w:rsidRPr="00E215D2" w:rsidRDefault="00002DE6" w:rsidP="00002DE6">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0D76C617" w14:textId="329C3901" w:rsidR="00002DE6" w:rsidRPr="007C5605" w:rsidRDefault="00002DE6" w:rsidP="00002DE6">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51E384F5" w14:textId="009A9821" w:rsidR="00002DE6" w:rsidRPr="007C5605" w:rsidRDefault="00002DE6" w:rsidP="006601D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sidR="009419B2">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ente obligado </w:t>
      </w:r>
      <w:r w:rsidRPr="007C5605">
        <w:rPr>
          <w:rFonts w:ascii="AvantGarde Bk BT" w:hAnsi="AvantGarde Bk BT" w:cs="Arial"/>
          <w:color w:val="000000" w:themeColor="text1"/>
          <w:sz w:val="24"/>
          <w:szCs w:val="24"/>
        </w:rPr>
        <w:t>por los fundamentos y las razones desarrolladas en el considerando sexto de la presente resolución.</w:t>
      </w:r>
    </w:p>
    <w:p w14:paraId="5F06A569" w14:textId="7390CED8" w:rsidR="00946007" w:rsidRPr="00002DE6" w:rsidRDefault="00002DE6" w:rsidP="00002DE6">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53B05D3C" w14:textId="77777777" w:rsidR="00332954" w:rsidRDefault="00332954" w:rsidP="00332954">
      <w:pPr>
        <w:pStyle w:val="corte4fondo"/>
        <w:tabs>
          <w:tab w:val="left" w:pos="567"/>
        </w:tabs>
        <w:spacing w:after="240"/>
        <w:rPr>
          <w:rFonts w:ascii="AvantGarde Bk BT" w:hAnsi="AvantGarde Bk BT"/>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Pr>
          <w:rFonts w:ascii="AvantGarde Bk BT" w:hAnsi="AvantGarde Bk BT"/>
          <w:sz w:val="24"/>
          <w:szCs w:val="24"/>
        </w:rPr>
        <w:t>Extrao</w:t>
      </w:r>
      <w:r w:rsidRPr="00E0750B">
        <w:rPr>
          <w:rFonts w:ascii="AvantGarde Bk BT" w:hAnsi="AvantGarde Bk BT"/>
          <w:sz w:val="24"/>
          <w:szCs w:val="24"/>
        </w:rPr>
        <w:t xml:space="preserve">rdinaria de Consejo el </w:t>
      </w:r>
      <w:r>
        <w:rPr>
          <w:rFonts w:ascii="AvantGarde Bk BT" w:hAnsi="AvantGarde Bk BT"/>
          <w:sz w:val="24"/>
          <w:szCs w:val="24"/>
        </w:rPr>
        <w:t>12 doce de noviembre</w:t>
      </w:r>
      <w:r w:rsidRPr="00E0750B">
        <w:rPr>
          <w:rFonts w:ascii="AvantGarde Bk BT" w:hAnsi="AvantGarde Bk BT"/>
          <w:sz w:val="24"/>
          <w:szCs w:val="24"/>
        </w:rPr>
        <w:t xml:space="preserve"> de 2019 dos mil diecinueve,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Maestro Alejandro Lafuente Torres</w:t>
      </w:r>
      <w:r>
        <w:rPr>
          <w:rFonts w:ascii="AvantGarde Bk BT" w:hAnsi="AvantGarde Bk BT" w:cs="Arial"/>
          <w:color w:val="000000" w:themeColor="text1"/>
          <w:sz w:val="24"/>
          <w:szCs w:val="24"/>
        </w:rPr>
        <w:t xml:space="preserve">, </w:t>
      </w:r>
      <w:r w:rsidRPr="005F55F0">
        <w:rPr>
          <w:rFonts w:ascii="AvantGarde Bk BT" w:hAnsi="AvantGarde Bk BT" w:cs="Arial"/>
          <w:color w:val="000000" w:themeColor="text1"/>
          <w:sz w:val="24"/>
          <w:szCs w:val="24"/>
        </w:rPr>
        <w:t>Lic. Paulina Sánchez Pérez del Pozo</w:t>
      </w:r>
      <w:r>
        <w:rPr>
          <w:rFonts w:ascii="AvantGarde Bk BT" w:hAnsi="AvantGarde Bk BT" w:cs="Arial"/>
          <w:color w:val="000000" w:themeColor="text1"/>
          <w:sz w:val="24"/>
          <w:szCs w:val="24"/>
        </w:rPr>
        <w:t xml:space="preserve"> y Mariajosé González </w:t>
      </w:r>
      <w:r>
        <w:rPr>
          <w:rFonts w:ascii="AvantGarde Bk BT" w:hAnsi="AvantGarde Bk BT" w:cs="Arial"/>
          <w:color w:val="000000" w:themeColor="text1"/>
          <w:sz w:val="24"/>
          <w:szCs w:val="24"/>
        </w:rPr>
        <w:lastRenderedPageBreak/>
        <w:t xml:space="preserve">Zarzosa, </w:t>
      </w:r>
      <w:r>
        <w:rPr>
          <w:rFonts w:ascii="AvantGarde Bk BT" w:hAnsi="AvantGarde Bk BT"/>
          <w:b/>
          <w:color w:val="000000" w:themeColor="text1"/>
          <w:sz w:val="24"/>
          <w:szCs w:val="24"/>
        </w:rPr>
        <w:t>siendo ponente el primero de los nombrados</w:t>
      </w:r>
      <w:r>
        <w:rPr>
          <w:rFonts w:ascii="AvantGarde Bk BT" w:hAnsi="AvantGarde Bk BT"/>
          <w:color w:val="000000" w:themeColor="text1"/>
          <w:sz w:val="24"/>
          <w:szCs w:val="24"/>
        </w:rPr>
        <w:t xml:space="preserve">, quienes firman con la Licenciada Rosa María Motilla García, quien autoriza y da fe. </w:t>
      </w:r>
    </w:p>
    <w:p w14:paraId="2FF59ED7" w14:textId="77777777" w:rsidR="00332954" w:rsidRDefault="00332954" w:rsidP="00332954">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COMISIONADO                                        COMISIONADA PRESIDENTE</w:t>
      </w:r>
    </w:p>
    <w:p w14:paraId="7CDB61FD" w14:textId="77777777" w:rsidR="00332954" w:rsidRPr="003358EE" w:rsidRDefault="00332954" w:rsidP="00332954">
      <w:pPr>
        <w:pStyle w:val="NormalWeb"/>
        <w:rPr>
          <w:rFonts w:ascii="AvantGarde Bk BT" w:hAnsi="AvantGarde Bk BT" w:cs="Arial"/>
          <w:b/>
          <w:color w:val="000000" w:themeColor="text1"/>
          <w:lang w:val="es-MX"/>
        </w:rPr>
      </w:pPr>
    </w:p>
    <w:p w14:paraId="074B167B" w14:textId="77777777" w:rsidR="00332954" w:rsidRDefault="00332954" w:rsidP="00332954">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MTRO. ALEJANDRO LAFUENTE TORRES.</w:t>
      </w:r>
      <w:r w:rsidRPr="003358EE">
        <w:rPr>
          <w:rFonts w:ascii="AvantGarde Bk BT" w:hAnsi="AvantGarde Bk BT" w:cs="Arial"/>
          <w:b/>
          <w:color w:val="000000" w:themeColor="text1"/>
          <w:lang w:val="es-MX"/>
        </w:rPr>
        <w:tab/>
        <w:t xml:space="preserve">     LIC. PAULINA SÁNCHEZ PÉREZ DEL POZO.</w:t>
      </w:r>
    </w:p>
    <w:p w14:paraId="66AA31FD" w14:textId="77777777" w:rsidR="00332954" w:rsidRDefault="00332954" w:rsidP="00332954">
      <w:pPr>
        <w:pStyle w:val="NormalWeb"/>
        <w:jc w:val="center"/>
        <w:rPr>
          <w:rFonts w:ascii="AvantGarde Bk BT" w:hAnsi="AvantGarde Bk BT" w:cs="Arial"/>
          <w:b/>
          <w:color w:val="000000" w:themeColor="text1"/>
          <w:lang w:val="es-MX"/>
        </w:rPr>
      </w:pPr>
    </w:p>
    <w:p w14:paraId="2A4CB7CA" w14:textId="77777777" w:rsidR="00332954" w:rsidRPr="003358EE" w:rsidRDefault="00332954" w:rsidP="00332954">
      <w:pPr>
        <w:pStyle w:val="NormalWeb"/>
        <w:jc w:val="center"/>
        <w:rPr>
          <w:rFonts w:ascii="AvantGarde Bk BT" w:hAnsi="AvantGarde Bk BT" w:cs="Arial"/>
          <w:b/>
          <w:color w:val="000000" w:themeColor="text1"/>
          <w:lang w:val="es-MX"/>
        </w:rPr>
      </w:pPr>
    </w:p>
    <w:p w14:paraId="5C33840B" w14:textId="77777777" w:rsidR="00332954" w:rsidRPr="003358EE" w:rsidRDefault="00332954" w:rsidP="00332954">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SECRETARIA DE PLENO</w:t>
      </w:r>
    </w:p>
    <w:p w14:paraId="3F5D74A9" w14:textId="77777777" w:rsidR="00332954" w:rsidRPr="003358EE" w:rsidRDefault="00332954" w:rsidP="00332954">
      <w:pPr>
        <w:pStyle w:val="NormalWeb"/>
        <w:rPr>
          <w:rFonts w:ascii="AvantGarde Bk BT" w:hAnsi="AvantGarde Bk BT" w:cs="Arial"/>
          <w:b/>
          <w:color w:val="000000" w:themeColor="text1"/>
          <w:lang w:val="es-MX"/>
        </w:rPr>
      </w:pPr>
    </w:p>
    <w:p w14:paraId="7F5148FD" w14:textId="77777777" w:rsidR="00332954" w:rsidRPr="003358EE" w:rsidRDefault="00332954" w:rsidP="00332954">
      <w:pPr>
        <w:pStyle w:val="NormalWeb"/>
        <w:jc w:val="center"/>
        <w:rPr>
          <w:rFonts w:ascii="AvantGarde Bk BT" w:hAnsi="AvantGarde Bk BT" w:cs="Arial"/>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rPr>
        <w:t>MARIAJOSÉ GONZÁLEZ ZARZOSA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6C6A0AB1" w14:textId="77777777" w:rsidR="00332954" w:rsidRPr="001314EC" w:rsidRDefault="00332954" w:rsidP="00332954">
      <w:pPr>
        <w:autoSpaceDE w:val="0"/>
        <w:autoSpaceDN w:val="0"/>
        <w:adjustRightInd w:val="0"/>
        <w:spacing w:after="0" w:line="480" w:lineRule="auto"/>
        <w:jc w:val="both"/>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3B292103" w14:textId="1B3F61B3" w:rsidR="00332954" w:rsidRPr="004C15C0" w:rsidRDefault="00332954" w:rsidP="00332954">
      <w:pPr>
        <w:autoSpaceDE w:val="0"/>
        <w:autoSpaceDN w:val="0"/>
        <w:adjustRightInd w:val="0"/>
        <w:spacing w:after="0" w:line="240" w:lineRule="auto"/>
        <w:jc w:val="both"/>
        <w:rPr>
          <w:rFonts w:ascii="AvantGarde Bk BT" w:hAnsi="AvantGarde Bk BT" w:cs="Arial"/>
          <w:color w:val="000000" w:themeColor="text1"/>
          <w:sz w:val="14"/>
          <w:szCs w:val="14"/>
        </w:rPr>
      </w:pPr>
      <w:r>
        <w:rPr>
          <w:rFonts w:ascii="AvantGarde Bk BT" w:hAnsi="AvantGarde Bk BT" w:cs="Arial"/>
          <w:color w:val="000000" w:themeColor="text1"/>
          <w:sz w:val="14"/>
          <w:szCs w:val="14"/>
        </w:rPr>
        <w:t>(Estas firmas corresponden a la resolución dictada por el Pleno de la Comisión Estatal de Garantía de Acceso a la Información Pública de San Luis Potosí en sesión extra</w:t>
      </w:r>
      <w:r w:rsidRPr="007E3491">
        <w:rPr>
          <w:rFonts w:ascii="AvantGarde Bk BT" w:hAnsi="AvantGarde Bk BT" w:cs="Arial"/>
          <w:color w:val="000000" w:themeColor="text1"/>
          <w:sz w:val="14"/>
          <w:szCs w:val="14"/>
        </w:rPr>
        <w:t xml:space="preserve">ordinaria de </w:t>
      </w:r>
      <w:r>
        <w:rPr>
          <w:rFonts w:ascii="AvantGarde Bk BT" w:hAnsi="AvantGarde Bk BT" w:cs="Arial"/>
          <w:color w:val="000000" w:themeColor="text1"/>
          <w:sz w:val="14"/>
          <w:szCs w:val="14"/>
        </w:rPr>
        <w:t xml:space="preserve">12 doce de noviembre de 2019 dos mil diecinueve, dentro de los autos del </w:t>
      </w:r>
      <w:r w:rsidR="004A67C0">
        <w:rPr>
          <w:rFonts w:ascii="AvantGarde Bk BT" w:hAnsi="AvantGarde Bk BT" w:cs="Arial"/>
          <w:color w:val="000000" w:themeColor="text1"/>
          <w:sz w:val="14"/>
          <w:szCs w:val="14"/>
        </w:rPr>
        <w:t>recurso de revisión RR-1481/2019</w:t>
      </w:r>
      <w:bookmarkStart w:id="0" w:name="_GoBack"/>
      <w:bookmarkEnd w:id="0"/>
      <w:r>
        <w:rPr>
          <w:rFonts w:ascii="AvantGarde Bk BT" w:hAnsi="AvantGarde Bk BT" w:cs="Arial"/>
          <w:color w:val="000000" w:themeColor="text1"/>
          <w:sz w:val="14"/>
          <w:szCs w:val="14"/>
        </w:rPr>
        <w:t>-1 SICOM.)</w:t>
      </w:r>
    </w:p>
    <w:p w14:paraId="0D4DF0CB" w14:textId="4AAABABD" w:rsidR="00946007" w:rsidRPr="00911F5B" w:rsidRDefault="00946007" w:rsidP="00332954">
      <w:pPr>
        <w:pStyle w:val="corte4fondo"/>
        <w:tabs>
          <w:tab w:val="left" w:pos="567"/>
        </w:tabs>
        <w:spacing w:after="240"/>
        <w:rPr>
          <w:rFonts w:ascii="AvantGarde Bk BT" w:hAnsi="AvantGarde Bk BT" w:cs="Arial"/>
          <w:sz w:val="14"/>
          <w:szCs w:val="24"/>
        </w:rPr>
      </w:pPr>
    </w:p>
    <w:sectPr w:rsidR="00946007" w:rsidRPr="00911F5B" w:rsidSect="00B86F4A">
      <w:headerReference w:type="default" r:id="rId8"/>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49976D" w14:textId="77777777" w:rsidR="00070944" w:rsidRDefault="00070944">
      <w:pPr>
        <w:spacing w:after="0" w:line="240" w:lineRule="auto"/>
      </w:pPr>
      <w:r>
        <w:separator/>
      </w:r>
    </w:p>
  </w:endnote>
  <w:endnote w:type="continuationSeparator" w:id="0">
    <w:p w14:paraId="1F8CC104" w14:textId="77777777" w:rsidR="00070944" w:rsidRDefault="000709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BEF3CBB" w14:textId="77777777" w:rsidR="00070944" w:rsidRDefault="00070944">
      <w:pPr>
        <w:spacing w:after="0" w:line="240" w:lineRule="auto"/>
      </w:pPr>
      <w:r>
        <w:separator/>
      </w:r>
    </w:p>
  </w:footnote>
  <w:footnote w:type="continuationSeparator" w:id="0">
    <w:p w14:paraId="69A4BA9A" w14:textId="77777777" w:rsidR="00070944" w:rsidRDefault="00070944">
      <w:pPr>
        <w:spacing w:after="0" w:line="240" w:lineRule="auto"/>
      </w:pPr>
      <w:r>
        <w:continuationSeparator/>
      </w:r>
    </w:p>
  </w:footnote>
  <w:footnote w:id="1">
    <w:p w14:paraId="51F4AD9F" w14:textId="77777777" w:rsidR="00B12D20" w:rsidRPr="00F74A73" w:rsidRDefault="00B12D20" w:rsidP="00B12D20">
      <w:pPr>
        <w:pStyle w:val="Textonotapie"/>
        <w:jc w:val="both"/>
        <w:rPr>
          <w:sz w:val="16"/>
          <w:szCs w:val="18"/>
        </w:rPr>
      </w:pPr>
      <w:r w:rsidRPr="00F74A73">
        <w:rPr>
          <w:rStyle w:val="Refdenotaalpie"/>
          <w:sz w:val="16"/>
          <w:szCs w:val="18"/>
        </w:rPr>
        <w:footnoteRef/>
      </w:r>
      <w:r w:rsidRPr="00F74A73">
        <w:rPr>
          <w:sz w:val="16"/>
          <w:szCs w:val="18"/>
        </w:rPr>
        <w:t xml:space="preserve"> ARTÍCULO 27. La CEGAIP es un organismo autónomo, especializado, imparcial y colegiado, responsable de garantizar el derecho de acceso a la información y de protección de datos personales en posesión de los sujetos obligados, conforme a los principios y bases establecidos por el artículo 6o de la Constitución Política de los Estados Unidos Mexicanos; la fracción III del artículo 17 de la Constitución Política del Estado de San Luis Potosí; así como por lo previsto en la Ley General, esta Ley y demás disposiciones aplicables. En esta Ley se determina lo relativo a la estructura y funciones de la CEGAIP, así como la integración, duración del cargo, requisitos, procedimiento de selección, régimen de incompatibilidades, excusas, renuncias, licencias y suplencias de los integrantes de la misma, de conformidad con lo señalado en el Capítulo II del Título II de la Ley General. La sustitución de los comisionados se realizará de manera escalonada para garantizar el principio de autonomía, de acuerdo a lo mandatado por el artículo 38 de la Ley General.</w:t>
      </w:r>
    </w:p>
  </w:footnote>
  <w:footnote w:id="2">
    <w:p w14:paraId="32B592F7" w14:textId="77777777" w:rsidR="00B12D20" w:rsidRPr="00F74A73" w:rsidRDefault="00B12D20" w:rsidP="00B12D20">
      <w:pPr>
        <w:pStyle w:val="Textonotapie"/>
        <w:jc w:val="both"/>
        <w:rPr>
          <w:sz w:val="16"/>
          <w:szCs w:val="18"/>
        </w:rPr>
      </w:pPr>
      <w:r w:rsidRPr="00F74A73">
        <w:rPr>
          <w:rStyle w:val="Refdenotaalpie"/>
          <w:sz w:val="16"/>
          <w:szCs w:val="18"/>
        </w:rPr>
        <w:footnoteRef/>
      </w:r>
      <w:r w:rsidRPr="00F74A73">
        <w:rPr>
          <w:sz w:val="16"/>
          <w:szCs w:val="18"/>
        </w:rPr>
        <w:t xml:space="preserve"> ARTÍCULO 14. La CEGAIP, en el ámbito de sus atribuciones, deberá suplir cualquier deficiencia para garantizar el ejercicio del derecho de acceso a la información.</w:t>
      </w:r>
    </w:p>
  </w:footnote>
  <w:footnote w:id="3">
    <w:p w14:paraId="078A3501" w14:textId="77777777" w:rsidR="009E114B" w:rsidRPr="009419B2" w:rsidRDefault="009E114B" w:rsidP="009E114B">
      <w:pPr>
        <w:pStyle w:val="Textonotapie"/>
        <w:jc w:val="both"/>
        <w:rPr>
          <w:sz w:val="16"/>
          <w:szCs w:val="16"/>
          <w:lang w:val="es-ES_tradnl"/>
        </w:rPr>
      </w:pPr>
      <w:r w:rsidRPr="009419B2">
        <w:rPr>
          <w:rStyle w:val="Refdenotaalpie"/>
          <w:sz w:val="16"/>
          <w:szCs w:val="16"/>
        </w:rPr>
        <w:footnoteRef/>
      </w:r>
      <w:r w:rsidRPr="009419B2">
        <w:rPr>
          <w:sz w:val="16"/>
          <w:szCs w:val="16"/>
        </w:rPr>
        <w:t xml:space="preserve"> </w:t>
      </w:r>
      <w:r w:rsidRPr="009419B2">
        <w:rPr>
          <w:bCs/>
          <w:sz w:val="16"/>
          <w:szCs w:val="16"/>
          <w:lang w:val="es-ES_tradnl"/>
        </w:rPr>
        <w:t xml:space="preserve">ARTÍCULO 61. </w:t>
      </w:r>
      <w:r w:rsidRPr="009419B2">
        <w:rPr>
          <w:sz w:val="16"/>
          <w:szCs w:val="16"/>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5C202CAC" w14:textId="77777777" w:rsidR="009E114B" w:rsidRPr="009419B2" w:rsidRDefault="009E114B" w:rsidP="009E114B">
      <w:pPr>
        <w:pStyle w:val="Textonotapie"/>
        <w:jc w:val="both"/>
        <w:rPr>
          <w:sz w:val="16"/>
          <w:szCs w:val="16"/>
          <w:lang w:val="es-ES_tradnl"/>
        </w:rPr>
      </w:pPr>
      <w:r w:rsidRPr="009419B2">
        <w:rPr>
          <w:sz w:val="16"/>
          <w:szCs w:val="16"/>
          <w:lang w:val="es-ES_tradnl"/>
        </w:rPr>
        <w:t xml:space="preserve">La obligación de los sujetos obligados de proporcionar información no comprende el procesamiento de la misma, ni el presentarla conforme al interés del solicitante. </w:t>
      </w:r>
    </w:p>
  </w:footnote>
  <w:footnote w:id="4">
    <w:p w14:paraId="595E9CFF" w14:textId="77777777" w:rsidR="009E114B" w:rsidRPr="009419B2" w:rsidRDefault="009E114B" w:rsidP="009E114B">
      <w:pPr>
        <w:pStyle w:val="Textonotapie"/>
        <w:jc w:val="both"/>
        <w:rPr>
          <w:sz w:val="16"/>
          <w:szCs w:val="16"/>
        </w:rPr>
      </w:pPr>
      <w:r w:rsidRPr="009419B2">
        <w:rPr>
          <w:rStyle w:val="Refdenotaalpie"/>
          <w:sz w:val="16"/>
          <w:szCs w:val="16"/>
        </w:rPr>
        <w:footnoteRef/>
      </w:r>
      <w:r w:rsidRPr="009419B2">
        <w:rPr>
          <w:sz w:val="16"/>
          <w:szCs w:val="16"/>
        </w:rPr>
        <w:t xml:space="preserve"> ARTÍCULO 18. Los sujetos obligados deberán documentar todo acto que derive del ejercicio de sus facultades, competencias o funciones.</w:t>
      </w:r>
    </w:p>
    <w:p w14:paraId="1DB9CCAA" w14:textId="77777777" w:rsidR="009E114B" w:rsidRPr="009419B2" w:rsidRDefault="009E114B" w:rsidP="009E114B">
      <w:pPr>
        <w:pStyle w:val="Textonotapie"/>
        <w:jc w:val="both"/>
        <w:rPr>
          <w:sz w:val="16"/>
          <w:szCs w:val="16"/>
        </w:rPr>
      </w:pPr>
      <w:r w:rsidRPr="009419B2">
        <w:rPr>
          <w:sz w:val="16"/>
          <w:szCs w:val="16"/>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7BED4A0E" w14:textId="77777777" w:rsidR="009E114B" w:rsidRPr="009419B2" w:rsidRDefault="009E114B" w:rsidP="009E114B">
      <w:pPr>
        <w:pStyle w:val="Textonotapie"/>
        <w:jc w:val="both"/>
        <w:rPr>
          <w:sz w:val="16"/>
          <w:szCs w:val="16"/>
        </w:rPr>
      </w:pPr>
      <w:r w:rsidRPr="009419B2">
        <w:rPr>
          <w:sz w:val="16"/>
          <w:szCs w:val="16"/>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593EF30C" w14:textId="77777777" w:rsidR="009E114B" w:rsidRPr="009419B2" w:rsidRDefault="009E114B" w:rsidP="009E114B">
      <w:pPr>
        <w:pStyle w:val="Textonotapie"/>
        <w:jc w:val="both"/>
        <w:rPr>
          <w:sz w:val="16"/>
          <w:szCs w:val="16"/>
        </w:rPr>
      </w:pPr>
      <w:r w:rsidRPr="009419B2">
        <w:rPr>
          <w:sz w:val="16"/>
          <w:szCs w:val="16"/>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5EFEE5DB" w14:textId="77777777" w:rsidR="009E114B" w:rsidRPr="009419B2" w:rsidRDefault="009E114B" w:rsidP="009E114B">
      <w:pPr>
        <w:pStyle w:val="Textonotapie"/>
        <w:jc w:val="both"/>
        <w:rPr>
          <w:sz w:val="16"/>
          <w:szCs w:val="16"/>
        </w:rPr>
      </w:pPr>
      <w:r w:rsidRPr="009419B2">
        <w:rPr>
          <w:sz w:val="16"/>
          <w:szCs w:val="16"/>
        </w:rPr>
        <w:t xml:space="preserve">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73C4DBDF" w14:textId="77777777" w:rsidR="009E114B" w:rsidRPr="009419B2" w:rsidRDefault="009E114B" w:rsidP="009E114B">
      <w:pPr>
        <w:pStyle w:val="Textonotapie"/>
        <w:jc w:val="both"/>
        <w:rPr>
          <w:sz w:val="16"/>
          <w:szCs w:val="16"/>
        </w:rPr>
      </w:pPr>
      <w:r w:rsidRPr="009419B2">
        <w:rPr>
          <w:sz w:val="16"/>
          <w:szCs w:val="16"/>
        </w:rPr>
        <w:t>La obligación de los sujetos obligados de proporcionar información no comprende el procesamiento de la misma, ni el presentarla conforme al interés del solicitante.</w:t>
      </w:r>
    </w:p>
    <w:p w14:paraId="6233E7A1" w14:textId="77777777" w:rsidR="009E114B" w:rsidRPr="009419B2" w:rsidRDefault="009E114B" w:rsidP="009E114B">
      <w:pPr>
        <w:pStyle w:val="Textonotapie"/>
        <w:jc w:val="both"/>
        <w:rPr>
          <w:sz w:val="16"/>
          <w:szCs w:val="16"/>
        </w:rPr>
      </w:pPr>
      <w:r w:rsidRPr="009419B2">
        <w:rPr>
          <w:sz w:val="16"/>
          <w:szCs w:val="16"/>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5">
    <w:p w14:paraId="3C3E69D4" w14:textId="77777777" w:rsidR="00D52806" w:rsidRPr="009419B2" w:rsidRDefault="00D52806" w:rsidP="00D52806">
      <w:pPr>
        <w:pStyle w:val="NormalWeb"/>
        <w:spacing w:before="0" w:beforeAutospacing="0" w:after="0" w:afterAutospacing="0"/>
        <w:jc w:val="both"/>
        <w:rPr>
          <w:sz w:val="16"/>
          <w:szCs w:val="16"/>
          <w:lang w:val="es-MX" w:eastAsia="es-MX"/>
        </w:rPr>
      </w:pPr>
      <w:r w:rsidRPr="009419B2">
        <w:rPr>
          <w:rStyle w:val="Refdenotaalpie"/>
          <w:sz w:val="16"/>
          <w:szCs w:val="16"/>
        </w:rPr>
        <w:footnoteRef/>
      </w:r>
      <w:r w:rsidRPr="009419B2">
        <w:rPr>
          <w:sz w:val="16"/>
          <w:szCs w:val="16"/>
        </w:rPr>
        <w:t xml:space="preserve"> </w:t>
      </w:r>
      <w:r w:rsidRPr="009419B2">
        <w:rPr>
          <w:rFonts w:ascii="Calibri" w:hAnsi="Calibri" w:cs="Calibri"/>
          <w:color w:val="000000"/>
          <w:sz w:val="16"/>
          <w:szCs w:val="16"/>
          <w:lang w:val="es-MX" w:eastAsia="es-MX"/>
        </w:rPr>
        <w:t xml:space="preserve">ARTÍCULO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416EB11F" w14:textId="77777777" w:rsidR="00D52806" w:rsidRPr="009419B2" w:rsidRDefault="00D52806" w:rsidP="00D52806">
      <w:pPr>
        <w:spacing w:after="0" w:line="240" w:lineRule="auto"/>
        <w:jc w:val="both"/>
        <w:rPr>
          <w:rFonts w:ascii="Times New Roman" w:eastAsia="Times New Roman" w:hAnsi="Times New Roman" w:cs="Times New Roman"/>
          <w:sz w:val="16"/>
          <w:szCs w:val="16"/>
        </w:rPr>
      </w:pPr>
      <w:r w:rsidRPr="009419B2">
        <w:rPr>
          <w:rFonts w:ascii="Calibri" w:eastAsia="Times New Roman" w:hAnsi="Calibri" w:cs="Calibri"/>
          <w:color w:val="000000"/>
          <w:sz w:val="16"/>
          <w:szCs w:val="16"/>
        </w:rPr>
        <w:t xml:space="preserve">La obligación de los sujetos obligados de proporcionar información no comprende el procesamiento de la misma, ni el presentarla conforme al interés del solicitante. </w:t>
      </w:r>
    </w:p>
    <w:p w14:paraId="4E8DDA90" w14:textId="77777777" w:rsidR="00D52806" w:rsidRPr="009419B2" w:rsidRDefault="00D52806" w:rsidP="00D52806">
      <w:pPr>
        <w:spacing w:after="0" w:line="240" w:lineRule="auto"/>
        <w:jc w:val="both"/>
        <w:rPr>
          <w:rFonts w:ascii="Times New Roman" w:eastAsia="Times New Roman" w:hAnsi="Times New Roman" w:cs="Times New Roman"/>
          <w:sz w:val="16"/>
          <w:szCs w:val="16"/>
        </w:rPr>
      </w:pPr>
      <w:r w:rsidRPr="009419B2">
        <w:rPr>
          <w:rFonts w:ascii="Calibri" w:eastAsia="Times New Roman" w:hAnsi="Calibri" w:cs="Calibri"/>
          <w:color w:val="000000"/>
          <w:sz w:val="16"/>
          <w:szCs w:val="16"/>
        </w:rPr>
        <w:t>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En el caso de que la información solicitada consista en bases de datos se deberá privilegiar la entrega de la misma en Formatos Abiertos.</w:t>
      </w:r>
    </w:p>
  </w:footnote>
  <w:footnote w:id="6">
    <w:p w14:paraId="3CA5CC29" w14:textId="77777777" w:rsidR="00657BBB" w:rsidRPr="00967927" w:rsidRDefault="00657BBB" w:rsidP="00657BBB">
      <w:pPr>
        <w:pStyle w:val="Textonotapie"/>
        <w:jc w:val="both"/>
        <w:rPr>
          <w:sz w:val="16"/>
        </w:rPr>
      </w:pPr>
      <w:r w:rsidRPr="00967927">
        <w:rPr>
          <w:rStyle w:val="Refdenotaalpie"/>
          <w:sz w:val="16"/>
        </w:rPr>
        <w:footnoteRef/>
      </w:r>
      <w:r w:rsidRPr="00967927">
        <w:rPr>
          <w:sz w:val="16"/>
        </w:rPr>
        <w:t xml:space="preserve"> ARTÍCULO 113. Las figuras jurídicas de excepción al derecho de acceso a la información pública, son las de información reservada, e información confidencial.</w:t>
      </w:r>
    </w:p>
  </w:footnote>
  <w:footnote w:id="7">
    <w:p w14:paraId="3F9606CE" w14:textId="77777777" w:rsidR="00657BBB" w:rsidRPr="00967927" w:rsidRDefault="00657BBB" w:rsidP="00657BBB">
      <w:pPr>
        <w:pStyle w:val="Textonotapie"/>
        <w:rPr>
          <w:sz w:val="18"/>
        </w:rPr>
      </w:pPr>
      <w:r w:rsidRPr="00967927">
        <w:rPr>
          <w:rStyle w:val="Refdenotaalpie"/>
          <w:sz w:val="18"/>
        </w:rPr>
        <w:footnoteRef/>
      </w:r>
      <w:r w:rsidRPr="00967927">
        <w:rPr>
          <w:sz w:val="18"/>
        </w:rPr>
        <w:t xml:space="preserve"> ARTÍCULO 125. Cuando un Documento contenga partes o secciones reservadas o confidenciales, los sujetos obligados, para efectos de atender una solicitud de información, deberán elaborar una Versión Pública en la que se testen las partes o secciones clasificadas, indicando su contenido de manera genérica y fundando y motivando su clasificación.</w:t>
      </w:r>
    </w:p>
  </w:footnote>
  <w:footnote w:id="8">
    <w:p w14:paraId="798FD25E" w14:textId="77777777" w:rsidR="00657BBB" w:rsidRPr="00967927" w:rsidRDefault="00657BBB" w:rsidP="00657BBB">
      <w:pPr>
        <w:pStyle w:val="Textonotapie"/>
        <w:jc w:val="both"/>
        <w:rPr>
          <w:sz w:val="18"/>
        </w:rPr>
      </w:pPr>
      <w:r w:rsidRPr="00967927">
        <w:rPr>
          <w:rStyle w:val="Refdenotaalpie"/>
          <w:sz w:val="18"/>
        </w:rPr>
        <w:footnoteRef/>
      </w:r>
      <w:r w:rsidRPr="00967927">
        <w:rPr>
          <w:sz w:val="18"/>
        </w:rPr>
        <w:t xml:space="preserve"> ARTÍCULO 117. En los casos en que se niegue el acceso a la información, por actualizarse alguno de los supuestos de clasificación, el Comité de Transparencia deberá confirmar, modificar o revocar la decisión. Para motivar la clasificación de la información y la ampliación del plazo de reserva, se deberán señalar las razones, motivos o circunstancias especiales que llevaron al sujeto obligado a concluir que el caso particular se ajusta al supuesto previsto por la norma legal invocada como fundamento. Además, el sujeto obligado deberá, en todo momento, aplicar una prueba de daño. Tratándose de aquella información que actualice los supuestos de clasificación, deberá señalarse el plazo al que estará sujeto la reserva.</w:t>
      </w:r>
    </w:p>
  </w:footnote>
  <w:footnote w:id="9">
    <w:p w14:paraId="1D864F92" w14:textId="77777777" w:rsidR="00657BBB" w:rsidRPr="00967927" w:rsidRDefault="00657BBB" w:rsidP="00657BBB">
      <w:pPr>
        <w:pStyle w:val="Textonotapie"/>
        <w:jc w:val="both"/>
        <w:rPr>
          <w:sz w:val="16"/>
        </w:rPr>
      </w:pPr>
      <w:r w:rsidRPr="00967927">
        <w:rPr>
          <w:rStyle w:val="Refdenotaalpie"/>
          <w:sz w:val="16"/>
        </w:rPr>
        <w:footnoteRef/>
      </w:r>
      <w:r w:rsidRPr="00967927">
        <w:rPr>
          <w:sz w:val="16"/>
        </w:rPr>
        <w:t xml:space="preserve"> ARTÍCULO 1°. La presente Ley es de orden público y de observancia general en el Estado de San Luis Potosí. Este Ordenamiento es reglamentario de la fracción III del artículo 17 de la Constitución Política del Estado, y acorde a lo previsto en el artículo 6° de la Constitución Política de los Estados Unidos Mexicanos, y la Ley General de Transparencia y Acceso a la Información Pública. </w:t>
      </w:r>
    </w:p>
    <w:p w14:paraId="44A74B69" w14:textId="77777777" w:rsidR="00657BBB" w:rsidRPr="00967927" w:rsidRDefault="00657BBB" w:rsidP="00657BBB">
      <w:pPr>
        <w:pStyle w:val="Textonotapie"/>
        <w:jc w:val="both"/>
        <w:rPr>
          <w:sz w:val="16"/>
        </w:rPr>
      </w:pPr>
      <w:r w:rsidRPr="00967927">
        <w:rPr>
          <w:sz w:val="16"/>
        </w:rPr>
        <w:t>[…]</w:t>
      </w:r>
    </w:p>
    <w:p w14:paraId="6104DDE6" w14:textId="77777777" w:rsidR="00657BBB" w:rsidRPr="00967927" w:rsidRDefault="00657BBB" w:rsidP="00657BBB">
      <w:pPr>
        <w:pStyle w:val="Textonotapie"/>
        <w:jc w:val="both"/>
        <w:rPr>
          <w:sz w:val="18"/>
        </w:rPr>
      </w:pPr>
      <w:r w:rsidRPr="00967927">
        <w:rPr>
          <w:sz w:val="16"/>
        </w:rPr>
        <w:t>La Ley General de Transparencia y Acceso a la Información Pública, los lineamientos que determine el Sistema Nacional de Transparencia, la Constitución Política del Estado de San Luis Potosí, la Ley de Responsabilidades Administrativas para el Estado de San Luis Potosí, el Código Procesal Administrativo para el Estado de San Luis Potosí, y demás disposiciones relacionadas con el derecho de acceso a la información y la protección de datos personales, se aplicarán de manera supletoria en lo no previsto por esta Ley.</w:t>
      </w:r>
    </w:p>
  </w:footnote>
  <w:footnote w:id="10">
    <w:p w14:paraId="34CEB434" w14:textId="77777777" w:rsidR="00DE4660" w:rsidRPr="00EA743E" w:rsidRDefault="00DE4660" w:rsidP="00DE4660">
      <w:pPr>
        <w:pStyle w:val="Textonotapie"/>
        <w:jc w:val="both"/>
        <w:rPr>
          <w:sz w:val="16"/>
          <w:szCs w:val="18"/>
        </w:rPr>
      </w:pPr>
      <w:r w:rsidRPr="00EA743E">
        <w:rPr>
          <w:rStyle w:val="Refdenotaalpie"/>
          <w:sz w:val="16"/>
          <w:szCs w:val="18"/>
        </w:rPr>
        <w:footnoteRef/>
      </w:r>
      <w:r w:rsidRPr="00EA743E">
        <w:rPr>
          <w:sz w:val="16"/>
          <w:szCs w:val="18"/>
        </w:rPr>
        <w:t xml:space="preserve"> ARTÍCULO 143.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14:paraId="78E401AF" w14:textId="77777777" w:rsidR="00DE4660" w:rsidRPr="00EA743E" w:rsidRDefault="00DE4660" w:rsidP="00DE4660">
      <w:pPr>
        <w:pStyle w:val="Textonotapie"/>
        <w:jc w:val="both"/>
        <w:rPr>
          <w:sz w:val="16"/>
          <w:szCs w:val="18"/>
        </w:rPr>
      </w:pPr>
      <w:r w:rsidRPr="00EA743E">
        <w:rPr>
          <w:sz w:val="16"/>
          <w:szCs w:val="18"/>
        </w:rPr>
        <w:t>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En el caso de que la información solicitada consista en bases de datos se deberá privilegiar la entrega de la misma en Formatos Abiertos.</w:t>
      </w:r>
    </w:p>
    <w:p w14:paraId="5E218BC3" w14:textId="77777777" w:rsidR="00DE4660" w:rsidRDefault="00DE4660" w:rsidP="00DE4660">
      <w:pPr>
        <w:pStyle w:val="Textonotapie"/>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629E78DD" w14:textId="4AE00759" w:rsidR="00A66405" w:rsidRDefault="00946007" w:rsidP="007E5F3A">
        <w:pPr>
          <w:pStyle w:val="Encabezado"/>
          <w:jc w:val="center"/>
        </w:pPr>
        <w:r>
          <w:fldChar w:fldCharType="begin"/>
        </w:r>
        <w:r>
          <w:instrText>PAGE   \* MERGEFORMAT</w:instrText>
        </w:r>
        <w:r>
          <w:fldChar w:fldCharType="separate"/>
        </w:r>
        <w:r w:rsidR="004A67C0" w:rsidRPr="004A67C0">
          <w:rPr>
            <w:noProof/>
            <w:lang w:val="es-ES"/>
          </w:rPr>
          <w:t>12</w:t>
        </w:r>
        <w:r>
          <w:fldChar w:fldCharType="end"/>
        </w:r>
        <w:r>
          <w:t xml:space="preserve">                                  </w:t>
        </w:r>
      </w:p>
      <w:p w14:paraId="748FB0B7" w14:textId="57CA4D9F" w:rsidR="00A66405" w:rsidRDefault="00946007" w:rsidP="007F1CA7">
        <w:pPr>
          <w:pStyle w:val="Encabezado"/>
          <w:jc w:val="right"/>
        </w:pPr>
        <w:r>
          <w:t xml:space="preserve">RECURSO DE REVISIÓN </w:t>
        </w:r>
        <w:r w:rsidR="00F66D70">
          <w:t>1481</w:t>
        </w:r>
        <w:r>
          <w:t xml:space="preserve">/2019-1 </w:t>
        </w:r>
        <w:r w:rsidR="00F66D70">
          <w:t>SICOM</w:t>
        </w:r>
      </w:p>
    </w:sdtContent>
  </w:sdt>
  <w:p w14:paraId="477B550A" w14:textId="77777777" w:rsidR="00A66405" w:rsidRDefault="004A67C0">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117525"/>
    <w:multiLevelType w:val="hybridMultilevel"/>
    <w:tmpl w:val="71E860F2"/>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1" w15:restartNumberingAfterBreak="0">
    <w:nsid w:val="19C0037B"/>
    <w:multiLevelType w:val="hybridMultilevel"/>
    <w:tmpl w:val="53926CEE"/>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2" w15:restartNumberingAfterBreak="0">
    <w:nsid w:val="2954400F"/>
    <w:multiLevelType w:val="hybridMultilevel"/>
    <w:tmpl w:val="5FE2C73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4"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5" w15:restartNumberingAfterBreak="0">
    <w:nsid w:val="38705C05"/>
    <w:multiLevelType w:val="hybridMultilevel"/>
    <w:tmpl w:val="A9EE816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6" w15:restartNumberingAfterBreak="0">
    <w:nsid w:val="4391599A"/>
    <w:multiLevelType w:val="hybridMultilevel"/>
    <w:tmpl w:val="3EE07ABA"/>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7"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6A85355A"/>
    <w:multiLevelType w:val="hybridMultilevel"/>
    <w:tmpl w:val="D38892D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711B6A24"/>
    <w:multiLevelType w:val="hybridMultilevel"/>
    <w:tmpl w:val="5434C8CA"/>
    <w:lvl w:ilvl="0" w:tplc="080A0001">
      <w:start w:val="1"/>
      <w:numFmt w:val="bullet"/>
      <w:lvlText w:val=""/>
      <w:lvlJc w:val="left"/>
      <w:pPr>
        <w:ind w:left="1470" w:hanging="360"/>
      </w:pPr>
      <w:rPr>
        <w:rFonts w:ascii="Symbol" w:hAnsi="Symbol" w:hint="default"/>
      </w:rPr>
    </w:lvl>
    <w:lvl w:ilvl="1" w:tplc="080A0003" w:tentative="1">
      <w:start w:val="1"/>
      <w:numFmt w:val="bullet"/>
      <w:lvlText w:val="o"/>
      <w:lvlJc w:val="left"/>
      <w:pPr>
        <w:ind w:left="2190" w:hanging="360"/>
      </w:pPr>
      <w:rPr>
        <w:rFonts w:ascii="Courier New" w:hAnsi="Courier New" w:cs="Courier New" w:hint="default"/>
      </w:rPr>
    </w:lvl>
    <w:lvl w:ilvl="2" w:tplc="080A0005" w:tentative="1">
      <w:start w:val="1"/>
      <w:numFmt w:val="bullet"/>
      <w:lvlText w:val=""/>
      <w:lvlJc w:val="left"/>
      <w:pPr>
        <w:ind w:left="2910" w:hanging="360"/>
      </w:pPr>
      <w:rPr>
        <w:rFonts w:ascii="Wingdings" w:hAnsi="Wingdings" w:hint="default"/>
      </w:rPr>
    </w:lvl>
    <w:lvl w:ilvl="3" w:tplc="080A0001" w:tentative="1">
      <w:start w:val="1"/>
      <w:numFmt w:val="bullet"/>
      <w:lvlText w:val=""/>
      <w:lvlJc w:val="left"/>
      <w:pPr>
        <w:ind w:left="3630" w:hanging="360"/>
      </w:pPr>
      <w:rPr>
        <w:rFonts w:ascii="Symbol" w:hAnsi="Symbol" w:hint="default"/>
      </w:rPr>
    </w:lvl>
    <w:lvl w:ilvl="4" w:tplc="080A0003" w:tentative="1">
      <w:start w:val="1"/>
      <w:numFmt w:val="bullet"/>
      <w:lvlText w:val="o"/>
      <w:lvlJc w:val="left"/>
      <w:pPr>
        <w:ind w:left="4350" w:hanging="360"/>
      </w:pPr>
      <w:rPr>
        <w:rFonts w:ascii="Courier New" w:hAnsi="Courier New" w:cs="Courier New" w:hint="default"/>
      </w:rPr>
    </w:lvl>
    <w:lvl w:ilvl="5" w:tplc="080A0005" w:tentative="1">
      <w:start w:val="1"/>
      <w:numFmt w:val="bullet"/>
      <w:lvlText w:val=""/>
      <w:lvlJc w:val="left"/>
      <w:pPr>
        <w:ind w:left="5070" w:hanging="360"/>
      </w:pPr>
      <w:rPr>
        <w:rFonts w:ascii="Wingdings" w:hAnsi="Wingdings" w:hint="default"/>
      </w:rPr>
    </w:lvl>
    <w:lvl w:ilvl="6" w:tplc="080A0001" w:tentative="1">
      <w:start w:val="1"/>
      <w:numFmt w:val="bullet"/>
      <w:lvlText w:val=""/>
      <w:lvlJc w:val="left"/>
      <w:pPr>
        <w:ind w:left="5790" w:hanging="360"/>
      </w:pPr>
      <w:rPr>
        <w:rFonts w:ascii="Symbol" w:hAnsi="Symbol" w:hint="default"/>
      </w:rPr>
    </w:lvl>
    <w:lvl w:ilvl="7" w:tplc="080A0003" w:tentative="1">
      <w:start w:val="1"/>
      <w:numFmt w:val="bullet"/>
      <w:lvlText w:val="o"/>
      <w:lvlJc w:val="left"/>
      <w:pPr>
        <w:ind w:left="6510" w:hanging="360"/>
      </w:pPr>
      <w:rPr>
        <w:rFonts w:ascii="Courier New" w:hAnsi="Courier New" w:cs="Courier New" w:hint="default"/>
      </w:rPr>
    </w:lvl>
    <w:lvl w:ilvl="8" w:tplc="080A0005" w:tentative="1">
      <w:start w:val="1"/>
      <w:numFmt w:val="bullet"/>
      <w:lvlText w:val=""/>
      <w:lvlJc w:val="left"/>
      <w:pPr>
        <w:ind w:left="7230" w:hanging="360"/>
      </w:pPr>
      <w:rPr>
        <w:rFonts w:ascii="Wingdings" w:hAnsi="Wingdings" w:hint="default"/>
      </w:rPr>
    </w:lvl>
  </w:abstractNum>
  <w:num w:numId="1">
    <w:abstractNumId w:val="4"/>
  </w:num>
  <w:num w:numId="2">
    <w:abstractNumId w:val="7"/>
  </w:num>
  <w:num w:numId="3">
    <w:abstractNumId w:val="3"/>
  </w:num>
  <w:num w:numId="4">
    <w:abstractNumId w:val="5"/>
  </w:num>
  <w:num w:numId="5">
    <w:abstractNumId w:val="8"/>
  </w:num>
  <w:num w:numId="6">
    <w:abstractNumId w:val="2"/>
  </w:num>
  <w:num w:numId="7">
    <w:abstractNumId w:val="0"/>
  </w:num>
  <w:num w:numId="8">
    <w:abstractNumId w:val="6"/>
  </w:num>
  <w:num w:numId="9">
    <w:abstractNumId w:val="1"/>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2DE6"/>
    <w:rsid w:val="00005252"/>
    <w:rsid w:val="00037E62"/>
    <w:rsid w:val="00050D73"/>
    <w:rsid w:val="00070944"/>
    <w:rsid w:val="000715ED"/>
    <w:rsid w:val="00081D9C"/>
    <w:rsid w:val="000B5A26"/>
    <w:rsid w:val="000D3510"/>
    <w:rsid w:val="000D64A6"/>
    <w:rsid w:val="00105D91"/>
    <w:rsid w:val="00120122"/>
    <w:rsid w:val="0012443A"/>
    <w:rsid w:val="00133088"/>
    <w:rsid w:val="00143397"/>
    <w:rsid w:val="001555B9"/>
    <w:rsid w:val="00174E4F"/>
    <w:rsid w:val="00193E6A"/>
    <w:rsid w:val="001B3021"/>
    <w:rsid w:val="001D1BDC"/>
    <w:rsid w:val="001D2649"/>
    <w:rsid w:val="001E545A"/>
    <w:rsid w:val="001E69CC"/>
    <w:rsid w:val="00204353"/>
    <w:rsid w:val="00220A33"/>
    <w:rsid w:val="00225214"/>
    <w:rsid w:val="00264834"/>
    <w:rsid w:val="0027039E"/>
    <w:rsid w:val="00285161"/>
    <w:rsid w:val="0029758A"/>
    <w:rsid w:val="002C4B6A"/>
    <w:rsid w:val="002C6A82"/>
    <w:rsid w:val="002E5565"/>
    <w:rsid w:val="002E6C7E"/>
    <w:rsid w:val="002F24D0"/>
    <w:rsid w:val="00304A77"/>
    <w:rsid w:val="0031791F"/>
    <w:rsid w:val="003273CB"/>
    <w:rsid w:val="00332954"/>
    <w:rsid w:val="003351A0"/>
    <w:rsid w:val="0037595A"/>
    <w:rsid w:val="00395037"/>
    <w:rsid w:val="003A10C4"/>
    <w:rsid w:val="003B38E1"/>
    <w:rsid w:val="004175C1"/>
    <w:rsid w:val="0045021F"/>
    <w:rsid w:val="004644DA"/>
    <w:rsid w:val="00474953"/>
    <w:rsid w:val="00486F34"/>
    <w:rsid w:val="00487E99"/>
    <w:rsid w:val="00496C19"/>
    <w:rsid w:val="004A2293"/>
    <w:rsid w:val="004A67C0"/>
    <w:rsid w:val="004B16DE"/>
    <w:rsid w:val="004E11BB"/>
    <w:rsid w:val="00511272"/>
    <w:rsid w:val="0051746B"/>
    <w:rsid w:val="00521F1F"/>
    <w:rsid w:val="00524500"/>
    <w:rsid w:val="00524E08"/>
    <w:rsid w:val="00565C7A"/>
    <w:rsid w:val="005A7D20"/>
    <w:rsid w:val="005B11BB"/>
    <w:rsid w:val="005E11CB"/>
    <w:rsid w:val="005F108B"/>
    <w:rsid w:val="005F1966"/>
    <w:rsid w:val="005F1B0A"/>
    <w:rsid w:val="005F72E3"/>
    <w:rsid w:val="00601A66"/>
    <w:rsid w:val="00645312"/>
    <w:rsid w:val="00652FC4"/>
    <w:rsid w:val="00655A14"/>
    <w:rsid w:val="00657BBB"/>
    <w:rsid w:val="006601D9"/>
    <w:rsid w:val="00665524"/>
    <w:rsid w:val="006744FA"/>
    <w:rsid w:val="00676793"/>
    <w:rsid w:val="006A0CC0"/>
    <w:rsid w:val="006A0D11"/>
    <w:rsid w:val="006B516D"/>
    <w:rsid w:val="006B71F8"/>
    <w:rsid w:val="006B727F"/>
    <w:rsid w:val="006E1D2F"/>
    <w:rsid w:val="00700736"/>
    <w:rsid w:val="00704551"/>
    <w:rsid w:val="00706D6B"/>
    <w:rsid w:val="00713979"/>
    <w:rsid w:val="00717913"/>
    <w:rsid w:val="00742AFD"/>
    <w:rsid w:val="00751174"/>
    <w:rsid w:val="00753EDD"/>
    <w:rsid w:val="00757C55"/>
    <w:rsid w:val="007639B2"/>
    <w:rsid w:val="00773D30"/>
    <w:rsid w:val="0078431E"/>
    <w:rsid w:val="00784A6F"/>
    <w:rsid w:val="007D2F86"/>
    <w:rsid w:val="007D7B73"/>
    <w:rsid w:val="007E13B6"/>
    <w:rsid w:val="007E72A6"/>
    <w:rsid w:val="007F3502"/>
    <w:rsid w:val="00813197"/>
    <w:rsid w:val="00824FBE"/>
    <w:rsid w:val="00843990"/>
    <w:rsid w:val="00864989"/>
    <w:rsid w:val="00865A36"/>
    <w:rsid w:val="008840C7"/>
    <w:rsid w:val="00894BD5"/>
    <w:rsid w:val="008A6D72"/>
    <w:rsid w:val="008B0264"/>
    <w:rsid w:val="008B5533"/>
    <w:rsid w:val="008B5E35"/>
    <w:rsid w:val="008D713E"/>
    <w:rsid w:val="008E136F"/>
    <w:rsid w:val="00906B05"/>
    <w:rsid w:val="00907325"/>
    <w:rsid w:val="00911F5B"/>
    <w:rsid w:val="00927822"/>
    <w:rsid w:val="00931F30"/>
    <w:rsid w:val="009419B2"/>
    <w:rsid w:val="00946007"/>
    <w:rsid w:val="0095267C"/>
    <w:rsid w:val="009B0870"/>
    <w:rsid w:val="009E114B"/>
    <w:rsid w:val="00A10223"/>
    <w:rsid w:val="00A15374"/>
    <w:rsid w:val="00A21089"/>
    <w:rsid w:val="00A424FE"/>
    <w:rsid w:val="00A74762"/>
    <w:rsid w:val="00A919FB"/>
    <w:rsid w:val="00AA359F"/>
    <w:rsid w:val="00AB71F5"/>
    <w:rsid w:val="00AE106F"/>
    <w:rsid w:val="00AE2C79"/>
    <w:rsid w:val="00B0064B"/>
    <w:rsid w:val="00B04A84"/>
    <w:rsid w:val="00B12D20"/>
    <w:rsid w:val="00B135C5"/>
    <w:rsid w:val="00B24B66"/>
    <w:rsid w:val="00B4380D"/>
    <w:rsid w:val="00B520C8"/>
    <w:rsid w:val="00B60C37"/>
    <w:rsid w:val="00B610E9"/>
    <w:rsid w:val="00BA588A"/>
    <w:rsid w:val="00BA5BEF"/>
    <w:rsid w:val="00BC1F31"/>
    <w:rsid w:val="00BE1B1C"/>
    <w:rsid w:val="00C02E84"/>
    <w:rsid w:val="00C44B12"/>
    <w:rsid w:val="00C740F0"/>
    <w:rsid w:val="00CC38D7"/>
    <w:rsid w:val="00CC3C52"/>
    <w:rsid w:val="00CC4E82"/>
    <w:rsid w:val="00CF05A2"/>
    <w:rsid w:val="00D0102C"/>
    <w:rsid w:val="00D14FFE"/>
    <w:rsid w:val="00D21BA9"/>
    <w:rsid w:val="00D3050A"/>
    <w:rsid w:val="00D4006E"/>
    <w:rsid w:val="00D50B3F"/>
    <w:rsid w:val="00D52806"/>
    <w:rsid w:val="00D55892"/>
    <w:rsid w:val="00D6663E"/>
    <w:rsid w:val="00D733B9"/>
    <w:rsid w:val="00D955D7"/>
    <w:rsid w:val="00DD1478"/>
    <w:rsid w:val="00DE0E71"/>
    <w:rsid w:val="00DE4660"/>
    <w:rsid w:val="00DF0E34"/>
    <w:rsid w:val="00E03723"/>
    <w:rsid w:val="00E0750B"/>
    <w:rsid w:val="00E22DCB"/>
    <w:rsid w:val="00E74CD1"/>
    <w:rsid w:val="00E81C3D"/>
    <w:rsid w:val="00EA743E"/>
    <w:rsid w:val="00EA7CC3"/>
    <w:rsid w:val="00ED558F"/>
    <w:rsid w:val="00EE75F1"/>
    <w:rsid w:val="00F06EEF"/>
    <w:rsid w:val="00F14472"/>
    <w:rsid w:val="00F21084"/>
    <w:rsid w:val="00F42A2D"/>
    <w:rsid w:val="00F66D70"/>
    <w:rsid w:val="00F708EE"/>
    <w:rsid w:val="00F86C61"/>
    <w:rsid w:val="00F90B0A"/>
    <w:rsid w:val="00F93F33"/>
    <w:rsid w:val="00FB0B93"/>
    <w:rsid w:val="00FB1595"/>
    <w:rsid w:val="00FC33CD"/>
    <w:rsid w:val="00FC3A20"/>
    <w:rsid w:val="00FC7C22"/>
    <w:rsid w:val="00FD6029"/>
    <w:rsid w:val="00FF6C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UnresolvedMention">
    <w:name w:val="Unresolved Mention"/>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notapie">
    <w:name w:val="footnote text"/>
    <w:basedOn w:val="Normal"/>
    <w:link w:val="TextonotapieCar"/>
    <w:uiPriority w:val="99"/>
    <w:unhideWhenUsed/>
    <w:rsid w:val="00511272"/>
    <w:pPr>
      <w:spacing w:after="0" w:line="240" w:lineRule="auto"/>
    </w:pPr>
    <w:rPr>
      <w:sz w:val="20"/>
      <w:szCs w:val="20"/>
    </w:rPr>
  </w:style>
  <w:style w:type="character" w:customStyle="1" w:styleId="TextonotapieCar">
    <w:name w:val="Texto nota pie Car"/>
    <w:basedOn w:val="Fuentedeprrafopredeter"/>
    <w:link w:val="Textonotapie"/>
    <w:uiPriority w:val="99"/>
    <w:rsid w:val="00511272"/>
    <w:rPr>
      <w:rFonts w:eastAsiaTheme="minorEastAsia"/>
      <w:sz w:val="20"/>
      <w:szCs w:val="20"/>
      <w:lang w:eastAsia="es-MX"/>
    </w:rPr>
  </w:style>
  <w:style w:type="character" w:styleId="Refdenotaalpie">
    <w:name w:val="footnote reference"/>
    <w:basedOn w:val="Fuentedeprrafopredeter"/>
    <w:uiPriority w:val="99"/>
    <w:unhideWhenUsed/>
    <w:rsid w:val="00511272"/>
    <w:rPr>
      <w:vertAlign w:val="superscript"/>
    </w:rPr>
  </w:style>
  <w:style w:type="paragraph" w:styleId="Textodeglobo">
    <w:name w:val="Balloon Text"/>
    <w:basedOn w:val="Normal"/>
    <w:link w:val="TextodegloboCar"/>
    <w:uiPriority w:val="99"/>
    <w:semiHidden/>
    <w:unhideWhenUsed/>
    <w:rsid w:val="008840C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840C7"/>
    <w:rPr>
      <w:rFonts w:ascii="Segoe UI" w:eastAsiaTheme="minorEastAsia" w:hAnsi="Segoe UI" w:cs="Segoe UI"/>
      <w:sz w:val="18"/>
      <w:szCs w:val="1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5508F8-60C2-4035-8C71-017BF5B31D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12</Pages>
  <Words>3059</Words>
  <Characters>16827</Characters>
  <Application>Microsoft Office Word</Application>
  <DocSecurity>0</DocSecurity>
  <Lines>140</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Pedro</cp:lastModifiedBy>
  <cp:revision>5</cp:revision>
  <cp:lastPrinted>2020-02-04T18:10:00Z</cp:lastPrinted>
  <dcterms:created xsi:type="dcterms:W3CDTF">2020-04-23T00:43:00Z</dcterms:created>
  <dcterms:modified xsi:type="dcterms:W3CDTF">2020-08-10T00:37:00Z</dcterms:modified>
</cp:coreProperties>
</file>