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FDA" w:rsidRDefault="00987FDA" w:rsidP="00987FDA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987FDA" w:rsidRDefault="00987FDA" w:rsidP="00987FDA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</w:t>
      </w:r>
      <w:r>
        <w:rPr>
          <w:rFonts w:ascii="Calibri" w:hAnsi="Calibri" w:cs="Calibri"/>
          <w:b/>
          <w:sz w:val="44"/>
          <w:szCs w:val="44"/>
          <w:u w:val="single"/>
        </w:rPr>
        <w:t>X</w:t>
      </w:r>
      <w:r>
        <w:rPr>
          <w:rFonts w:ascii="Calibri" w:hAnsi="Calibri" w:cs="Calibri"/>
          <w:b/>
          <w:sz w:val="44"/>
          <w:szCs w:val="44"/>
          <w:u w:val="single"/>
        </w:rPr>
        <w:t>I</w:t>
      </w:r>
      <w:r>
        <w:rPr>
          <w:rFonts w:ascii="Calibri" w:hAnsi="Calibri" w:cs="Calibri"/>
          <w:b/>
          <w:sz w:val="44"/>
          <w:szCs w:val="44"/>
          <w:u w:val="single"/>
        </w:rPr>
        <w:t>X D</w:t>
      </w:r>
    </w:p>
    <w:p w:rsidR="00987FDA" w:rsidRDefault="00987FDA" w:rsidP="00987FDA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987FDA" w:rsidRPr="00987FDA" w:rsidRDefault="00987FDA" w:rsidP="00987FDA">
      <w:pPr>
        <w:jc w:val="both"/>
        <w:rPr>
          <w:rFonts w:asciiTheme="minorHAnsi" w:hAnsiTheme="minorHAnsi"/>
          <w:b/>
          <w:sz w:val="44"/>
          <w:szCs w:val="44"/>
        </w:rPr>
      </w:pPr>
      <w:r w:rsidRPr="00987FDA">
        <w:rPr>
          <w:rFonts w:asciiTheme="minorHAnsi" w:hAnsiTheme="minorHAnsi" w:cs="Arial"/>
          <w:b/>
          <w:sz w:val="44"/>
          <w:szCs w:val="44"/>
        </w:rPr>
        <w:t xml:space="preserve">Con base al Artículo 160 de la </w:t>
      </w:r>
      <w:bookmarkStart w:id="0" w:name="_GoBack"/>
      <w:r w:rsidRPr="00987FDA">
        <w:rPr>
          <w:rFonts w:asciiTheme="minorHAnsi" w:hAnsiTheme="minorHAnsi" w:cs="Arial"/>
          <w:b/>
          <w:sz w:val="44"/>
          <w:szCs w:val="44"/>
        </w:rPr>
        <w:t xml:space="preserve">Ley General de las Instituciones y los Procedimientos Electorales,  </w:t>
      </w:r>
      <w:bookmarkEnd w:id="0"/>
      <w:r w:rsidRPr="00987FDA">
        <w:rPr>
          <w:rFonts w:asciiTheme="minorHAnsi" w:hAnsiTheme="minorHAnsi" w:cs="Arial"/>
          <w:b/>
          <w:sz w:val="44"/>
          <w:szCs w:val="44"/>
        </w:rPr>
        <w:t xml:space="preserve">establece que el </w:t>
      </w:r>
      <w:r w:rsidRPr="00987FDA">
        <w:rPr>
          <w:rFonts w:asciiTheme="minorHAnsi" w:hAnsiTheme="minorHAnsi" w:cs="Arial"/>
          <w:b/>
          <w:bCs/>
          <w:sz w:val="44"/>
          <w:szCs w:val="44"/>
        </w:rPr>
        <w:t xml:space="preserve">Instituto Nacional Electoral </w:t>
      </w:r>
      <w:r w:rsidRPr="00987FDA">
        <w:rPr>
          <w:rFonts w:asciiTheme="minorHAnsi" w:hAnsiTheme="minorHAnsi" w:cs="Arial"/>
          <w:b/>
          <w:sz w:val="44"/>
          <w:szCs w:val="44"/>
        </w:rPr>
        <w:t>garantizará a los partidos políticos el uso de sus prerrogativas constitucionales en radio y televisión; establecerá las pautas para la asignación de los mensajes y programas que tengan derecho a difundir, tanto durante los periodos que comprendan los procesos electorales, como fuera de ellos; atenderá las quejas y denuncias por la violación a las normas aplicables y determinará, en su caso, las sanciones</w:t>
      </w:r>
      <w:r>
        <w:rPr>
          <w:rFonts w:asciiTheme="minorHAnsi" w:hAnsiTheme="minorHAnsi" w:cs="Arial"/>
          <w:b/>
          <w:sz w:val="44"/>
          <w:szCs w:val="44"/>
        </w:rPr>
        <w:t xml:space="preserve"> correspondientes</w:t>
      </w:r>
      <w:r w:rsidRPr="00987FDA">
        <w:rPr>
          <w:rFonts w:asciiTheme="minorHAnsi" w:hAnsiTheme="minorHAnsi"/>
          <w:b/>
          <w:sz w:val="44"/>
          <w:szCs w:val="44"/>
        </w:rPr>
        <w:t xml:space="preserve">. </w:t>
      </w:r>
      <w:r w:rsidRPr="00987FDA">
        <w:rPr>
          <w:rFonts w:asciiTheme="minorHAnsi" w:hAnsiTheme="minorHAnsi" w:cs="Arial"/>
          <w:b/>
          <w:sz w:val="44"/>
          <w:szCs w:val="44"/>
        </w:rPr>
        <w:t xml:space="preserve"> </w:t>
      </w:r>
    </w:p>
    <w:p w:rsidR="00946807" w:rsidRDefault="00946807"/>
    <w:sectPr w:rsidR="00946807" w:rsidSect="00E153C8">
      <w:headerReference w:type="default" r:id="rId4"/>
      <w:footerReference w:type="default" r:id="rId5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354" w:rsidRDefault="007B48B6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67D36EA2" wp14:editId="3548332A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2DDFA4D5" wp14:editId="77C3394C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B48B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DFA4D5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7B48B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177A021C" wp14:editId="3EAFBC6C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6DC4350" wp14:editId="7B0F4A39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B48B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6DC4350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:rsidR="00444354" w:rsidRDefault="007B48B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149F57C8" wp14:editId="3FF75CDD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5D9EA2E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0FB24F86" wp14:editId="46A174DD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B850C9" w:rsidRPr="00B850C9" w:rsidRDefault="007B48B6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B850C9" w:rsidRDefault="007B48B6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FB24F86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:rsidR="00B850C9" w:rsidRPr="00B850C9" w:rsidRDefault="007B48B6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B850C9" w:rsidRDefault="007B48B6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B0D0A11" wp14:editId="7E480876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2C79925A" wp14:editId="4EF0475C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72EE64E4" wp14:editId="3EA1822E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550BE238" wp14:editId="43F2716F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46F6892A" wp14:editId="7AF8E1E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390040DA" wp14:editId="59C4B97E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3A716E91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6B0D0FDB" wp14:editId="6F2632C7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2776DDA0" wp14:editId="16211B2B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0F1C0482" wp14:editId="40E5B86F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B48B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F1C0482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7B48B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47E13F8F" wp14:editId="2750247F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B48B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E13F8F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7B48B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4894E3EB" wp14:editId="12F888AA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639F9083" wp14:editId="7B77D89D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3FBDF5DF" wp14:editId="758E4925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6CF" w:rsidRDefault="007B48B6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58659273" wp14:editId="4BB01E1E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3E8044A8" wp14:editId="59D6C01D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1E9505A2" wp14:editId="5605DD4F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06377657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A080826" wp14:editId="612D7B96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B48B6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444354" w:rsidRDefault="007B48B6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A080826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:rsidR="00444354" w:rsidRDefault="007B48B6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444354" w:rsidRDefault="007B48B6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28EB04E8" wp14:editId="5B2802D5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29019B51" wp14:editId="3DB04885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2EDAE4D8" wp14:editId="1E89F3BC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B48B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DAE4D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7B48B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2D582ECB" wp14:editId="2B07DDC4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B48B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D582ECB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7B48B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FDA"/>
    <w:rsid w:val="007B48B6"/>
    <w:rsid w:val="00946807"/>
    <w:rsid w:val="00987FDA"/>
    <w:rsid w:val="00B2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ED897B-7EE6-496A-B21E-E98FDDDEF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87FD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987FD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987FD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987FDA"/>
    <w:rPr>
      <w:lang w:val="es-ES_tradnl"/>
    </w:rPr>
  </w:style>
  <w:style w:type="character" w:customStyle="1" w:styleId="Hyperlink0">
    <w:name w:val="Hyperlink.0"/>
    <w:basedOn w:val="Fuentedeprrafopredeter"/>
    <w:rsid w:val="00987FDA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987FD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87FDA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987FD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87FDA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Lic Francisco Pinocely</cp:lastModifiedBy>
  <cp:revision>2</cp:revision>
  <dcterms:created xsi:type="dcterms:W3CDTF">2020-07-20T17:11:00Z</dcterms:created>
  <dcterms:modified xsi:type="dcterms:W3CDTF">2020-07-20T17:16:00Z</dcterms:modified>
</cp:coreProperties>
</file>