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4CFF" w:rsidRPr="006D7FAD" w:rsidRDefault="00464CFF" w:rsidP="008934DD">
      <w:pPr>
        <w:spacing w:after="0" w:line="240" w:lineRule="auto"/>
        <w:ind w:left="2552"/>
        <w:jc w:val="right"/>
        <w:rPr>
          <w:rFonts w:ascii="Arial" w:hAnsi="Arial" w:cs="Arial"/>
          <w:b/>
          <w:color w:val="2E74B5" w:themeColor="accent1" w:themeShade="BF"/>
          <w:sz w:val="24"/>
          <w:szCs w:val="24"/>
        </w:rPr>
      </w:pPr>
      <w:r w:rsidRPr="006D7FAD">
        <w:rPr>
          <w:rFonts w:ascii="Arial" w:hAnsi="Arial" w:cs="Arial"/>
          <w:b/>
          <w:color w:val="2E74B5" w:themeColor="accent1" w:themeShade="BF"/>
          <w:sz w:val="24"/>
          <w:szCs w:val="24"/>
        </w:rPr>
        <w:t xml:space="preserve">RECURSO DE REVISIÓN </w:t>
      </w:r>
      <w:r w:rsidR="000A6E97" w:rsidRPr="006D7FAD">
        <w:rPr>
          <w:rFonts w:ascii="Arial" w:hAnsi="Arial" w:cs="Arial"/>
          <w:b/>
          <w:color w:val="2E74B5" w:themeColor="accent1" w:themeShade="BF"/>
          <w:sz w:val="24"/>
          <w:szCs w:val="24"/>
        </w:rPr>
        <w:t>2</w:t>
      </w:r>
      <w:r w:rsidR="005452E1" w:rsidRPr="006D7FAD">
        <w:rPr>
          <w:rFonts w:ascii="Arial" w:hAnsi="Arial" w:cs="Arial"/>
          <w:b/>
          <w:color w:val="2E74B5" w:themeColor="accent1" w:themeShade="BF"/>
          <w:sz w:val="24"/>
          <w:szCs w:val="24"/>
        </w:rPr>
        <w:t>881</w:t>
      </w:r>
      <w:r w:rsidR="005409D2" w:rsidRPr="006D7FAD">
        <w:rPr>
          <w:rFonts w:ascii="Arial" w:hAnsi="Arial" w:cs="Arial"/>
          <w:b/>
          <w:color w:val="2E74B5" w:themeColor="accent1" w:themeShade="BF"/>
          <w:sz w:val="24"/>
          <w:szCs w:val="24"/>
        </w:rPr>
        <w:t>/2019-2 SICOM</w:t>
      </w:r>
      <w:r w:rsidRPr="006D7FAD">
        <w:rPr>
          <w:rFonts w:ascii="Arial" w:hAnsi="Arial" w:cs="Arial"/>
          <w:b/>
          <w:color w:val="2E74B5" w:themeColor="accent1" w:themeShade="BF"/>
          <w:sz w:val="24"/>
          <w:szCs w:val="24"/>
        </w:rPr>
        <w:t>.</w:t>
      </w:r>
    </w:p>
    <w:p w:rsidR="00464CFF" w:rsidRPr="006D7FAD" w:rsidRDefault="00464CFF" w:rsidP="008934DD">
      <w:pPr>
        <w:spacing w:after="0" w:line="240" w:lineRule="auto"/>
        <w:ind w:left="2552"/>
        <w:jc w:val="right"/>
        <w:rPr>
          <w:rFonts w:ascii="Arial" w:hAnsi="Arial" w:cs="Arial"/>
          <w:b/>
          <w:color w:val="2E74B5" w:themeColor="accent1" w:themeShade="BF"/>
          <w:sz w:val="24"/>
          <w:szCs w:val="24"/>
        </w:rPr>
      </w:pPr>
    </w:p>
    <w:p w:rsidR="00464CFF" w:rsidRPr="006D7FAD" w:rsidRDefault="00464CFF" w:rsidP="008934DD">
      <w:pPr>
        <w:spacing w:after="0" w:line="240" w:lineRule="auto"/>
        <w:jc w:val="right"/>
        <w:rPr>
          <w:rFonts w:ascii="Arial" w:eastAsia="Times New Roman" w:hAnsi="Arial" w:cs="Arial"/>
          <w:b/>
          <w:caps/>
          <w:color w:val="2E74B5" w:themeColor="accent1" w:themeShade="BF"/>
          <w:sz w:val="24"/>
          <w:szCs w:val="24"/>
          <w:lang w:eastAsia="es-MX"/>
        </w:rPr>
      </w:pPr>
      <w:r w:rsidRPr="006D7FAD">
        <w:rPr>
          <w:rFonts w:ascii="Arial" w:eastAsia="Times New Roman" w:hAnsi="Arial" w:cs="Arial"/>
          <w:b/>
          <w:caps/>
          <w:color w:val="2E74B5" w:themeColor="accent1" w:themeShade="BF"/>
          <w:sz w:val="24"/>
          <w:szCs w:val="24"/>
          <w:lang w:eastAsia="es-MX"/>
        </w:rPr>
        <w:t xml:space="preserve">COMISIONADO PONENTE: </w:t>
      </w:r>
    </w:p>
    <w:p w:rsidR="00464CFF" w:rsidRPr="006D7FAD" w:rsidRDefault="00464CFF" w:rsidP="008934DD">
      <w:pPr>
        <w:spacing w:after="0" w:line="240" w:lineRule="auto"/>
        <w:jc w:val="right"/>
        <w:rPr>
          <w:rFonts w:ascii="Arial" w:eastAsia="Times New Roman" w:hAnsi="Arial" w:cs="Arial"/>
          <w:b/>
          <w:caps/>
          <w:color w:val="2E74B5" w:themeColor="accent1" w:themeShade="BF"/>
          <w:sz w:val="24"/>
          <w:szCs w:val="24"/>
          <w:lang w:eastAsia="es-MX"/>
        </w:rPr>
      </w:pPr>
      <w:r w:rsidRPr="006D7FAD">
        <w:rPr>
          <w:rFonts w:ascii="Arial" w:eastAsia="Times New Roman" w:hAnsi="Arial" w:cs="Arial"/>
          <w:b/>
          <w:caps/>
          <w:color w:val="2E74B5" w:themeColor="accent1" w:themeShade="BF"/>
          <w:sz w:val="24"/>
          <w:szCs w:val="24"/>
          <w:lang w:eastAsia="es-MX"/>
        </w:rPr>
        <w:t>pAULINA SÁNCHEZ PÉREZ DEL POZO</w:t>
      </w:r>
    </w:p>
    <w:p w:rsidR="00464CFF" w:rsidRPr="006D7FAD" w:rsidRDefault="00464CFF" w:rsidP="008934DD">
      <w:pPr>
        <w:spacing w:after="0" w:line="240" w:lineRule="auto"/>
        <w:jc w:val="right"/>
        <w:rPr>
          <w:rFonts w:ascii="Arial" w:eastAsia="Times New Roman" w:hAnsi="Arial" w:cs="Arial"/>
          <w:b/>
          <w:caps/>
          <w:color w:val="2E74B5" w:themeColor="accent1" w:themeShade="BF"/>
          <w:sz w:val="24"/>
          <w:szCs w:val="24"/>
          <w:lang w:eastAsia="es-MX"/>
        </w:rPr>
      </w:pPr>
    </w:p>
    <w:p w:rsidR="00464CFF" w:rsidRPr="006D7FAD" w:rsidRDefault="00464CFF" w:rsidP="008934DD">
      <w:pPr>
        <w:spacing w:after="0" w:line="240" w:lineRule="auto"/>
        <w:jc w:val="right"/>
        <w:rPr>
          <w:rFonts w:ascii="Arial" w:eastAsia="Times New Roman" w:hAnsi="Arial" w:cs="Arial"/>
          <w:b/>
          <w:caps/>
          <w:color w:val="2E74B5" w:themeColor="accent1" w:themeShade="BF"/>
          <w:sz w:val="24"/>
          <w:szCs w:val="24"/>
          <w:lang w:eastAsia="es-MX"/>
        </w:rPr>
      </w:pPr>
      <w:r w:rsidRPr="006D7FAD">
        <w:rPr>
          <w:rFonts w:ascii="Arial" w:eastAsia="Times New Roman" w:hAnsi="Arial" w:cs="Arial"/>
          <w:b/>
          <w:caps/>
          <w:color w:val="2E74B5" w:themeColor="accent1" w:themeShade="BF"/>
          <w:sz w:val="24"/>
          <w:szCs w:val="24"/>
          <w:lang w:eastAsia="es-MX"/>
        </w:rPr>
        <w:t>MATERIA:</w:t>
      </w:r>
    </w:p>
    <w:p w:rsidR="00464CFF" w:rsidRPr="006D7FAD" w:rsidRDefault="00464CFF" w:rsidP="008934DD">
      <w:pPr>
        <w:spacing w:after="0" w:line="240" w:lineRule="auto"/>
        <w:jc w:val="right"/>
        <w:rPr>
          <w:rFonts w:ascii="Arial" w:eastAsia="Times New Roman" w:hAnsi="Arial" w:cs="Arial"/>
          <w:b/>
          <w:caps/>
          <w:color w:val="2E74B5" w:themeColor="accent1" w:themeShade="BF"/>
          <w:sz w:val="24"/>
          <w:szCs w:val="24"/>
          <w:lang w:eastAsia="es-MX"/>
        </w:rPr>
      </w:pPr>
      <w:r w:rsidRPr="006D7FAD">
        <w:rPr>
          <w:rFonts w:ascii="Arial" w:eastAsia="Times New Roman" w:hAnsi="Arial" w:cs="Arial"/>
          <w:b/>
          <w:caps/>
          <w:color w:val="2E74B5" w:themeColor="accent1" w:themeShade="BF"/>
          <w:sz w:val="24"/>
          <w:szCs w:val="24"/>
          <w:lang w:eastAsia="es-MX"/>
        </w:rPr>
        <w:t>ACCESO A LA INFORMACIÓN PÚBLICA</w:t>
      </w:r>
    </w:p>
    <w:p w:rsidR="00464CFF" w:rsidRPr="006D7FAD" w:rsidRDefault="005409D2" w:rsidP="008934DD">
      <w:pPr>
        <w:tabs>
          <w:tab w:val="left" w:pos="6645"/>
          <w:tab w:val="left" w:pos="7110"/>
        </w:tabs>
        <w:spacing w:after="0" w:line="240" w:lineRule="auto"/>
        <w:rPr>
          <w:rFonts w:ascii="Arial" w:eastAsia="Times New Roman" w:hAnsi="Arial" w:cs="Arial"/>
          <w:b/>
          <w:caps/>
          <w:color w:val="2E74B5" w:themeColor="accent1" w:themeShade="BF"/>
          <w:sz w:val="24"/>
          <w:szCs w:val="24"/>
          <w:lang w:eastAsia="es-MX"/>
        </w:rPr>
      </w:pPr>
      <w:r w:rsidRPr="006D7FAD">
        <w:rPr>
          <w:rFonts w:ascii="Arial" w:eastAsia="Times New Roman" w:hAnsi="Arial" w:cs="Arial"/>
          <w:b/>
          <w:caps/>
          <w:color w:val="2E74B5" w:themeColor="accent1" w:themeShade="BF"/>
          <w:sz w:val="24"/>
          <w:szCs w:val="24"/>
          <w:lang w:eastAsia="es-MX"/>
        </w:rPr>
        <w:tab/>
      </w:r>
      <w:r w:rsidR="00C0114C" w:rsidRPr="006D7FAD">
        <w:rPr>
          <w:rFonts w:ascii="Arial" w:eastAsia="Times New Roman" w:hAnsi="Arial" w:cs="Arial"/>
          <w:b/>
          <w:caps/>
          <w:color w:val="2E74B5" w:themeColor="accent1" w:themeShade="BF"/>
          <w:sz w:val="24"/>
          <w:szCs w:val="24"/>
          <w:lang w:eastAsia="es-MX"/>
        </w:rPr>
        <w:tab/>
      </w:r>
    </w:p>
    <w:p w:rsidR="00464CFF" w:rsidRPr="006D7FAD" w:rsidRDefault="00464CFF" w:rsidP="008934DD">
      <w:pPr>
        <w:spacing w:after="0" w:line="240" w:lineRule="auto"/>
        <w:jc w:val="right"/>
        <w:rPr>
          <w:rFonts w:ascii="Arial" w:eastAsia="Times New Roman" w:hAnsi="Arial" w:cs="Arial"/>
          <w:b/>
          <w:caps/>
          <w:color w:val="2E74B5" w:themeColor="accent1" w:themeShade="BF"/>
          <w:sz w:val="24"/>
          <w:szCs w:val="24"/>
          <w:lang w:eastAsia="es-MX"/>
        </w:rPr>
      </w:pPr>
      <w:r w:rsidRPr="006D7FAD">
        <w:rPr>
          <w:rFonts w:ascii="Arial" w:eastAsia="Times New Roman" w:hAnsi="Arial" w:cs="Arial"/>
          <w:b/>
          <w:caps/>
          <w:color w:val="2E74B5" w:themeColor="accent1" w:themeShade="BF"/>
          <w:sz w:val="24"/>
          <w:szCs w:val="24"/>
          <w:lang w:eastAsia="es-MX"/>
        </w:rPr>
        <w:t>SUJETO OBLIGADO:</w:t>
      </w:r>
    </w:p>
    <w:p w:rsidR="00464CFF" w:rsidRPr="006D7FAD" w:rsidRDefault="00464CFF" w:rsidP="008934DD">
      <w:pPr>
        <w:spacing w:after="0" w:line="240" w:lineRule="auto"/>
        <w:jc w:val="right"/>
        <w:rPr>
          <w:rFonts w:ascii="Arial" w:hAnsi="Arial" w:cs="Arial"/>
          <w:b/>
          <w:color w:val="2E74B5" w:themeColor="accent1" w:themeShade="BF"/>
          <w:sz w:val="24"/>
          <w:szCs w:val="24"/>
        </w:rPr>
      </w:pPr>
      <w:r w:rsidRPr="006D7FAD">
        <w:rPr>
          <w:rFonts w:ascii="Arial" w:eastAsia="Times New Roman" w:hAnsi="Arial" w:cs="Arial"/>
          <w:b/>
          <w:color w:val="2E74B5" w:themeColor="accent1" w:themeShade="BF"/>
          <w:sz w:val="24"/>
          <w:szCs w:val="24"/>
          <w:lang w:eastAsia="es-MX"/>
        </w:rPr>
        <w:t>H. AYUNTAMIENTO</w:t>
      </w:r>
      <w:r w:rsidR="007A3D2F" w:rsidRPr="006D7FAD">
        <w:rPr>
          <w:rFonts w:ascii="Arial" w:eastAsia="Times New Roman" w:hAnsi="Arial" w:cs="Arial"/>
          <w:b/>
          <w:color w:val="2E74B5" w:themeColor="accent1" w:themeShade="BF"/>
          <w:sz w:val="24"/>
          <w:szCs w:val="24"/>
          <w:lang w:eastAsia="es-MX"/>
        </w:rPr>
        <w:t xml:space="preserve"> SOLEDAD DE GRACIANO SÁNCHEZ,</w:t>
      </w:r>
      <w:r w:rsidRPr="006D7FAD">
        <w:rPr>
          <w:rFonts w:ascii="Arial" w:eastAsia="Times New Roman" w:hAnsi="Arial" w:cs="Arial"/>
          <w:b/>
          <w:color w:val="2E74B5" w:themeColor="accent1" w:themeShade="BF"/>
          <w:sz w:val="24"/>
          <w:szCs w:val="24"/>
          <w:lang w:eastAsia="es-MX"/>
        </w:rPr>
        <w:t xml:space="preserve"> </w:t>
      </w:r>
      <w:r w:rsidRPr="006D7FAD">
        <w:rPr>
          <w:rFonts w:ascii="Arial" w:hAnsi="Arial" w:cs="Arial"/>
          <w:b/>
          <w:color w:val="2E74B5" w:themeColor="accent1" w:themeShade="BF"/>
          <w:sz w:val="24"/>
          <w:szCs w:val="24"/>
        </w:rPr>
        <w:t>SAN LUIS POTOSÍ.</w:t>
      </w:r>
    </w:p>
    <w:p w:rsidR="00464CFF" w:rsidRPr="006D7FAD" w:rsidRDefault="00464CFF" w:rsidP="008934DD">
      <w:pPr>
        <w:pStyle w:val="corte2ponente"/>
        <w:jc w:val="right"/>
        <w:rPr>
          <w:rFonts w:cs="Arial"/>
          <w:color w:val="2E74B5" w:themeColor="accent1" w:themeShade="BF"/>
          <w:sz w:val="24"/>
          <w:szCs w:val="24"/>
        </w:rPr>
      </w:pPr>
    </w:p>
    <w:p w:rsidR="00464CFF" w:rsidRPr="006D7FAD" w:rsidRDefault="008A7416" w:rsidP="008934DD">
      <w:pPr>
        <w:pStyle w:val="corte2ponente"/>
        <w:tabs>
          <w:tab w:val="left" w:pos="6675"/>
        </w:tabs>
        <w:rPr>
          <w:rFonts w:cs="Arial"/>
          <w:color w:val="2E74B5" w:themeColor="accent1" w:themeShade="BF"/>
          <w:sz w:val="24"/>
          <w:szCs w:val="24"/>
        </w:rPr>
      </w:pPr>
      <w:r w:rsidRPr="006D7FAD">
        <w:rPr>
          <w:rFonts w:cs="Arial"/>
          <w:color w:val="2E74B5" w:themeColor="accent1" w:themeShade="BF"/>
          <w:sz w:val="24"/>
          <w:szCs w:val="24"/>
        </w:rPr>
        <w:tab/>
      </w:r>
    </w:p>
    <w:p w:rsidR="00464CFF" w:rsidRPr="006D7FAD" w:rsidRDefault="00464CFF" w:rsidP="008934DD">
      <w:pPr>
        <w:spacing w:after="0" w:line="240" w:lineRule="auto"/>
        <w:jc w:val="both"/>
        <w:rPr>
          <w:rFonts w:ascii="Arial" w:eastAsia="Times New Roman" w:hAnsi="Arial" w:cs="Arial"/>
          <w:b/>
          <w:color w:val="2E74B5" w:themeColor="accent1" w:themeShade="BF"/>
          <w:sz w:val="24"/>
          <w:szCs w:val="24"/>
          <w:vertAlign w:val="subscript"/>
          <w:lang w:eastAsia="es-MX"/>
        </w:rPr>
      </w:pPr>
      <w:r w:rsidRPr="006D7FAD">
        <w:rPr>
          <w:rFonts w:ascii="Arial" w:hAnsi="Arial" w:cs="Arial"/>
          <w:color w:val="2E74B5" w:themeColor="accent1" w:themeShade="BF"/>
          <w:sz w:val="24"/>
          <w:szCs w:val="24"/>
        </w:rPr>
        <w:tab/>
      </w:r>
      <w:r w:rsidRPr="006D7FAD">
        <w:rPr>
          <w:rFonts w:ascii="Arial" w:eastAsia="Times New Roman" w:hAnsi="Arial" w:cs="Arial"/>
          <w:color w:val="2E74B5" w:themeColor="accent1" w:themeShade="BF"/>
          <w:sz w:val="24"/>
          <w:szCs w:val="24"/>
          <w:lang w:eastAsia="es-MX"/>
        </w:rPr>
        <w:t>San Luis Potosí, San Luis Potosí. Acuerdo del Pleno de la Comisión Estatal de Garantía de Acceso a la Información</w:t>
      </w:r>
      <w:r w:rsidR="00CE192D" w:rsidRPr="006D7FAD">
        <w:rPr>
          <w:rFonts w:ascii="Arial" w:eastAsia="Times New Roman" w:hAnsi="Arial" w:cs="Arial"/>
          <w:color w:val="2E74B5" w:themeColor="accent1" w:themeShade="BF"/>
          <w:sz w:val="24"/>
          <w:szCs w:val="24"/>
          <w:lang w:eastAsia="es-MX"/>
        </w:rPr>
        <w:t xml:space="preserve"> Pública, correspondiente a la S</w:t>
      </w:r>
      <w:r w:rsidRPr="006D7FAD">
        <w:rPr>
          <w:rFonts w:ascii="Arial" w:eastAsia="Times New Roman" w:hAnsi="Arial" w:cs="Arial"/>
          <w:color w:val="2E74B5" w:themeColor="accent1" w:themeShade="BF"/>
          <w:sz w:val="24"/>
          <w:szCs w:val="24"/>
          <w:lang w:eastAsia="es-MX"/>
        </w:rPr>
        <w:t>esión</w:t>
      </w:r>
      <w:r w:rsidR="00CE192D" w:rsidRPr="006D7FAD">
        <w:rPr>
          <w:rFonts w:ascii="Arial" w:eastAsia="Times New Roman" w:hAnsi="Arial" w:cs="Arial"/>
          <w:color w:val="2E74B5" w:themeColor="accent1" w:themeShade="BF"/>
          <w:sz w:val="24"/>
          <w:szCs w:val="24"/>
          <w:lang w:eastAsia="es-MX"/>
        </w:rPr>
        <w:t xml:space="preserve"> Extraordinaria de</w:t>
      </w:r>
      <w:r w:rsidR="007A3D2F" w:rsidRPr="006D7FAD">
        <w:rPr>
          <w:rFonts w:ascii="Arial" w:eastAsia="Times New Roman" w:hAnsi="Arial" w:cs="Arial"/>
          <w:color w:val="2E74B5" w:themeColor="accent1" w:themeShade="BF"/>
          <w:sz w:val="24"/>
          <w:szCs w:val="24"/>
          <w:lang w:eastAsia="es-MX"/>
        </w:rPr>
        <w:t xml:space="preserve"> </w:t>
      </w:r>
      <w:r w:rsidR="00AB296A" w:rsidRPr="006D7FAD">
        <w:rPr>
          <w:rFonts w:ascii="Arial" w:eastAsia="Times New Roman" w:hAnsi="Arial" w:cs="Arial"/>
          <w:color w:val="2E74B5" w:themeColor="accent1" w:themeShade="BF"/>
          <w:sz w:val="24"/>
          <w:szCs w:val="24"/>
          <w:lang w:eastAsia="es-MX"/>
        </w:rPr>
        <w:t xml:space="preserve">08 ocho de Julio </w:t>
      </w:r>
      <w:r w:rsidR="007A3D2F" w:rsidRPr="006D7FAD">
        <w:rPr>
          <w:rFonts w:ascii="Arial" w:eastAsia="Times New Roman" w:hAnsi="Arial" w:cs="Arial"/>
          <w:color w:val="2E74B5" w:themeColor="accent1" w:themeShade="BF"/>
          <w:sz w:val="24"/>
          <w:szCs w:val="24"/>
          <w:lang w:eastAsia="es-MX"/>
        </w:rPr>
        <w:t>de 2020 dos mil veinte.</w:t>
      </w:r>
      <w:r w:rsidR="007A3D2F" w:rsidRPr="006D7FAD">
        <w:rPr>
          <w:rFonts w:ascii="Arial" w:eastAsia="Times New Roman" w:hAnsi="Arial" w:cs="Arial"/>
          <w:b/>
          <w:color w:val="2E74B5" w:themeColor="accent1" w:themeShade="BF"/>
          <w:sz w:val="24"/>
          <w:szCs w:val="24"/>
          <w:vertAlign w:val="subscript"/>
          <w:lang w:eastAsia="es-MX"/>
        </w:rPr>
        <w:t xml:space="preserve"> </w:t>
      </w:r>
    </w:p>
    <w:p w:rsidR="00464CFF" w:rsidRPr="006D7FAD" w:rsidRDefault="00464CFF" w:rsidP="008934DD">
      <w:pPr>
        <w:spacing w:after="0" w:line="240" w:lineRule="auto"/>
        <w:jc w:val="both"/>
        <w:rPr>
          <w:rFonts w:ascii="Arial" w:eastAsia="Times New Roman" w:hAnsi="Arial" w:cs="Arial"/>
          <w:b/>
          <w:color w:val="2E74B5" w:themeColor="accent1" w:themeShade="BF"/>
          <w:sz w:val="24"/>
          <w:szCs w:val="24"/>
          <w:lang w:eastAsia="es-MX"/>
        </w:rPr>
      </w:pPr>
    </w:p>
    <w:p w:rsidR="00464CFF" w:rsidRPr="006D7FAD" w:rsidRDefault="00464CFF" w:rsidP="008934DD">
      <w:pPr>
        <w:pStyle w:val="corte4fondo"/>
        <w:spacing w:line="240" w:lineRule="auto"/>
        <w:ind w:firstLine="0"/>
        <w:rPr>
          <w:rFonts w:cs="Arial"/>
          <w:b/>
          <w:color w:val="2E74B5" w:themeColor="accent1" w:themeShade="BF"/>
          <w:sz w:val="24"/>
          <w:szCs w:val="24"/>
        </w:rPr>
      </w:pPr>
    </w:p>
    <w:p w:rsidR="00464CFF" w:rsidRPr="006D7FAD" w:rsidRDefault="00464CFF" w:rsidP="008934DD">
      <w:pPr>
        <w:pStyle w:val="corte4fondo"/>
        <w:spacing w:line="240" w:lineRule="auto"/>
        <w:rPr>
          <w:rFonts w:cs="Arial"/>
          <w:color w:val="2E74B5" w:themeColor="accent1" w:themeShade="BF"/>
          <w:sz w:val="24"/>
          <w:szCs w:val="24"/>
        </w:rPr>
      </w:pPr>
      <w:r w:rsidRPr="006D7FAD">
        <w:rPr>
          <w:rFonts w:cs="Arial"/>
          <w:b/>
          <w:color w:val="2E74B5" w:themeColor="accent1" w:themeShade="BF"/>
          <w:sz w:val="24"/>
          <w:szCs w:val="24"/>
        </w:rPr>
        <w:t>VISTOS</w:t>
      </w:r>
      <w:r w:rsidRPr="006D7FAD">
        <w:rPr>
          <w:rFonts w:cs="Arial"/>
          <w:color w:val="2E74B5" w:themeColor="accent1" w:themeShade="BF"/>
          <w:sz w:val="24"/>
          <w:szCs w:val="24"/>
        </w:rPr>
        <w:t>, para resolver, los autos del recurso de revisión identificado al rubro; y</w:t>
      </w:r>
    </w:p>
    <w:p w:rsidR="00464CFF" w:rsidRPr="006D7FAD" w:rsidRDefault="00464CFF" w:rsidP="008934DD">
      <w:pPr>
        <w:pStyle w:val="corte4fondo"/>
        <w:spacing w:line="240" w:lineRule="auto"/>
        <w:rPr>
          <w:rFonts w:cs="Arial"/>
          <w:color w:val="2E74B5" w:themeColor="accent1" w:themeShade="BF"/>
          <w:sz w:val="24"/>
          <w:szCs w:val="24"/>
        </w:rPr>
      </w:pPr>
    </w:p>
    <w:p w:rsidR="00464CFF" w:rsidRPr="006D7FAD" w:rsidRDefault="00464CFF" w:rsidP="008934DD">
      <w:pPr>
        <w:pStyle w:val="corte4fondo"/>
        <w:spacing w:line="240" w:lineRule="auto"/>
        <w:jc w:val="center"/>
        <w:rPr>
          <w:rFonts w:cs="Arial"/>
          <w:color w:val="2E74B5" w:themeColor="accent1" w:themeShade="BF"/>
          <w:sz w:val="24"/>
          <w:szCs w:val="24"/>
        </w:rPr>
      </w:pPr>
      <w:r w:rsidRPr="006D7FAD">
        <w:rPr>
          <w:rFonts w:cs="Arial"/>
          <w:b/>
          <w:color w:val="2E74B5" w:themeColor="accent1" w:themeShade="BF"/>
          <w:sz w:val="24"/>
          <w:szCs w:val="24"/>
        </w:rPr>
        <w:t>RESULTANDO</w:t>
      </w:r>
      <w:r w:rsidRPr="006D7FAD">
        <w:rPr>
          <w:rFonts w:cs="Arial"/>
          <w:color w:val="2E74B5" w:themeColor="accent1" w:themeShade="BF"/>
          <w:sz w:val="24"/>
          <w:szCs w:val="24"/>
        </w:rPr>
        <w:t>:</w:t>
      </w:r>
    </w:p>
    <w:p w:rsidR="00464CFF" w:rsidRPr="006D7FAD" w:rsidRDefault="00464CFF" w:rsidP="008934DD">
      <w:pPr>
        <w:pStyle w:val="corte4fondo"/>
        <w:spacing w:line="240" w:lineRule="auto"/>
        <w:jc w:val="center"/>
        <w:rPr>
          <w:rFonts w:cs="Arial"/>
          <w:color w:val="2E74B5" w:themeColor="accent1" w:themeShade="BF"/>
          <w:sz w:val="24"/>
          <w:szCs w:val="24"/>
        </w:rPr>
      </w:pPr>
    </w:p>
    <w:p w:rsidR="00464CFF" w:rsidRPr="006D7FAD" w:rsidRDefault="00464CFF" w:rsidP="008934DD">
      <w:pPr>
        <w:pStyle w:val="corte4fondo"/>
        <w:spacing w:line="240" w:lineRule="auto"/>
        <w:rPr>
          <w:rFonts w:cs="Arial"/>
          <w:color w:val="2E74B5" w:themeColor="accent1" w:themeShade="BF"/>
          <w:sz w:val="24"/>
          <w:szCs w:val="24"/>
        </w:rPr>
      </w:pPr>
      <w:r w:rsidRPr="006D7FAD">
        <w:rPr>
          <w:rFonts w:cs="Arial"/>
          <w:b/>
          <w:color w:val="2E74B5" w:themeColor="accent1" w:themeShade="BF"/>
          <w:sz w:val="24"/>
          <w:szCs w:val="24"/>
        </w:rPr>
        <w:t xml:space="preserve">PRIMERO. Solicitud de acceso a la información pública. </w:t>
      </w:r>
      <w:r w:rsidRPr="006D7FAD">
        <w:rPr>
          <w:rFonts w:cs="Arial"/>
          <w:color w:val="2E74B5" w:themeColor="accent1" w:themeShade="BF"/>
          <w:sz w:val="24"/>
          <w:szCs w:val="24"/>
        </w:rPr>
        <w:t xml:space="preserve">Según consta en la Plataforma Nacional de Transparencia en el folio </w:t>
      </w:r>
      <w:r w:rsidRPr="006D7FAD">
        <w:rPr>
          <w:rFonts w:cs="Arial"/>
          <w:b/>
          <w:color w:val="2E74B5" w:themeColor="accent1" w:themeShade="BF"/>
          <w:sz w:val="24"/>
          <w:szCs w:val="24"/>
        </w:rPr>
        <w:t>0</w:t>
      </w:r>
      <w:r w:rsidR="000A6E97" w:rsidRPr="006D7FAD">
        <w:rPr>
          <w:rFonts w:cs="Arial"/>
          <w:b/>
          <w:color w:val="2E74B5" w:themeColor="accent1" w:themeShade="BF"/>
          <w:sz w:val="24"/>
          <w:szCs w:val="24"/>
        </w:rPr>
        <w:t>158</w:t>
      </w:r>
      <w:r w:rsidR="005452E1" w:rsidRPr="006D7FAD">
        <w:rPr>
          <w:rFonts w:cs="Arial"/>
          <w:b/>
          <w:color w:val="2E74B5" w:themeColor="accent1" w:themeShade="BF"/>
          <w:sz w:val="24"/>
          <w:szCs w:val="24"/>
        </w:rPr>
        <w:t>2219</w:t>
      </w:r>
      <w:r w:rsidR="00CF5457" w:rsidRPr="006D7FAD">
        <w:rPr>
          <w:rFonts w:cs="Arial"/>
          <w:b/>
          <w:color w:val="2E74B5" w:themeColor="accent1" w:themeShade="BF"/>
          <w:sz w:val="24"/>
          <w:szCs w:val="24"/>
        </w:rPr>
        <w:t>,</w:t>
      </w:r>
      <w:r w:rsidRPr="006D7FAD">
        <w:rPr>
          <w:rFonts w:cs="Arial"/>
          <w:b/>
          <w:color w:val="2E74B5" w:themeColor="accent1" w:themeShade="BF"/>
          <w:sz w:val="24"/>
          <w:szCs w:val="24"/>
        </w:rPr>
        <w:t xml:space="preserve"> </w:t>
      </w:r>
      <w:r w:rsidRPr="006D7FAD">
        <w:rPr>
          <w:rFonts w:cs="Arial"/>
          <w:color w:val="2E74B5" w:themeColor="accent1" w:themeShade="BF"/>
          <w:sz w:val="24"/>
          <w:szCs w:val="24"/>
        </w:rPr>
        <w:t xml:space="preserve">el </w:t>
      </w:r>
      <w:r w:rsidR="00012C6D" w:rsidRPr="006D7FAD">
        <w:rPr>
          <w:rFonts w:cs="Arial"/>
          <w:color w:val="2E74B5" w:themeColor="accent1" w:themeShade="BF"/>
          <w:sz w:val="24"/>
          <w:szCs w:val="24"/>
        </w:rPr>
        <w:t xml:space="preserve">28 veintiocho </w:t>
      </w:r>
      <w:r w:rsidR="003F605B" w:rsidRPr="006D7FAD">
        <w:rPr>
          <w:rFonts w:cs="Arial"/>
          <w:color w:val="2E74B5" w:themeColor="accent1" w:themeShade="BF"/>
          <w:sz w:val="24"/>
          <w:szCs w:val="24"/>
        </w:rPr>
        <w:t xml:space="preserve">de octubre </w:t>
      </w:r>
      <w:r w:rsidR="007A3D2F" w:rsidRPr="006D7FAD">
        <w:rPr>
          <w:rFonts w:cs="Arial"/>
          <w:color w:val="2E74B5" w:themeColor="accent1" w:themeShade="BF"/>
          <w:sz w:val="24"/>
          <w:szCs w:val="24"/>
        </w:rPr>
        <w:t xml:space="preserve">de 2019 </w:t>
      </w:r>
      <w:r w:rsidR="000C0B35" w:rsidRPr="006D7FAD">
        <w:rPr>
          <w:rFonts w:cs="Arial"/>
          <w:color w:val="2E74B5" w:themeColor="accent1" w:themeShade="BF"/>
          <w:sz w:val="24"/>
          <w:szCs w:val="24"/>
        </w:rPr>
        <w:t xml:space="preserve">dos mil diecinueve </w:t>
      </w:r>
      <w:r w:rsidR="000C0B35" w:rsidRPr="006D7FAD">
        <w:rPr>
          <w:rFonts w:cs="Arial"/>
          <w:b/>
          <w:color w:val="2E74B5" w:themeColor="accent1" w:themeShade="BF"/>
          <w:sz w:val="24"/>
          <w:szCs w:val="24"/>
        </w:rPr>
        <w:t xml:space="preserve">el Municipio de </w:t>
      </w:r>
      <w:r w:rsidR="005409D2" w:rsidRPr="006D7FAD">
        <w:rPr>
          <w:rFonts w:cs="Arial"/>
          <w:b/>
          <w:color w:val="2E74B5" w:themeColor="accent1" w:themeShade="BF"/>
          <w:sz w:val="24"/>
          <w:szCs w:val="24"/>
        </w:rPr>
        <w:t xml:space="preserve">Soledad de Graciano Sánchez </w:t>
      </w:r>
      <w:r w:rsidRPr="006D7FAD">
        <w:rPr>
          <w:rFonts w:cs="Arial"/>
          <w:color w:val="2E74B5" w:themeColor="accent1" w:themeShade="BF"/>
          <w:sz w:val="24"/>
          <w:szCs w:val="24"/>
        </w:rPr>
        <w:t>recibió una solicitud de acceso a la información pública en donde se le pidió la información siguiente</w:t>
      </w:r>
      <w:r w:rsidRPr="006D7FAD">
        <w:rPr>
          <w:rStyle w:val="Refdenotaalpie"/>
          <w:rFonts w:cs="Arial"/>
          <w:color w:val="2E74B5" w:themeColor="accent1" w:themeShade="BF"/>
          <w:sz w:val="24"/>
          <w:szCs w:val="24"/>
        </w:rPr>
        <w:footnoteReference w:id="1"/>
      </w:r>
      <w:r w:rsidRPr="006D7FAD">
        <w:rPr>
          <w:rFonts w:cs="Arial"/>
          <w:color w:val="2E74B5" w:themeColor="accent1" w:themeShade="BF"/>
          <w:sz w:val="24"/>
          <w:szCs w:val="24"/>
        </w:rPr>
        <w:t>:</w:t>
      </w:r>
    </w:p>
    <w:p w:rsidR="00464CFF" w:rsidRPr="006D7FAD" w:rsidRDefault="00464CFF" w:rsidP="008934DD">
      <w:pPr>
        <w:pStyle w:val="corte4fondo"/>
        <w:spacing w:line="240" w:lineRule="auto"/>
        <w:rPr>
          <w:rFonts w:cs="Arial"/>
          <w:color w:val="2E74B5" w:themeColor="accent1" w:themeShade="BF"/>
          <w:sz w:val="24"/>
          <w:szCs w:val="24"/>
        </w:rPr>
      </w:pPr>
    </w:p>
    <w:p w:rsidR="00C0114C" w:rsidRPr="006D7FAD" w:rsidRDefault="005452E1" w:rsidP="008934DD">
      <w:pPr>
        <w:pStyle w:val="corte4fondo"/>
        <w:spacing w:line="240" w:lineRule="auto"/>
        <w:rPr>
          <w:rFonts w:cs="Arial"/>
          <w:color w:val="2E74B5" w:themeColor="accent1" w:themeShade="BF"/>
          <w:sz w:val="24"/>
          <w:szCs w:val="24"/>
        </w:rPr>
      </w:pPr>
      <w:r w:rsidRPr="006D7FAD">
        <w:rPr>
          <w:rFonts w:cs="Arial"/>
          <w:noProof/>
          <w:color w:val="2E74B5" w:themeColor="accent1" w:themeShade="BF"/>
          <w:sz w:val="24"/>
          <w:szCs w:val="24"/>
        </w:rPr>
        <w:drawing>
          <wp:inline distT="0" distB="0" distL="0" distR="0">
            <wp:extent cx="4933950" cy="2022111"/>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37318" cy="2023491"/>
                    </a:xfrm>
                    <a:prstGeom prst="rect">
                      <a:avLst/>
                    </a:prstGeom>
                    <a:noFill/>
                    <a:ln>
                      <a:noFill/>
                    </a:ln>
                  </pic:spPr>
                </pic:pic>
              </a:graphicData>
            </a:graphic>
          </wp:inline>
        </w:drawing>
      </w:r>
    </w:p>
    <w:p w:rsidR="000C0B35" w:rsidRPr="006D7FAD" w:rsidRDefault="000C0B35" w:rsidP="008934DD">
      <w:pPr>
        <w:pStyle w:val="corte4fondo"/>
        <w:spacing w:line="240" w:lineRule="auto"/>
        <w:ind w:firstLine="0"/>
        <w:rPr>
          <w:rFonts w:cs="Arial"/>
          <w:color w:val="2E74B5" w:themeColor="accent1" w:themeShade="BF"/>
          <w:sz w:val="24"/>
          <w:szCs w:val="24"/>
        </w:rPr>
      </w:pPr>
    </w:p>
    <w:p w:rsidR="005452E1" w:rsidRPr="006D7FAD" w:rsidRDefault="00464CFF" w:rsidP="008934DD">
      <w:pPr>
        <w:spacing w:after="0" w:line="240" w:lineRule="auto"/>
        <w:ind w:firstLine="709"/>
        <w:jc w:val="both"/>
        <w:rPr>
          <w:rFonts w:ascii="Arial" w:hAnsi="Arial" w:cs="Arial"/>
          <w:i/>
          <w:color w:val="2E74B5" w:themeColor="accent1" w:themeShade="BF"/>
          <w:sz w:val="20"/>
          <w:szCs w:val="20"/>
        </w:rPr>
      </w:pPr>
      <w:r w:rsidRPr="006D7FAD">
        <w:rPr>
          <w:rFonts w:ascii="Arial" w:hAnsi="Arial" w:cs="Arial"/>
          <w:i/>
          <w:color w:val="2E74B5" w:themeColor="accent1" w:themeShade="BF"/>
          <w:sz w:val="20"/>
          <w:szCs w:val="20"/>
        </w:rPr>
        <w:t>“…</w:t>
      </w:r>
      <w:r w:rsidR="005452E1" w:rsidRPr="006D7FAD">
        <w:rPr>
          <w:rFonts w:ascii="Arial" w:hAnsi="Arial" w:cs="Arial"/>
          <w:i/>
          <w:color w:val="2E74B5" w:themeColor="accent1" w:themeShade="BF"/>
          <w:sz w:val="20"/>
          <w:szCs w:val="20"/>
        </w:rPr>
        <w:t xml:space="preserve">SOLICITO DE MARZO DEL 2019, DE LA FRACCIÓN E INCISO,85 I H1  Tipos de uso de suelo. YA QUE LA INFORMACIÓN PUBLICADA EN LA PLATAFORMA DE CEGAIP ES INCORRECTA, DE FAVOR MANDAR LA INFORMACIÓN A TRAVÉS DE ESTA PLATAFORMA O AL CORREO EN ELECTRÓNICO. </w:t>
      </w:r>
    </w:p>
    <w:p w:rsidR="005452E1" w:rsidRPr="006D7FAD" w:rsidRDefault="005452E1" w:rsidP="008934DD">
      <w:pPr>
        <w:spacing w:after="0" w:line="240" w:lineRule="auto"/>
        <w:ind w:firstLine="709"/>
        <w:jc w:val="both"/>
        <w:rPr>
          <w:rFonts w:ascii="Arial" w:hAnsi="Arial" w:cs="Arial"/>
          <w:i/>
          <w:color w:val="2E74B5" w:themeColor="accent1" w:themeShade="BF"/>
          <w:sz w:val="20"/>
          <w:szCs w:val="20"/>
          <w:lang w:val="en-US"/>
        </w:rPr>
      </w:pPr>
      <w:r w:rsidRPr="006D7FAD">
        <w:rPr>
          <w:rFonts w:ascii="Arial" w:hAnsi="Arial" w:cs="Arial"/>
          <w:i/>
          <w:color w:val="2E74B5" w:themeColor="accent1" w:themeShade="BF"/>
          <w:sz w:val="20"/>
          <w:szCs w:val="20"/>
          <w:lang w:val="en-US"/>
        </w:rPr>
        <w:t xml:space="preserve">ANEXO LINK </w:t>
      </w:r>
    </w:p>
    <w:p w:rsidR="005452E1" w:rsidRPr="006D7FAD" w:rsidRDefault="005452E1" w:rsidP="008934DD">
      <w:pPr>
        <w:spacing w:after="0" w:line="240" w:lineRule="auto"/>
        <w:ind w:firstLine="709"/>
        <w:jc w:val="both"/>
        <w:rPr>
          <w:rFonts w:ascii="Arial" w:hAnsi="Arial" w:cs="Arial"/>
          <w:i/>
          <w:color w:val="2E74B5" w:themeColor="accent1" w:themeShade="BF"/>
          <w:sz w:val="20"/>
          <w:szCs w:val="20"/>
          <w:lang w:val="en-US"/>
        </w:rPr>
      </w:pPr>
    </w:p>
    <w:p w:rsidR="00464CFF" w:rsidRPr="006D7FAD" w:rsidRDefault="005452E1" w:rsidP="008934DD">
      <w:pPr>
        <w:spacing w:after="0" w:line="240" w:lineRule="auto"/>
        <w:ind w:firstLine="709"/>
        <w:jc w:val="both"/>
        <w:rPr>
          <w:rFonts w:ascii="Arial" w:hAnsi="Arial" w:cs="Arial"/>
          <w:i/>
          <w:color w:val="2E74B5" w:themeColor="accent1" w:themeShade="BF"/>
          <w:sz w:val="20"/>
          <w:szCs w:val="20"/>
          <w:lang w:val="en-US"/>
        </w:rPr>
      </w:pPr>
      <w:r w:rsidRPr="006D7FAD">
        <w:rPr>
          <w:rFonts w:ascii="Arial" w:hAnsi="Arial" w:cs="Arial"/>
          <w:i/>
          <w:color w:val="2E74B5" w:themeColor="accent1" w:themeShade="BF"/>
          <w:sz w:val="20"/>
          <w:szCs w:val="20"/>
          <w:lang w:val="en-US"/>
        </w:rPr>
        <w:t>http//cegaipslp.org.mx/webcegaip2019.nsf/0/37db1e7170ac793a86258400005f2c35?EditDocumentStart1Count9999Expand1Seq16</w:t>
      </w:r>
      <w:r w:rsidR="0016033C" w:rsidRPr="006D7FAD">
        <w:rPr>
          <w:rFonts w:ascii="Arial" w:hAnsi="Arial" w:cs="Arial"/>
          <w:i/>
          <w:color w:val="2E74B5" w:themeColor="accent1" w:themeShade="BF"/>
          <w:sz w:val="20"/>
          <w:szCs w:val="20"/>
          <w:lang w:val="en-US"/>
        </w:rPr>
        <w:t>…</w:t>
      </w:r>
      <w:r w:rsidR="00464CFF" w:rsidRPr="006D7FAD">
        <w:rPr>
          <w:rFonts w:ascii="Arial" w:hAnsi="Arial" w:cs="Arial"/>
          <w:i/>
          <w:color w:val="2E74B5" w:themeColor="accent1" w:themeShade="BF"/>
          <w:sz w:val="20"/>
          <w:szCs w:val="20"/>
          <w:lang w:val="en-US"/>
        </w:rPr>
        <w:t>”</w:t>
      </w:r>
    </w:p>
    <w:p w:rsidR="0016033C" w:rsidRPr="006D7FAD" w:rsidRDefault="0016033C" w:rsidP="008934DD">
      <w:pPr>
        <w:spacing w:after="0" w:line="240" w:lineRule="auto"/>
        <w:ind w:firstLine="709"/>
        <w:jc w:val="both"/>
        <w:rPr>
          <w:rFonts w:ascii="Arial" w:hAnsi="Arial" w:cs="Arial"/>
          <w:i/>
          <w:color w:val="2E74B5" w:themeColor="accent1" w:themeShade="BF"/>
          <w:sz w:val="20"/>
          <w:szCs w:val="20"/>
          <w:lang w:val="en-US"/>
        </w:rPr>
      </w:pPr>
    </w:p>
    <w:p w:rsidR="00464CFF" w:rsidRPr="006D7FAD" w:rsidRDefault="00464CFF" w:rsidP="008934DD">
      <w:pPr>
        <w:spacing w:after="0" w:line="240" w:lineRule="auto"/>
        <w:ind w:firstLine="709"/>
        <w:jc w:val="both"/>
        <w:rPr>
          <w:rFonts w:ascii="Arial" w:eastAsia="Times New Roman" w:hAnsi="Arial" w:cs="Arial"/>
          <w:color w:val="2E74B5" w:themeColor="accent1" w:themeShade="BF"/>
          <w:sz w:val="24"/>
          <w:szCs w:val="24"/>
          <w:lang w:eastAsia="es-MX"/>
        </w:rPr>
      </w:pPr>
      <w:r w:rsidRPr="006D7FAD">
        <w:rPr>
          <w:rFonts w:ascii="Arial" w:hAnsi="Arial" w:cs="Arial"/>
          <w:b/>
          <w:color w:val="2E74B5" w:themeColor="accent1" w:themeShade="BF"/>
          <w:sz w:val="24"/>
          <w:szCs w:val="24"/>
        </w:rPr>
        <w:t>SEGUNDO.</w:t>
      </w:r>
      <w:r w:rsidRPr="006D7FAD">
        <w:rPr>
          <w:rFonts w:ascii="Arial" w:eastAsia="Times New Roman" w:hAnsi="Arial" w:cs="Arial"/>
          <w:b/>
          <w:color w:val="2E74B5" w:themeColor="accent1" w:themeShade="BF"/>
          <w:sz w:val="24"/>
          <w:szCs w:val="24"/>
          <w:lang w:eastAsia="es-MX"/>
        </w:rPr>
        <w:t xml:space="preserve"> Respuesta a la solicitud de acceso a la información pública. </w:t>
      </w:r>
      <w:r w:rsidRPr="006D7FAD">
        <w:rPr>
          <w:rFonts w:ascii="Arial" w:eastAsia="Times New Roman" w:hAnsi="Arial" w:cs="Arial"/>
          <w:color w:val="2E74B5" w:themeColor="accent1" w:themeShade="BF"/>
          <w:sz w:val="24"/>
          <w:szCs w:val="24"/>
          <w:lang w:eastAsia="es-MX"/>
        </w:rPr>
        <w:t xml:space="preserve">El </w:t>
      </w:r>
      <w:r w:rsidR="00012C6D" w:rsidRPr="006D7FAD">
        <w:rPr>
          <w:rFonts w:ascii="Arial" w:eastAsia="Times New Roman" w:hAnsi="Arial" w:cs="Arial"/>
          <w:color w:val="2E74B5" w:themeColor="accent1" w:themeShade="BF"/>
          <w:sz w:val="24"/>
          <w:szCs w:val="24"/>
          <w:lang w:eastAsia="es-MX"/>
        </w:rPr>
        <w:t xml:space="preserve">12 doce </w:t>
      </w:r>
      <w:r w:rsidR="008A7416" w:rsidRPr="006D7FAD">
        <w:rPr>
          <w:rFonts w:ascii="Arial" w:eastAsia="Times New Roman" w:hAnsi="Arial" w:cs="Arial"/>
          <w:color w:val="2E74B5" w:themeColor="accent1" w:themeShade="BF"/>
          <w:sz w:val="24"/>
          <w:szCs w:val="24"/>
          <w:lang w:eastAsia="es-MX"/>
        </w:rPr>
        <w:t xml:space="preserve">de noviembre </w:t>
      </w:r>
      <w:r w:rsidR="000C0B35" w:rsidRPr="006D7FAD">
        <w:rPr>
          <w:rFonts w:ascii="Arial" w:eastAsia="Times New Roman" w:hAnsi="Arial" w:cs="Arial"/>
          <w:color w:val="2E74B5" w:themeColor="accent1" w:themeShade="BF"/>
          <w:sz w:val="24"/>
          <w:szCs w:val="24"/>
          <w:lang w:eastAsia="es-MX"/>
        </w:rPr>
        <w:t xml:space="preserve">de 2019 dos mil diecinueve </w:t>
      </w:r>
      <w:r w:rsidRPr="006D7FAD">
        <w:rPr>
          <w:rFonts w:ascii="Arial" w:eastAsia="Times New Roman" w:hAnsi="Arial" w:cs="Arial"/>
          <w:color w:val="2E74B5" w:themeColor="accent1" w:themeShade="BF"/>
          <w:sz w:val="24"/>
          <w:szCs w:val="24"/>
          <w:lang w:eastAsia="es-MX"/>
        </w:rPr>
        <w:t>el sujeto obligado</w:t>
      </w:r>
      <w:r w:rsidRPr="006D7FAD">
        <w:rPr>
          <w:rFonts w:ascii="Arial" w:eastAsia="Times New Roman" w:hAnsi="Arial" w:cs="Arial"/>
          <w:b/>
          <w:color w:val="2E74B5" w:themeColor="accent1" w:themeShade="BF"/>
          <w:sz w:val="24"/>
          <w:szCs w:val="24"/>
          <w:lang w:eastAsia="es-MX"/>
        </w:rPr>
        <w:t xml:space="preserve"> </w:t>
      </w:r>
      <w:r w:rsidRPr="006D7FAD">
        <w:rPr>
          <w:rFonts w:ascii="Arial" w:eastAsia="Times New Roman" w:hAnsi="Arial" w:cs="Arial"/>
          <w:color w:val="2E74B5" w:themeColor="accent1" w:themeShade="BF"/>
          <w:sz w:val="24"/>
          <w:szCs w:val="24"/>
          <w:lang w:eastAsia="es-MX"/>
        </w:rPr>
        <w:lastRenderedPageBreak/>
        <w:t>notificó al solicitante, por el mismo medio electrónico, la respuesta a la solicitud de acceso a la información pública, misma que es como sigue</w:t>
      </w:r>
      <w:r w:rsidRPr="006D7FAD">
        <w:rPr>
          <w:rFonts w:ascii="Arial" w:eastAsia="Times New Roman" w:hAnsi="Arial" w:cs="Arial"/>
          <w:color w:val="2E74B5" w:themeColor="accent1" w:themeShade="BF"/>
          <w:sz w:val="24"/>
          <w:szCs w:val="24"/>
          <w:vertAlign w:val="superscript"/>
          <w:lang w:eastAsia="es-MX"/>
        </w:rPr>
        <w:footnoteReference w:id="2"/>
      </w:r>
      <w:r w:rsidRPr="006D7FAD">
        <w:rPr>
          <w:rFonts w:ascii="Arial" w:eastAsia="Times New Roman" w:hAnsi="Arial" w:cs="Arial"/>
          <w:color w:val="2E74B5" w:themeColor="accent1" w:themeShade="BF"/>
          <w:sz w:val="24"/>
          <w:szCs w:val="24"/>
          <w:lang w:eastAsia="es-MX"/>
        </w:rPr>
        <w:t>:</w:t>
      </w:r>
    </w:p>
    <w:p w:rsidR="00CC6DA3" w:rsidRPr="006D7FAD" w:rsidRDefault="00CC6DA3" w:rsidP="008934DD">
      <w:pPr>
        <w:spacing w:after="0" w:line="240" w:lineRule="auto"/>
        <w:ind w:firstLine="709"/>
        <w:jc w:val="both"/>
        <w:rPr>
          <w:rFonts w:ascii="Arial" w:eastAsia="Times New Roman" w:hAnsi="Arial" w:cs="Arial"/>
          <w:color w:val="2E74B5" w:themeColor="accent1" w:themeShade="BF"/>
          <w:sz w:val="24"/>
          <w:szCs w:val="24"/>
          <w:lang w:eastAsia="es-MX"/>
        </w:rPr>
      </w:pPr>
    </w:p>
    <w:p w:rsidR="000C0B35" w:rsidRPr="006D7FAD" w:rsidRDefault="005452E1" w:rsidP="008934DD">
      <w:pPr>
        <w:pStyle w:val="corte4fondo"/>
        <w:spacing w:line="240" w:lineRule="auto"/>
        <w:ind w:firstLine="0"/>
        <w:rPr>
          <w:rFonts w:cs="Arial"/>
          <w:i/>
          <w:color w:val="2E74B5" w:themeColor="accent1" w:themeShade="BF"/>
          <w:sz w:val="24"/>
          <w:szCs w:val="24"/>
        </w:rPr>
      </w:pPr>
      <w:r w:rsidRPr="006D7FAD">
        <w:rPr>
          <w:rFonts w:cs="Arial"/>
          <w:i/>
          <w:noProof/>
          <w:color w:val="2E74B5" w:themeColor="accent1" w:themeShade="BF"/>
          <w:sz w:val="24"/>
          <w:szCs w:val="24"/>
        </w:rPr>
        <w:drawing>
          <wp:inline distT="0" distB="0" distL="0" distR="0">
            <wp:extent cx="5610225" cy="2305050"/>
            <wp:effectExtent l="0" t="0" r="9525"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10225" cy="2305050"/>
                    </a:xfrm>
                    <a:prstGeom prst="rect">
                      <a:avLst/>
                    </a:prstGeom>
                    <a:noFill/>
                    <a:ln>
                      <a:noFill/>
                    </a:ln>
                  </pic:spPr>
                </pic:pic>
              </a:graphicData>
            </a:graphic>
          </wp:inline>
        </w:drawing>
      </w:r>
    </w:p>
    <w:p w:rsidR="005452E1" w:rsidRPr="006D7FAD" w:rsidRDefault="00374CE0" w:rsidP="008934DD">
      <w:pPr>
        <w:pStyle w:val="corte4fondo"/>
        <w:spacing w:line="240" w:lineRule="auto"/>
        <w:rPr>
          <w:rFonts w:cs="Arial"/>
          <w:i/>
          <w:color w:val="2E74B5" w:themeColor="accent1" w:themeShade="BF"/>
          <w:sz w:val="20"/>
        </w:rPr>
      </w:pPr>
      <w:r w:rsidRPr="006D7FAD">
        <w:rPr>
          <w:rFonts w:cs="Arial"/>
          <w:i/>
          <w:color w:val="2E74B5" w:themeColor="accent1" w:themeShade="BF"/>
          <w:sz w:val="20"/>
        </w:rPr>
        <w:t>“…</w:t>
      </w:r>
      <w:r w:rsidR="005452E1" w:rsidRPr="006D7FAD">
        <w:rPr>
          <w:rFonts w:cs="Arial"/>
          <w:i/>
          <w:color w:val="2E74B5" w:themeColor="accent1" w:themeShade="BF"/>
          <w:sz w:val="20"/>
        </w:rPr>
        <w:t>C.  XXXXXXXXX</w:t>
      </w:r>
    </w:p>
    <w:p w:rsidR="005452E1" w:rsidRPr="006D7FAD" w:rsidRDefault="005452E1" w:rsidP="008934DD">
      <w:pPr>
        <w:pStyle w:val="corte4fondo"/>
        <w:spacing w:line="240" w:lineRule="auto"/>
        <w:rPr>
          <w:rFonts w:cs="Arial"/>
          <w:i/>
          <w:color w:val="2E74B5" w:themeColor="accent1" w:themeShade="BF"/>
          <w:sz w:val="20"/>
        </w:rPr>
      </w:pPr>
      <w:r w:rsidRPr="006D7FAD">
        <w:rPr>
          <w:rFonts w:cs="Arial"/>
          <w:i/>
          <w:color w:val="2E74B5" w:themeColor="accent1" w:themeShade="BF"/>
          <w:sz w:val="20"/>
        </w:rPr>
        <w:t>FOLIO  01582219</w:t>
      </w:r>
    </w:p>
    <w:p w:rsidR="005452E1" w:rsidRPr="006D7FAD" w:rsidRDefault="005452E1" w:rsidP="008934DD">
      <w:pPr>
        <w:pStyle w:val="corte4fondo"/>
        <w:spacing w:line="240" w:lineRule="auto"/>
        <w:rPr>
          <w:rFonts w:cs="Arial"/>
          <w:i/>
          <w:color w:val="2E74B5" w:themeColor="accent1" w:themeShade="BF"/>
          <w:sz w:val="20"/>
        </w:rPr>
      </w:pPr>
      <w:r w:rsidRPr="006D7FAD">
        <w:rPr>
          <w:rFonts w:cs="Arial"/>
          <w:i/>
          <w:color w:val="2E74B5" w:themeColor="accent1" w:themeShade="BF"/>
          <w:sz w:val="20"/>
        </w:rPr>
        <w:t>P R E S E N T E.-</w:t>
      </w:r>
    </w:p>
    <w:p w:rsidR="005452E1" w:rsidRPr="006D7FAD" w:rsidRDefault="005452E1" w:rsidP="008934DD">
      <w:pPr>
        <w:pStyle w:val="corte4fondo"/>
        <w:spacing w:line="240" w:lineRule="auto"/>
        <w:rPr>
          <w:rFonts w:cs="Arial"/>
          <w:i/>
          <w:color w:val="2E74B5" w:themeColor="accent1" w:themeShade="BF"/>
          <w:sz w:val="20"/>
        </w:rPr>
      </w:pPr>
    </w:p>
    <w:p w:rsidR="005452E1" w:rsidRPr="006D7FAD" w:rsidRDefault="005452E1" w:rsidP="008934DD">
      <w:pPr>
        <w:pStyle w:val="corte4fondo"/>
        <w:spacing w:line="240" w:lineRule="auto"/>
        <w:rPr>
          <w:rFonts w:cs="Arial"/>
          <w:i/>
          <w:color w:val="2E74B5" w:themeColor="accent1" w:themeShade="BF"/>
          <w:sz w:val="20"/>
        </w:rPr>
      </w:pPr>
      <w:r w:rsidRPr="006D7FAD">
        <w:rPr>
          <w:rFonts w:cs="Arial"/>
          <w:i/>
          <w:color w:val="2E74B5" w:themeColor="accent1" w:themeShade="BF"/>
          <w:sz w:val="20"/>
        </w:rPr>
        <w:t>DENTRO DE LOS AUTOS FORMADOS CON MOTIVO DE SU ESCRITO RECIBIDO EL DIA 28 DE OCTUBRE DE 2019, EN ESTA OFICINA DE LA UNIDAD DE TRANSPARENCIA, POR MEDIO DEL SISTEMA INFOMEX CON NO. DE FOLIO 01582219 A LA CUAL SE LE ASIGNO EL No. DE EXPEDIENTE UT/2572/10/2019, EN EL CUAL SOLICITA.</w:t>
      </w:r>
    </w:p>
    <w:p w:rsidR="005452E1" w:rsidRPr="006D7FAD" w:rsidRDefault="005452E1" w:rsidP="008934DD">
      <w:pPr>
        <w:pStyle w:val="corte4fondo"/>
        <w:spacing w:line="240" w:lineRule="auto"/>
        <w:rPr>
          <w:rFonts w:cs="Arial"/>
          <w:i/>
          <w:color w:val="2E74B5" w:themeColor="accent1" w:themeShade="BF"/>
          <w:sz w:val="20"/>
        </w:rPr>
      </w:pPr>
    </w:p>
    <w:p w:rsidR="005452E1" w:rsidRPr="006D7FAD" w:rsidRDefault="005452E1" w:rsidP="008934DD">
      <w:pPr>
        <w:pStyle w:val="corte4fondo"/>
        <w:spacing w:line="240" w:lineRule="auto"/>
        <w:rPr>
          <w:rFonts w:cs="Arial"/>
          <w:i/>
          <w:color w:val="2E74B5" w:themeColor="accent1" w:themeShade="BF"/>
          <w:sz w:val="20"/>
        </w:rPr>
      </w:pPr>
      <w:r w:rsidRPr="006D7FAD">
        <w:rPr>
          <w:rFonts w:cs="Arial"/>
          <w:i/>
          <w:color w:val="2E74B5" w:themeColor="accent1" w:themeShade="BF"/>
          <w:sz w:val="20"/>
        </w:rPr>
        <w:t>SOLICITO DE MARZO DEL 2019, DE LA FRACCIÓN E INCISO,85 I H1 Tipos de uso de suelo. YA QUE LA INFORMACIÓN PUBLICADA EN LA PLATAFORMA DE CEGAIP ES INCORRECTA, DE FAVOR MANDAR LA INFORMACIÓN A TRAVÉS DE ESTA PLATAFORMA O AL CORREO EN ELECTRÓNICO. ANEXO LINK</w:t>
      </w:r>
    </w:p>
    <w:p w:rsidR="005452E1" w:rsidRPr="006D7FAD" w:rsidRDefault="005452E1" w:rsidP="008934DD">
      <w:pPr>
        <w:pStyle w:val="corte4fondo"/>
        <w:spacing w:line="240" w:lineRule="auto"/>
        <w:rPr>
          <w:rFonts w:cs="Arial"/>
          <w:i/>
          <w:color w:val="2E74B5" w:themeColor="accent1" w:themeShade="BF"/>
          <w:sz w:val="20"/>
        </w:rPr>
      </w:pPr>
      <w:r w:rsidRPr="006D7FAD">
        <w:rPr>
          <w:rFonts w:cs="Arial"/>
          <w:i/>
          <w:color w:val="2E74B5" w:themeColor="accent1" w:themeShade="BF"/>
          <w:sz w:val="20"/>
        </w:rPr>
        <w:t>http//cegaipslp.org.mx/webcegaip2019.nsf/0/37db1e7170ac793a86258400005f2c35?EditDocumentStart1Count9999Expand1Seq16</w:t>
      </w:r>
    </w:p>
    <w:p w:rsidR="005452E1" w:rsidRPr="006D7FAD" w:rsidRDefault="005452E1" w:rsidP="008934DD">
      <w:pPr>
        <w:pStyle w:val="corte4fondo"/>
        <w:spacing w:line="240" w:lineRule="auto"/>
        <w:rPr>
          <w:rFonts w:cs="Arial"/>
          <w:i/>
          <w:color w:val="2E74B5" w:themeColor="accent1" w:themeShade="BF"/>
          <w:sz w:val="20"/>
        </w:rPr>
      </w:pPr>
    </w:p>
    <w:p w:rsidR="005452E1" w:rsidRPr="006D7FAD" w:rsidRDefault="005452E1" w:rsidP="008934DD">
      <w:pPr>
        <w:pStyle w:val="corte4fondo"/>
        <w:spacing w:line="240" w:lineRule="auto"/>
        <w:rPr>
          <w:rFonts w:cs="Arial"/>
          <w:i/>
          <w:color w:val="2E74B5" w:themeColor="accent1" w:themeShade="BF"/>
          <w:sz w:val="20"/>
        </w:rPr>
      </w:pPr>
      <w:r w:rsidRPr="006D7FAD">
        <w:rPr>
          <w:rFonts w:cs="Arial"/>
          <w:i/>
          <w:color w:val="2E74B5" w:themeColor="accent1" w:themeShade="BF"/>
          <w:sz w:val="20"/>
        </w:rPr>
        <w:t>POR LO ANTERIORMENTE EXPUESTO SE TIENE POR ENVIADO EL OFICIO DE NUMERO MSGS/UT/2723/10/2019  PARA DESARROLLO URBANO Y CATASTRO MUNICIPAL YA QUE CON FUNDAMENTO EN EL ARTICULO 153 DE LA LEY DE TRANSPARENCIA VIGENTE EN EL ESTADO DE SAN LUIS POTOSI, SON LAS AREAS LAS RESPONSABLES DE PROPORCIONAR LA INFORMACION QUE COMPETE DE ACUERDO A SUS FACULTADES COMPETENCIAS Y FUNCIONES.</w:t>
      </w:r>
    </w:p>
    <w:p w:rsidR="005452E1" w:rsidRPr="006D7FAD" w:rsidRDefault="005452E1" w:rsidP="008934DD">
      <w:pPr>
        <w:pStyle w:val="corte4fondo"/>
        <w:spacing w:line="240" w:lineRule="auto"/>
        <w:rPr>
          <w:rFonts w:cs="Arial"/>
          <w:i/>
          <w:color w:val="2E74B5" w:themeColor="accent1" w:themeShade="BF"/>
          <w:sz w:val="20"/>
        </w:rPr>
      </w:pPr>
    </w:p>
    <w:p w:rsidR="005452E1" w:rsidRPr="006D7FAD" w:rsidRDefault="005452E1" w:rsidP="008934DD">
      <w:pPr>
        <w:pStyle w:val="corte4fondo"/>
        <w:spacing w:line="240" w:lineRule="auto"/>
        <w:rPr>
          <w:rFonts w:cs="Arial"/>
          <w:i/>
          <w:color w:val="2E74B5" w:themeColor="accent1" w:themeShade="BF"/>
          <w:sz w:val="20"/>
        </w:rPr>
      </w:pPr>
      <w:r w:rsidRPr="006D7FAD">
        <w:rPr>
          <w:rFonts w:cs="Arial"/>
          <w:i/>
          <w:color w:val="2E74B5" w:themeColor="accent1" w:themeShade="BF"/>
          <w:sz w:val="20"/>
        </w:rPr>
        <w:t>DERIVADO DE LO ANTERIOR SE TIENE POR RECIBIDO EL OFICIO CON NO. MSGS/DUYCM/891/2019 POR PARTE DE DESARROLLO URBANO Y CATASTRO MUNICIPAL   EN EL CUAL SE INFORMA LO SIGUIENTE:</w:t>
      </w:r>
    </w:p>
    <w:p w:rsidR="005452E1" w:rsidRPr="006D7FAD" w:rsidRDefault="005452E1" w:rsidP="008934DD">
      <w:pPr>
        <w:pStyle w:val="corte4fondo"/>
        <w:spacing w:line="240" w:lineRule="auto"/>
        <w:rPr>
          <w:rFonts w:cs="Arial"/>
          <w:i/>
          <w:color w:val="2E74B5" w:themeColor="accent1" w:themeShade="BF"/>
          <w:sz w:val="20"/>
        </w:rPr>
      </w:pPr>
      <w:r w:rsidRPr="006D7FAD">
        <w:rPr>
          <w:rFonts w:cs="Arial"/>
          <w:i/>
          <w:color w:val="2E74B5" w:themeColor="accent1" w:themeShade="BF"/>
          <w:sz w:val="20"/>
        </w:rPr>
        <w:t xml:space="preserve">por medio del presente reciba un cordial saludo, así mismo me permito enviar lo concerniente a la solicitud del sistema INFOMEX con número de folio No.01582219 con número de expediente asignado UT/2572/10/2019, signada porXXXXXXXXXXX., presentada el día 28 de octubre del 2019 y en el cual solicita: </w:t>
      </w:r>
    </w:p>
    <w:p w:rsidR="005452E1" w:rsidRPr="006D7FAD" w:rsidRDefault="005452E1" w:rsidP="008934DD">
      <w:pPr>
        <w:pStyle w:val="corte4fondo"/>
        <w:spacing w:line="240" w:lineRule="auto"/>
        <w:rPr>
          <w:rFonts w:cs="Arial"/>
          <w:i/>
          <w:color w:val="2E74B5" w:themeColor="accent1" w:themeShade="BF"/>
          <w:sz w:val="20"/>
        </w:rPr>
      </w:pPr>
    </w:p>
    <w:p w:rsidR="005452E1" w:rsidRPr="006D7FAD" w:rsidRDefault="005452E1" w:rsidP="008934DD">
      <w:pPr>
        <w:pStyle w:val="corte4fondo"/>
        <w:spacing w:line="240" w:lineRule="auto"/>
        <w:rPr>
          <w:rFonts w:cs="Arial"/>
          <w:i/>
          <w:color w:val="2E74B5" w:themeColor="accent1" w:themeShade="BF"/>
          <w:sz w:val="20"/>
        </w:rPr>
      </w:pPr>
      <w:r w:rsidRPr="006D7FAD">
        <w:rPr>
          <w:rFonts w:cs="Arial"/>
          <w:i/>
          <w:color w:val="2E74B5" w:themeColor="accent1" w:themeShade="BF"/>
          <w:sz w:val="20"/>
        </w:rPr>
        <w:t xml:space="preserve">De marzo de 2019, de la fracción inciso 85-I H1 tipos de uso de suelo, ya que la información en la plataforma de CEGAIP es incorrecta, de forma digital y por este medio. </w:t>
      </w:r>
    </w:p>
    <w:p w:rsidR="005452E1" w:rsidRPr="006D7FAD" w:rsidRDefault="005452E1" w:rsidP="008934DD">
      <w:pPr>
        <w:pStyle w:val="corte4fondo"/>
        <w:spacing w:line="240" w:lineRule="auto"/>
        <w:rPr>
          <w:rFonts w:cs="Arial"/>
          <w:i/>
          <w:color w:val="2E74B5" w:themeColor="accent1" w:themeShade="BF"/>
          <w:sz w:val="20"/>
        </w:rPr>
      </w:pPr>
    </w:p>
    <w:p w:rsidR="005452E1" w:rsidRPr="006D7FAD" w:rsidRDefault="005452E1" w:rsidP="008934DD">
      <w:pPr>
        <w:pStyle w:val="corte4fondo"/>
        <w:spacing w:line="240" w:lineRule="auto"/>
        <w:rPr>
          <w:rFonts w:cs="Arial"/>
          <w:i/>
          <w:color w:val="2E74B5" w:themeColor="accent1" w:themeShade="BF"/>
          <w:sz w:val="20"/>
        </w:rPr>
      </w:pPr>
      <w:r w:rsidRPr="006D7FAD">
        <w:rPr>
          <w:rFonts w:cs="Arial"/>
          <w:i/>
          <w:color w:val="2E74B5" w:themeColor="accent1" w:themeShade="BF"/>
          <w:sz w:val="20"/>
        </w:rPr>
        <w:t xml:space="preserve">Hacemos de su conocimiento que una vez analizando la información que se nos pide, le comunicamos que esta dependencia se les hace llegar por vía digital la información requerida a través de medios oficiales que se encuentran en la Plataforma Estatal de Transparencia, en el sitio oficial http://www.cegaipslp.org.mx/ en la cual deberá ingresar en PETS Motor de Búsqueda 2015-2019, en el cual deberá seleccionar el año de registro que solicita, en su caso 2019, y a continuación seleccionar por sujeto obligado (soledad de Graciano Sánchez), e ir en presentar reporte, en el cual aparecerá los años de interés a consultar, seleccione el periodo a conocer, desplazarse hacia el listado de meses que conforman el año a consultar, mes de su interés </w:t>
      </w:r>
      <w:r w:rsidRPr="006D7FAD">
        <w:rPr>
          <w:rFonts w:cs="Arial"/>
          <w:i/>
          <w:color w:val="2E74B5" w:themeColor="accent1" w:themeShade="BF"/>
          <w:sz w:val="20"/>
        </w:rPr>
        <w:lastRenderedPageBreak/>
        <w:t>(MARZO 2019), desplazarse al listado de fracciones que conforman os artículos 84 y 85 de la Ley de la materia y seleccione las fracciones que desea consultar, al seleccionar la fracción se desplazara hacia abajo una liga, seleccionar esa liga, posteriormente aparecerá un hipervínculo, seleccionar el hipervínculo que aparece para consultar el documento, se descargara el documento para su consulta electrónica; el cual puede imprimir para su consulta física.</w:t>
      </w:r>
    </w:p>
    <w:p w:rsidR="005452E1" w:rsidRPr="006D7FAD" w:rsidRDefault="005452E1" w:rsidP="008934DD">
      <w:pPr>
        <w:pStyle w:val="corte4fondo"/>
        <w:spacing w:line="240" w:lineRule="auto"/>
        <w:rPr>
          <w:rFonts w:cs="Arial"/>
          <w:i/>
          <w:color w:val="2E74B5" w:themeColor="accent1" w:themeShade="BF"/>
          <w:sz w:val="20"/>
        </w:rPr>
      </w:pPr>
    </w:p>
    <w:p w:rsidR="005452E1" w:rsidRPr="006D7FAD" w:rsidRDefault="005452E1" w:rsidP="008934DD">
      <w:pPr>
        <w:pStyle w:val="corte4fondo"/>
        <w:spacing w:line="240" w:lineRule="auto"/>
        <w:rPr>
          <w:rFonts w:cs="Arial"/>
          <w:i/>
          <w:color w:val="2E74B5" w:themeColor="accent1" w:themeShade="BF"/>
          <w:sz w:val="20"/>
        </w:rPr>
      </w:pPr>
      <w:r w:rsidRPr="006D7FAD">
        <w:rPr>
          <w:rFonts w:cs="Arial"/>
          <w:i/>
          <w:color w:val="2E74B5" w:themeColor="accent1" w:themeShade="BF"/>
          <w:sz w:val="20"/>
        </w:rPr>
        <w:t>En referencia a su solicitud señalada en el proemio le informo que dicha información se pone a disposición para su consulta física gratuita en la dirección de este departamento ubicado en calle Blas Escotaría número 832, planta alta, zona centro del municipio de Soledad de Graciano Sánchez, S.L.P., informándole que rebasa los límites de MG permitidos por el sistema INFOMEX sobrepasando las capacidades técnicas de este sujeto obligado, para cumplir con la solicitud de información , así mismo no se encontró un correo electrónico para así poder enviarle la información requerida, haciéndole de conocimiento que tanto el sistema INFOMEX como el correo electrónico cuenta con un límite de tamaño permitido; lo anterior con fundamento en los artículos 60, 61 y 149 de la Ley de Transparencia y Acceso a la Información Pública del Estado de San Luis Potosí.</w:t>
      </w:r>
    </w:p>
    <w:p w:rsidR="005452E1" w:rsidRPr="006D7FAD" w:rsidRDefault="005452E1" w:rsidP="00A80956">
      <w:pPr>
        <w:pStyle w:val="corte4fondo"/>
        <w:spacing w:line="240" w:lineRule="auto"/>
        <w:ind w:firstLine="0"/>
        <w:rPr>
          <w:rFonts w:cs="Arial"/>
          <w:i/>
          <w:color w:val="2E74B5" w:themeColor="accent1" w:themeShade="BF"/>
          <w:sz w:val="20"/>
        </w:rPr>
      </w:pPr>
    </w:p>
    <w:p w:rsidR="005452E1" w:rsidRPr="006D7FAD" w:rsidRDefault="005452E1" w:rsidP="008934DD">
      <w:pPr>
        <w:pStyle w:val="corte4fondo"/>
        <w:spacing w:line="240" w:lineRule="auto"/>
        <w:rPr>
          <w:rFonts w:cs="Arial"/>
          <w:i/>
          <w:color w:val="2E74B5" w:themeColor="accent1" w:themeShade="BF"/>
          <w:sz w:val="20"/>
        </w:rPr>
      </w:pPr>
      <w:r w:rsidRPr="006D7FAD">
        <w:rPr>
          <w:rFonts w:cs="Arial"/>
          <w:i/>
          <w:color w:val="2E74B5" w:themeColor="accent1" w:themeShade="BF"/>
          <w:sz w:val="20"/>
        </w:rPr>
        <w:t>POR LO ANTERIORMENTE EXPUESTO ESTA UNIDAD DE TRANSPARENCIA TIENE A BIEN ACORDAR. – NOTIFIQUESE AL C. XXXXXXX EL CONTENIDO DEL OFICIO AQUÍ CITADO, MISMO QUE SE PONE A SU DISPOSICIÓN PARA SU CONSULTA FISICA GRATUITA EN ESTAS OFICINAS QUE OCUPA LA UNIDAD DE TRANSPARENCIA UBICADA EN NEGRETE 106-A PLANTA ALTA CABECERA MUNICIPAL DE SOLEDAD DE GRACIANO SANCHEZ, S.L.P. EN UN HORARIO DE L-V de 8:00 a 15:00 PM</w:t>
      </w:r>
    </w:p>
    <w:p w:rsidR="005452E1" w:rsidRPr="006D7FAD" w:rsidRDefault="005452E1" w:rsidP="008934DD">
      <w:pPr>
        <w:pStyle w:val="corte4fondo"/>
        <w:spacing w:line="240" w:lineRule="auto"/>
        <w:rPr>
          <w:rFonts w:cs="Arial"/>
          <w:i/>
          <w:color w:val="2E74B5" w:themeColor="accent1" w:themeShade="BF"/>
          <w:sz w:val="20"/>
        </w:rPr>
      </w:pPr>
    </w:p>
    <w:p w:rsidR="00464CFF" w:rsidRPr="006D7FAD" w:rsidRDefault="005452E1" w:rsidP="008934DD">
      <w:pPr>
        <w:pStyle w:val="corte4fondo"/>
        <w:spacing w:line="240" w:lineRule="auto"/>
        <w:rPr>
          <w:rFonts w:cs="Arial"/>
          <w:i/>
          <w:color w:val="2E74B5" w:themeColor="accent1" w:themeShade="BF"/>
          <w:sz w:val="20"/>
        </w:rPr>
      </w:pPr>
      <w:r w:rsidRPr="006D7FAD">
        <w:rPr>
          <w:rFonts w:cs="Arial"/>
          <w:i/>
          <w:color w:val="2E74B5" w:themeColor="accent1" w:themeShade="BF"/>
          <w:sz w:val="20"/>
        </w:rPr>
        <w:t>ASI LO ACORDO ESTA UNIDAD DE TRANSPARENCIA, DEL AYUNTAMIENTO DE SOLEDAD DE GRACIANO SANCHEZ</w:t>
      </w:r>
      <w:r w:rsidR="00E53004" w:rsidRPr="006D7FAD">
        <w:rPr>
          <w:rFonts w:cs="Arial"/>
          <w:i/>
          <w:color w:val="2E74B5" w:themeColor="accent1" w:themeShade="BF"/>
          <w:sz w:val="20"/>
        </w:rPr>
        <w:t>…</w:t>
      </w:r>
      <w:r w:rsidR="000C0B35" w:rsidRPr="006D7FAD">
        <w:rPr>
          <w:rFonts w:cs="Arial"/>
          <w:i/>
          <w:color w:val="2E74B5" w:themeColor="accent1" w:themeShade="BF"/>
          <w:sz w:val="20"/>
        </w:rPr>
        <w:t>”</w:t>
      </w:r>
    </w:p>
    <w:p w:rsidR="000C0B35" w:rsidRPr="006D7FAD" w:rsidRDefault="000C0B35" w:rsidP="008934DD">
      <w:pPr>
        <w:pStyle w:val="corte4fondo"/>
        <w:spacing w:line="240" w:lineRule="auto"/>
        <w:ind w:firstLine="0"/>
        <w:rPr>
          <w:rFonts w:cs="Arial"/>
          <w:i/>
          <w:color w:val="2E74B5" w:themeColor="accent1" w:themeShade="BF"/>
          <w:sz w:val="24"/>
          <w:szCs w:val="24"/>
        </w:rPr>
      </w:pPr>
    </w:p>
    <w:p w:rsidR="00464CFF" w:rsidRPr="006D7FAD" w:rsidRDefault="00464CFF" w:rsidP="008934DD">
      <w:pPr>
        <w:pStyle w:val="corte4fondo"/>
        <w:spacing w:line="240" w:lineRule="auto"/>
        <w:ind w:firstLine="708"/>
        <w:rPr>
          <w:rFonts w:cs="Arial"/>
          <w:color w:val="2E74B5" w:themeColor="accent1" w:themeShade="BF"/>
          <w:sz w:val="24"/>
          <w:szCs w:val="24"/>
        </w:rPr>
      </w:pPr>
      <w:r w:rsidRPr="006D7FAD">
        <w:rPr>
          <w:rFonts w:cs="Arial"/>
          <w:b/>
          <w:color w:val="2E74B5" w:themeColor="accent1" w:themeShade="BF"/>
          <w:sz w:val="24"/>
          <w:szCs w:val="24"/>
        </w:rPr>
        <w:t xml:space="preserve">TERCERO. Interposición del recurso. Interposición del recurso. </w:t>
      </w:r>
      <w:r w:rsidR="000C0B35" w:rsidRPr="006D7FAD">
        <w:rPr>
          <w:rFonts w:cs="Arial"/>
          <w:color w:val="2E74B5" w:themeColor="accent1" w:themeShade="BF"/>
          <w:sz w:val="24"/>
          <w:szCs w:val="24"/>
        </w:rPr>
        <w:t>E</w:t>
      </w:r>
      <w:r w:rsidRPr="006D7FAD">
        <w:rPr>
          <w:rFonts w:cs="Arial"/>
          <w:color w:val="2E74B5" w:themeColor="accent1" w:themeShade="BF"/>
          <w:sz w:val="24"/>
          <w:szCs w:val="24"/>
        </w:rPr>
        <w:t>l</w:t>
      </w:r>
      <w:r w:rsidR="000C0B35" w:rsidRPr="006D7FAD">
        <w:rPr>
          <w:rFonts w:cs="Arial"/>
          <w:color w:val="2E74B5" w:themeColor="accent1" w:themeShade="BF"/>
          <w:sz w:val="24"/>
          <w:szCs w:val="24"/>
        </w:rPr>
        <w:t xml:space="preserve"> </w:t>
      </w:r>
      <w:r w:rsidR="00617679" w:rsidRPr="006D7FAD">
        <w:rPr>
          <w:rFonts w:cs="Arial"/>
          <w:color w:val="2E74B5" w:themeColor="accent1" w:themeShade="BF"/>
          <w:sz w:val="24"/>
          <w:szCs w:val="24"/>
        </w:rPr>
        <w:t xml:space="preserve">02 dos de diciembre </w:t>
      </w:r>
      <w:r w:rsidR="000C0B35" w:rsidRPr="006D7FAD">
        <w:rPr>
          <w:rFonts w:cs="Arial"/>
          <w:color w:val="2E74B5" w:themeColor="accent1" w:themeShade="BF"/>
          <w:sz w:val="24"/>
          <w:szCs w:val="24"/>
        </w:rPr>
        <w:t>de 2019 dos mil diecinueve</w:t>
      </w:r>
      <w:r w:rsidRPr="006D7FAD">
        <w:rPr>
          <w:rFonts w:cs="Arial"/>
          <w:color w:val="2E74B5" w:themeColor="accent1" w:themeShade="BF"/>
          <w:sz w:val="24"/>
          <w:szCs w:val="24"/>
        </w:rPr>
        <w:t xml:space="preserve">, mediante registro </w:t>
      </w:r>
      <w:r w:rsidR="00CC6DA3" w:rsidRPr="006D7FAD">
        <w:rPr>
          <w:rFonts w:cs="Arial"/>
          <w:color w:val="2E74B5" w:themeColor="accent1" w:themeShade="BF"/>
          <w:sz w:val="24"/>
          <w:szCs w:val="24"/>
        </w:rPr>
        <w:t xml:space="preserve">en el sistema de comunicación con los sujetos obligados de </w:t>
      </w:r>
      <w:r w:rsidRPr="006D7FAD">
        <w:rPr>
          <w:rFonts w:cs="Arial"/>
          <w:color w:val="2E74B5" w:themeColor="accent1" w:themeShade="BF"/>
          <w:sz w:val="24"/>
          <w:szCs w:val="24"/>
        </w:rPr>
        <w:t>la Plataforma Nacional de Transparencia, el solicitante de la información interpuso recurso de revisión por la respuesta a su solicitud de acceso a la información pública mencionada en el punto anterior, mismo que</w:t>
      </w:r>
      <w:r w:rsidR="008A7416" w:rsidRPr="006D7FAD">
        <w:rPr>
          <w:rFonts w:cs="Arial"/>
          <w:color w:val="2E74B5" w:themeColor="accent1" w:themeShade="BF"/>
          <w:sz w:val="24"/>
          <w:szCs w:val="24"/>
        </w:rPr>
        <w:t xml:space="preserve"> en </w:t>
      </w:r>
      <w:r w:rsidR="00617679" w:rsidRPr="006D7FAD">
        <w:rPr>
          <w:rFonts w:cs="Arial"/>
          <w:color w:val="2E74B5" w:themeColor="accent1" w:themeShade="BF"/>
          <w:sz w:val="24"/>
          <w:szCs w:val="24"/>
        </w:rPr>
        <w:t xml:space="preserve">el mismo día </w:t>
      </w:r>
      <w:r w:rsidR="00C0114C" w:rsidRPr="006D7FAD">
        <w:rPr>
          <w:rFonts w:cs="Arial"/>
          <w:color w:val="2E74B5" w:themeColor="accent1" w:themeShade="BF"/>
          <w:sz w:val="24"/>
          <w:szCs w:val="24"/>
        </w:rPr>
        <w:t xml:space="preserve">quedo presentado </w:t>
      </w:r>
      <w:r w:rsidRPr="006D7FAD">
        <w:rPr>
          <w:rFonts w:cs="Arial"/>
          <w:color w:val="2E74B5" w:themeColor="accent1" w:themeShade="BF"/>
          <w:sz w:val="24"/>
          <w:szCs w:val="24"/>
        </w:rPr>
        <w:t xml:space="preserve">ante la Oficialía de Partes de esta Comisión Estatal de Garantía de Acceso a la </w:t>
      </w:r>
      <w:r w:rsidR="00CC6DA3" w:rsidRPr="006D7FAD">
        <w:rPr>
          <w:rFonts w:cs="Arial"/>
          <w:color w:val="2E74B5" w:themeColor="accent1" w:themeShade="BF"/>
          <w:sz w:val="24"/>
          <w:szCs w:val="24"/>
        </w:rPr>
        <w:t>Información Pública</w:t>
      </w:r>
      <w:r w:rsidRPr="006D7FAD">
        <w:rPr>
          <w:rFonts w:cs="Arial"/>
          <w:color w:val="2E74B5" w:themeColor="accent1" w:themeShade="BF"/>
          <w:sz w:val="24"/>
          <w:szCs w:val="24"/>
        </w:rPr>
        <w:t xml:space="preserve">. </w:t>
      </w:r>
    </w:p>
    <w:p w:rsidR="00464CFF" w:rsidRPr="006D7FAD" w:rsidRDefault="00464CFF" w:rsidP="008934DD">
      <w:pPr>
        <w:pStyle w:val="corte4fondo"/>
        <w:spacing w:line="240" w:lineRule="auto"/>
        <w:rPr>
          <w:rFonts w:cs="Arial"/>
          <w:color w:val="2E74B5" w:themeColor="accent1" w:themeShade="BF"/>
          <w:sz w:val="24"/>
          <w:szCs w:val="24"/>
        </w:rPr>
      </w:pPr>
    </w:p>
    <w:p w:rsidR="00464CFF" w:rsidRPr="006D7FAD" w:rsidRDefault="00464CFF" w:rsidP="008934DD">
      <w:pPr>
        <w:spacing w:after="0" w:line="240" w:lineRule="auto"/>
        <w:ind w:firstLine="709"/>
        <w:jc w:val="both"/>
        <w:rPr>
          <w:rFonts w:ascii="Arial" w:eastAsia="Times New Roman" w:hAnsi="Arial" w:cs="Arial"/>
          <w:color w:val="2E74B5" w:themeColor="accent1" w:themeShade="BF"/>
          <w:sz w:val="24"/>
          <w:szCs w:val="24"/>
          <w:lang w:eastAsia="es-MX"/>
        </w:rPr>
      </w:pPr>
      <w:r w:rsidRPr="006D7FAD">
        <w:rPr>
          <w:rFonts w:ascii="Arial" w:hAnsi="Arial" w:cs="Arial"/>
          <w:b/>
          <w:color w:val="2E74B5" w:themeColor="accent1" w:themeShade="BF"/>
          <w:sz w:val="24"/>
          <w:szCs w:val="24"/>
        </w:rPr>
        <w:t>CUARTO</w:t>
      </w:r>
      <w:r w:rsidRPr="006D7FAD">
        <w:rPr>
          <w:rFonts w:ascii="Arial" w:eastAsia="Times New Roman" w:hAnsi="Arial" w:cs="Arial"/>
          <w:b/>
          <w:color w:val="2E74B5" w:themeColor="accent1" w:themeShade="BF"/>
          <w:sz w:val="24"/>
          <w:szCs w:val="24"/>
          <w:lang w:eastAsia="es-MX"/>
        </w:rPr>
        <w:t xml:space="preserve">. Trámite del recurso de revisión ante esta Comisión Estatal de Garantía de Acceso a la Información Pública. </w:t>
      </w:r>
      <w:r w:rsidRPr="006D7FAD">
        <w:rPr>
          <w:rFonts w:ascii="Arial" w:eastAsia="Times New Roman" w:hAnsi="Arial" w:cs="Arial"/>
          <w:color w:val="2E74B5" w:themeColor="accent1" w:themeShade="BF"/>
          <w:sz w:val="24"/>
          <w:szCs w:val="24"/>
          <w:lang w:eastAsia="es-MX"/>
        </w:rPr>
        <w:t xml:space="preserve">Mediante auto de </w:t>
      </w:r>
      <w:r w:rsidR="00012C6D" w:rsidRPr="006D7FAD">
        <w:rPr>
          <w:rFonts w:ascii="Arial" w:eastAsia="Times New Roman" w:hAnsi="Arial" w:cs="Arial"/>
          <w:color w:val="2E74B5" w:themeColor="accent1" w:themeShade="BF"/>
          <w:sz w:val="24"/>
          <w:szCs w:val="24"/>
          <w:lang w:eastAsia="es-MX"/>
        </w:rPr>
        <w:t xml:space="preserve">11 once </w:t>
      </w:r>
      <w:r w:rsidR="008A7416" w:rsidRPr="006D7FAD">
        <w:rPr>
          <w:rFonts w:ascii="Arial" w:eastAsia="Times New Roman" w:hAnsi="Arial" w:cs="Arial"/>
          <w:color w:val="2E74B5" w:themeColor="accent1" w:themeShade="BF"/>
          <w:sz w:val="24"/>
          <w:szCs w:val="24"/>
          <w:lang w:eastAsia="es-MX"/>
        </w:rPr>
        <w:t xml:space="preserve">de diciembre </w:t>
      </w:r>
      <w:r w:rsidRPr="006D7FAD">
        <w:rPr>
          <w:rFonts w:ascii="Arial" w:eastAsia="Times New Roman" w:hAnsi="Arial" w:cs="Arial"/>
          <w:color w:val="2E74B5" w:themeColor="accent1" w:themeShade="BF"/>
          <w:sz w:val="24"/>
          <w:szCs w:val="24"/>
          <w:lang w:eastAsia="es-MX"/>
        </w:rPr>
        <w:t xml:space="preserve">de </w:t>
      </w:r>
      <w:r w:rsidR="00FB1A19" w:rsidRPr="006D7FAD">
        <w:rPr>
          <w:rFonts w:ascii="Arial" w:eastAsia="Times New Roman" w:hAnsi="Arial" w:cs="Arial"/>
          <w:color w:val="2E74B5" w:themeColor="accent1" w:themeShade="BF"/>
          <w:sz w:val="24"/>
          <w:szCs w:val="24"/>
          <w:lang w:eastAsia="es-MX"/>
        </w:rPr>
        <w:t xml:space="preserve">2019 dos mil diecinueve </w:t>
      </w:r>
      <w:r w:rsidRPr="006D7FAD">
        <w:rPr>
          <w:rFonts w:ascii="Arial" w:eastAsia="Times New Roman" w:hAnsi="Arial" w:cs="Arial"/>
          <w:color w:val="2E74B5" w:themeColor="accent1" w:themeShade="BF"/>
          <w:sz w:val="24"/>
          <w:szCs w:val="24"/>
          <w:lang w:eastAsia="es-MX"/>
        </w:rPr>
        <w:t>la presidencia de esta Comisión de Transparencia tuvo por recibido el recurso de revisión, por lo que, por razón de tur</w:t>
      </w:r>
      <w:r w:rsidR="003F605B" w:rsidRPr="006D7FAD">
        <w:rPr>
          <w:rFonts w:ascii="Arial" w:eastAsia="Times New Roman" w:hAnsi="Arial" w:cs="Arial"/>
          <w:color w:val="2E74B5" w:themeColor="accent1" w:themeShade="BF"/>
          <w:sz w:val="24"/>
          <w:szCs w:val="24"/>
          <w:lang w:eastAsia="es-MX"/>
        </w:rPr>
        <w:t>no, tocó conocer a la ponencia</w:t>
      </w:r>
      <w:r w:rsidR="00186D81" w:rsidRPr="006D7FAD">
        <w:rPr>
          <w:rFonts w:ascii="Arial" w:eastAsia="Times New Roman" w:hAnsi="Arial" w:cs="Arial"/>
          <w:color w:val="2E74B5" w:themeColor="accent1" w:themeShade="BF"/>
          <w:sz w:val="24"/>
          <w:szCs w:val="24"/>
          <w:lang w:eastAsia="es-MX"/>
        </w:rPr>
        <w:t xml:space="preserve"> de la Comisionada </w:t>
      </w:r>
      <w:r w:rsidRPr="006D7FAD">
        <w:rPr>
          <w:rFonts w:ascii="Arial" w:eastAsia="Times New Roman" w:hAnsi="Arial" w:cs="Arial"/>
          <w:color w:val="2E74B5" w:themeColor="accent1" w:themeShade="BF"/>
          <w:sz w:val="24"/>
          <w:szCs w:val="24"/>
          <w:lang w:eastAsia="es-MX"/>
        </w:rPr>
        <w:t>Paulina Sánchez Pérez del Pozo por lo que se le turnó dicho expediente para que procediera, previo su análisis, a su admisión o desechamiento según fuera el caso.</w:t>
      </w:r>
    </w:p>
    <w:p w:rsidR="00464CFF" w:rsidRPr="006D7FAD" w:rsidRDefault="00464CFF" w:rsidP="008934DD">
      <w:pPr>
        <w:pStyle w:val="corte4fondo"/>
        <w:spacing w:line="240" w:lineRule="auto"/>
        <w:rPr>
          <w:rFonts w:cs="Arial"/>
          <w:color w:val="2E74B5" w:themeColor="accent1" w:themeShade="BF"/>
          <w:sz w:val="24"/>
          <w:szCs w:val="24"/>
        </w:rPr>
      </w:pPr>
    </w:p>
    <w:p w:rsidR="00464CFF" w:rsidRPr="006D7FAD" w:rsidRDefault="00464CFF" w:rsidP="008934DD">
      <w:pPr>
        <w:pStyle w:val="corte4fondo"/>
        <w:spacing w:line="240" w:lineRule="auto"/>
        <w:rPr>
          <w:rFonts w:cs="Arial"/>
          <w:color w:val="2E74B5" w:themeColor="accent1" w:themeShade="BF"/>
          <w:sz w:val="24"/>
          <w:szCs w:val="24"/>
        </w:rPr>
      </w:pPr>
      <w:r w:rsidRPr="006D7FAD">
        <w:rPr>
          <w:rFonts w:cs="Arial"/>
          <w:b/>
          <w:color w:val="2E74B5" w:themeColor="accent1" w:themeShade="BF"/>
          <w:sz w:val="24"/>
          <w:szCs w:val="24"/>
        </w:rPr>
        <w:t xml:space="preserve">QUINTO. Auto de admisión y trámite. </w:t>
      </w:r>
      <w:r w:rsidRPr="006D7FAD">
        <w:rPr>
          <w:rFonts w:cs="Arial"/>
          <w:color w:val="2E74B5" w:themeColor="accent1" w:themeShade="BF"/>
          <w:sz w:val="24"/>
          <w:szCs w:val="24"/>
        </w:rPr>
        <w:t xml:space="preserve">Por proveído del </w:t>
      </w:r>
      <w:r w:rsidR="00C0114C" w:rsidRPr="006D7FAD">
        <w:rPr>
          <w:rFonts w:cs="Arial"/>
          <w:color w:val="2E74B5" w:themeColor="accent1" w:themeShade="BF"/>
          <w:sz w:val="24"/>
          <w:szCs w:val="24"/>
        </w:rPr>
        <w:t xml:space="preserve">27 veintisiete </w:t>
      </w:r>
      <w:r w:rsidR="003F605B" w:rsidRPr="006D7FAD">
        <w:rPr>
          <w:rFonts w:cs="Arial"/>
          <w:color w:val="2E74B5" w:themeColor="accent1" w:themeShade="BF"/>
          <w:sz w:val="24"/>
          <w:szCs w:val="24"/>
        </w:rPr>
        <w:t xml:space="preserve">de enero del 2020 dos mil veinte </w:t>
      </w:r>
      <w:r w:rsidR="00406B0E" w:rsidRPr="006D7FAD">
        <w:rPr>
          <w:rFonts w:cs="Arial"/>
          <w:color w:val="2E74B5" w:themeColor="accent1" w:themeShade="BF"/>
          <w:sz w:val="24"/>
          <w:szCs w:val="24"/>
        </w:rPr>
        <w:t>l</w:t>
      </w:r>
      <w:r w:rsidR="003F605B" w:rsidRPr="006D7FAD">
        <w:rPr>
          <w:rFonts w:cs="Arial"/>
          <w:color w:val="2E74B5" w:themeColor="accent1" w:themeShade="BF"/>
          <w:sz w:val="24"/>
          <w:szCs w:val="24"/>
        </w:rPr>
        <w:t>a</w:t>
      </w:r>
      <w:r w:rsidRPr="006D7FAD">
        <w:rPr>
          <w:rFonts w:cs="Arial"/>
          <w:color w:val="2E74B5" w:themeColor="accent1" w:themeShade="BF"/>
          <w:sz w:val="24"/>
          <w:szCs w:val="24"/>
        </w:rPr>
        <w:t xml:space="preserve"> Comisionado Ponente, acordó la admisión del recurso de revisión por actualizarse la</w:t>
      </w:r>
      <w:r w:rsidR="00186D81" w:rsidRPr="006D7FAD">
        <w:rPr>
          <w:rFonts w:cs="Arial"/>
          <w:color w:val="2E74B5" w:themeColor="accent1" w:themeShade="BF"/>
          <w:sz w:val="24"/>
          <w:szCs w:val="24"/>
        </w:rPr>
        <w:t>s</w:t>
      </w:r>
      <w:r w:rsidRPr="006D7FAD">
        <w:rPr>
          <w:rFonts w:cs="Arial"/>
          <w:color w:val="2E74B5" w:themeColor="accent1" w:themeShade="BF"/>
          <w:sz w:val="24"/>
          <w:szCs w:val="24"/>
        </w:rPr>
        <w:t xml:space="preserve"> hipótesis establecida</w:t>
      </w:r>
      <w:r w:rsidR="00186D81" w:rsidRPr="006D7FAD">
        <w:rPr>
          <w:rFonts w:cs="Arial"/>
          <w:color w:val="2E74B5" w:themeColor="accent1" w:themeShade="BF"/>
          <w:sz w:val="24"/>
          <w:szCs w:val="24"/>
        </w:rPr>
        <w:t>s</w:t>
      </w:r>
      <w:r w:rsidRPr="006D7FAD">
        <w:rPr>
          <w:rFonts w:cs="Arial"/>
          <w:color w:val="2E74B5" w:themeColor="accent1" w:themeShade="BF"/>
          <w:sz w:val="24"/>
          <w:szCs w:val="24"/>
        </w:rPr>
        <w:t xml:space="preserve"> en la</w:t>
      </w:r>
      <w:r w:rsidR="00186D81" w:rsidRPr="006D7FAD">
        <w:rPr>
          <w:rFonts w:cs="Arial"/>
          <w:color w:val="2E74B5" w:themeColor="accent1" w:themeShade="BF"/>
          <w:sz w:val="24"/>
          <w:szCs w:val="24"/>
        </w:rPr>
        <w:t>s</w:t>
      </w:r>
      <w:r w:rsidRPr="006D7FAD">
        <w:rPr>
          <w:rFonts w:cs="Arial"/>
          <w:color w:val="2E74B5" w:themeColor="accent1" w:themeShade="BF"/>
          <w:sz w:val="24"/>
          <w:szCs w:val="24"/>
        </w:rPr>
        <w:t xml:space="preserve"> </w:t>
      </w:r>
      <w:r w:rsidR="00186D81" w:rsidRPr="006D7FAD">
        <w:rPr>
          <w:rFonts w:cs="Arial"/>
          <w:color w:val="2E74B5" w:themeColor="accent1" w:themeShade="BF"/>
          <w:sz w:val="24"/>
          <w:szCs w:val="24"/>
        </w:rPr>
        <w:t>fracciones</w:t>
      </w:r>
      <w:r w:rsidRPr="006D7FAD">
        <w:rPr>
          <w:rFonts w:cs="Arial"/>
          <w:color w:val="2E74B5" w:themeColor="accent1" w:themeShade="BF"/>
          <w:sz w:val="24"/>
          <w:szCs w:val="24"/>
        </w:rPr>
        <w:t xml:space="preserve"> V</w:t>
      </w:r>
      <w:r w:rsidR="00186D81" w:rsidRPr="006D7FAD">
        <w:rPr>
          <w:rFonts w:cs="Arial"/>
          <w:color w:val="2E74B5" w:themeColor="accent1" w:themeShade="BF"/>
          <w:sz w:val="24"/>
          <w:szCs w:val="24"/>
        </w:rPr>
        <w:t xml:space="preserve"> y VI</w:t>
      </w:r>
      <w:r w:rsidRPr="006D7FAD">
        <w:rPr>
          <w:rFonts w:cs="Arial"/>
          <w:color w:val="2E74B5" w:themeColor="accent1" w:themeShade="BF"/>
          <w:sz w:val="24"/>
          <w:szCs w:val="24"/>
        </w:rPr>
        <w:t xml:space="preserve"> del artículo 167 de la Ley de Transparencia y Acceso a la información Pública del Estado de San Luis Potosí, de la misma manera:</w:t>
      </w:r>
    </w:p>
    <w:p w:rsidR="00A754AB" w:rsidRPr="006D7FAD" w:rsidRDefault="00A754AB" w:rsidP="008934DD">
      <w:pPr>
        <w:pStyle w:val="corte4fondo"/>
        <w:spacing w:line="240" w:lineRule="auto"/>
        <w:rPr>
          <w:rFonts w:cs="Arial"/>
          <w:color w:val="2E74B5" w:themeColor="accent1" w:themeShade="BF"/>
          <w:sz w:val="24"/>
          <w:szCs w:val="24"/>
        </w:rPr>
      </w:pPr>
    </w:p>
    <w:p w:rsidR="00464CFF" w:rsidRPr="006D7FAD" w:rsidRDefault="00464CFF" w:rsidP="008934DD">
      <w:pPr>
        <w:pStyle w:val="corte4fondo"/>
        <w:numPr>
          <w:ilvl w:val="0"/>
          <w:numId w:val="2"/>
        </w:numPr>
        <w:spacing w:line="240" w:lineRule="auto"/>
        <w:rPr>
          <w:rFonts w:cs="Arial"/>
          <w:color w:val="2E74B5" w:themeColor="accent1" w:themeShade="BF"/>
          <w:sz w:val="24"/>
          <w:szCs w:val="24"/>
        </w:rPr>
      </w:pPr>
      <w:r w:rsidRPr="006D7FAD">
        <w:rPr>
          <w:rFonts w:cs="Arial"/>
          <w:color w:val="2E74B5" w:themeColor="accent1" w:themeShade="BF"/>
          <w:sz w:val="24"/>
          <w:szCs w:val="24"/>
        </w:rPr>
        <w:t>Registró en el Libro de Gobierno el presente expediente como RR-</w:t>
      </w:r>
      <w:r w:rsidR="008A7416" w:rsidRPr="006D7FAD">
        <w:rPr>
          <w:rFonts w:cs="Arial"/>
          <w:color w:val="2E74B5" w:themeColor="accent1" w:themeShade="BF"/>
          <w:sz w:val="24"/>
          <w:szCs w:val="24"/>
        </w:rPr>
        <w:t>2</w:t>
      </w:r>
      <w:r w:rsidR="00617679" w:rsidRPr="006D7FAD">
        <w:rPr>
          <w:rFonts w:cs="Arial"/>
          <w:color w:val="2E74B5" w:themeColor="accent1" w:themeShade="BF"/>
          <w:sz w:val="24"/>
          <w:szCs w:val="24"/>
        </w:rPr>
        <w:t>8</w:t>
      </w:r>
      <w:r w:rsidR="005452E1" w:rsidRPr="006D7FAD">
        <w:rPr>
          <w:rFonts w:cs="Arial"/>
          <w:color w:val="2E74B5" w:themeColor="accent1" w:themeShade="BF"/>
          <w:sz w:val="24"/>
          <w:szCs w:val="24"/>
        </w:rPr>
        <w:t>81</w:t>
      </w:r>
      <w:r w:rsidRPr="006D7FAD">
        <w:rPr>
          <w:rFonts w:cs="Arial"/>
          <w:color w:val="2E74B5" w:themeColor="accent1" w:themeShade="BF"/>
          <w:sz w:val="24"/>
          <w:szCs w:val="24"/>
        </w:rPr>
        <w:t>/201</w:t>
      </w:r>
      <w:r w:rsidR="00FB1A19" w:rsidRPr="006D7FAD">
        <w:rPr>
          <w:rFonts w:cs="Arial"/>
          <w:color w:val="2E74B5" w:themeColor="accent1" w:themeShade="BF"/>
          <w:sz w:val="24"/>
          <w:szCs w:val="24"/>
        </w:rPr>
        <w:t>9</w:t>
      </w:r>
      <w:r w:rsidRPr="006D7FAD">
        <w:rPr>
          <w:rFonts w:cs="Arial"/>
          <w:color w:val="2E74B5" w:themeColor="accent1" w:themeShade="BF"/>
          <w:sz w:val="24"/>
          <w:szCs w:val="24"/>
        </w:rPr>
        <w:t>-2</w:t>
      </w:r>
      <w:r w:rsidR="00186D81" w:rsidRPr="006D7FAD">
        <w:rPr>
          <w:rFonts w:cs="Arial"/>
          <w:color w:val="2E74B5" w:themeColor="accent1" w:themeShade="BF"/>
          <w:sz w:val="24"/>
          <w:szCs w:val="24"/>
        </w:rPr>
        <w:t xml:space="preserve"> </w:t>
      </w:r>
      <w:r w:rsidR="005409D2" w:rsidRPr="006D7FAD">
        <w:rPr>
          <w:rFonts w:cs="Arial"/>
          <w:color w:val="2E74B5" w:themeColor="accent1" w:themeShade="BF"/>
          <w:sz w:val="24"/>
          <w:szCs w:val="24"/>
        </w:rPr>
        <w:t>SICOM.</w:t>
      </w:r>
    </w:p>
    <w:p w:rsidR="00464CFF" w:rsidRPr="006D7FAD" w:rsidRDefault="00464CFF" w:rsidP="008934DD">
      <w:pPr>
        <w:pStyle w:val="corte4fondo"/>
        <w:numPr>
          <w:ilvl w:val="0"/>
          <w:numId w:val="2"/>
        </w:numPr>
        <w:spacing w:line="240" w:lineRule="auto"/>
        <w:rPr>
          <w:rFonts w:cs="Arial"/>
          <w:color w:val="2E74B5" w:themeColor="accent1" w:themeShade="BF"/>
          <w:sz w:val="24"/>
          <w:szCs w:val="24"/>
        </w:rPr>
      </w:pPr>
      <w:r w:rsidRPr="006D7FAD">
        <w:rPr>
          <w:rFonts w:cs="Arial"/>
          <w:color w:val="2E74B5" w:themeColor="accent1" w:themeShade="BF"/>
          <w:sz w:val="24"/>
          <w:szCs w:val="24"/>
        </w:rPr>
        <w:t>Admitió a trámite el presente recurso de revisión.</w:t>
      </w:r>
    </w:p>
    <w:p w:rsidR="00464CFF" w:rsidRPr="006D7FAD" w:rsidRDefault="00464CFF" w:rsidP="008934DD">
      <w:pPr>
        <w:pStyle w:val="corte4fondo"/>
        <w:numPr>
          <w:ilvl w:val="0"/>
          <w:numId w:val="2"/>
        </w:numPr>
        <w:spacing w:line="240" w:lineRule="auto"/>
        <w:rPr>
          <w:rFonts w:cs="Arial"/>
          <w:color w:val="2E74B5" w:themeColor="accent1" w:themeShade="BF"/>
          <w:sz w:val="24"/>
          <w:szCs w:val="24"/>
        </w:rPr>
      </w:pPr>
      <w:r w:rsidRPr="006D7FAD">
        <w:rPr>
          <w:rFonts w:cs="Arial"/>
          <w:color w:val="2E74B5" w:themeColor="accent1" w:themeShade="BF"/>
          <w:sz w:val="24"/>
          <w:szCs w:val="24"/>
        </w:rPr>
        <w:t>Tuvo como sujeto obligado al</w:t>
      </w:r>
      <w:r w:rsidR="00FB1A19" w:rsidRPr="006D7FAD">
        <w:rPr>
          <w:rFonts w:eastAsia="Arial Unicode MS" w:cs="Arial"/>
          <w:b/>
          <w:color w:val="2E74B5" w:themeColor="accent1" w:themeShade="BF"/>
          <w:sz w:val="24"/>
          <w:szCs w:val="24"/>
        </w:rPr>
        <w:t xml:space="preserve"> H. AYUNTAMIENTO DE </w:t>
      </w:r>
      <w:r w:rsidR="002A3DCE" w:rsidRPr="006D7FAD">
        <w:rPr>
          <w:rFonts w:eastAsia="Arial Unicode MS" w:cs="Arial"/>
          <w:b/>
          <w:color w:val="2E74B5" w:themeColor="accent1" w:themeShade="BF"/>
          <w:sz w:val="24"/>
          <w:szCs w:val="24"/>
        </w:rPr>
        <w:t xml:space="preserve">SOLEDAD DE GRACIANO SÁNCHEZ, </w:t>
      </w:r>
      <w:r w:rsidR="00FB1A19" w:rsidRPr="006D7FAD">
        <w:rPr>
          <w:rFonts w:eastAsia="Arial Unicode MS" w:cs="Arial"/>
          <w:b/>
          <w:color w:val="2E74B5" w:themeColor="accent1" w:themeShade="BF"/>
          <w:sz w:val="24"/>
          <w:szCs w:val="24"/>
        </w:rPr>
        <w:t>SAN LUIS POTOSÍ, POR CONDUCTO DE</w:t>
      </w:r>
      <w:r w:rsidR="00AB296A" w:rsidRPr="006D7FAD">
        <w:rPr>
          <w:rFonts w:eastAsia="Arial Unicode MS" w:cs="Arial"/>
          <w:b/>
          <w:color w:val="2E74B5" w:themeColor="accent1" w:themeShade="BF"/>
          <w:sz w:val="24"/>
          <w:szCs w:val="24"/>
        </w:rPr>
        <w:t xml:space="preserve">L </w:t>
      </w:r>
      <w:r w:rsidR="00FB1A19" w:rsidRPr="006D7FAD">
        <w:rPr>
          <w:rFonts w:eastAsia="Arial Unicode MS" w:cs="Arial"/>
          <w:b/>
          <w:color w:val="2E74B5" w:themeColor="accent1" w:themeShade="BF"/>
          <w:sz w:val="24"/>
          <w:szCs w:val="24"/>
        </w:rPr>
        <w:t xml:space="preserve"> PRESIDENTE </w:t>
      </w:r>
      <w:r w:rsidR="00AB296A" w:rsidRPr="006D7FAD">
        <w:rPr>
          <w:rFonts w:eastAsia="Arial Unicode MS" w:cs="Arial"/>
          <w:b/>
          <w:color w:val="2E74B5" w:themeColor="accent1" w:themeShade="BF"/>
          <w:sz w:val="24"/>
          <w:szCs w:val="24"/>
        </w:rPr>
        <w:t xml:space="preserve">MUNICIPAL, Y A TRAVES DEL </w:t>
      </w:r>
      <w:r w:rsidR="002A3DCE" w:rsidRPr="006D7FAD">
        <w:rPr>
          <w:rFonts w:eastAsia="Arial Unicode MS" w:cs="Arial"/>
          <w:b/>
          <w:color w:val="2E74B5" w:themeColor="accent1" w:themeShade="BF"/>
          <w:sz w:val="24"/>
          <w:szCs w:val="24"/>
        </w:rPr>
        <w:t>TI</w:t>
      </w:r>
      <w:r w:rsidR="00FB1A19" w:rsidRPr="006D7FAD">
        <w:rPr>
          <w:rFonts w:eastAsia="Arial Unicode MS" w:cs="Arial"/>
          <w:b/>
          <w:color w:val="2E74B5" w:themeColor="accent1" w:themeShade="BF"/>
          <w:sz w:val="24"/>
          <w:szCs w:val="24"/>
        </w:rPr>
        <w:t>TUL</w:t>
      </w:r>
      <w:r w:rsidR="002A3DCE" w:rsidRPr="006D7FAD">
        <w:rPr>
          <w:rFonts w:eastAsia="Arial Unicode MS" w:cs="Arial"/>
          <w:b/>
          <w:color w:val="2E74B5" w:themeColor="accent1" w:themeShade="BF"/>
          <w:sz w:val="24"/>
          <w:szCs w:val="24"/>
        </w:rPr>
        <w:t>AR DE LA UNIDAD DE INFORMACIÓ</w:t>
      </w:r>
      <w:r w:rsidR="00FB1A19" w:rsidRPr="006D7FAD">
        <w:rPr>
          <w:rFonts w:eastAsia="Arial Unicode MS" w:cs="Arial"/>
          <w:b/>
          <w:color w:val="2E74B5" w:themeColor="accent1" w:themeShade="BF"/>
          <w:sz w:val="24"/>
          <w:szCs w:val="24"/>
        </w:rPr>
        <w:t>N PÚBLICA</w:t>
      </w:r>
      <w:r w:rsidRPr="006D7FAD">
        <w:rPr>
          <w:rFonts w:eastAsia="Arial Unicode MS" w:cs="Arial"/>
          <w:b/>
          <w:color w:val="2E74B5" w:themeColor="accent1" w:themeShade="BF"/>
          <w:sz w:val="24"/>
          <w:szCs w:val="24"/>
        </w:rPr>
        <w:t>.</w:t>
      </w:r>
    </w:p>
    <w:p w:rsidR="00464CFF" w:rsidRPr="006D7FAD" w:rsidRDefault="00464CFF" w:rsidP="008934DD">
      <w:pPr>
        <w:pStyle w:val="corte4fondo"/>
        <w:numPr>
          <w:ilvl w:val="0"/>
          <w:numId w:val="2"/>
        </w:numPr>
        <w:spacing w:line="240" w:lineRule="auto"/>
        <w:rPr>
          <w:rFonts w:cs="Arial"/>
          <w:color w:val="2E74B5" w:themeColor="accent1" w:themeShade="BF"/>
          <w:sz w:val="24"/>
          <w:szCs w:val="24"/>
        </w:rPr>
      </w:pPr>
      <w:r w:rsidRPr="006D7FAD">
        <w:rPr>
          <w:rFonts w:cs="Arial"/>
          <w:color w:val="2E74B5" w:themeColor="accent1" w:themeShade="BF"/>
          <w:sz w:val="24"/>
          <w:szCs w:val="24"/>
        </w:rPr>
        <w:t>Se le tuvo al recurrente por señalada dirección electrónica para oír notificaciones.</w:t>
      </w:r>
    </w:p>
    <w:p w:rsidR="00464CFF" w:rsidRPr="006D7FAD" w:rsidRDefault="00464CFF" w:rsidP="008934DD">
      <w:pPr>
        <w:pStyle w:val="corte4fondo"/>
        <w:numPr>
          <w:ilvl w:val="0"/>
          <w:numId w:val="2"/>
        </w:numPr>
        <w:spacing w:line="240" w:lineRule="auto"/>
        <w:rPr>
          <w:rFonts w:cs="Arial"/>
          <w:color w:val="2E74B5" w:themeColor="accent1" w:themeShade="BF"/>
          <w:sz w:val="24"/>
          <w:szCs w:val="24"/>
        </w:rPr>
      </w:pPr>
      <w:r w:rsidRPr="006D7FAD">
        <w:rPr>
          <w:rFonts w:cs="Arial"/>
          <w:color w:val="2E74B5" w:themeColor="accent1" w:themeShade="BF"/>
          <w:sz w:val="24"/>
          <w:szCs w:val="24"/>
        </w:rPr>
        <w:lastRenderedPageBreak/>
        <w:t xml:space="preserve">Se puso a disposición de las partes el expediente para que en un plazo máximo de 7 siete días manifestaran lo que a su derecho conviniera –ofrecer pruebas y alegar–.  </w:t>
      </w:r>
    </w:p>
    <w:p w:rsidR="00464CFF" w:rsidRPr="006D7FAD" w:rsidRDefault="00464CFF" w:rsidP="008934DD">
      <w:pPr>
        <w:pStyle w:val="corte4fondo"/>
        <w:spacing w:line="240" w:lineRule="auto"/>
        <w:rPr>
          <w:rFonts w:cs="Arial"/>
          <w:color w:val="2E74B5" w:themeColor="accent1" w:themeShade="BF"/>
          <w:sz w:val="24"/>
          <w:szCs w:val="24"/>
        </w:rPr>
      </w:pPr>
    </w:p>
    <w:p w:rsidR="00464CFF" w:rsidRPr="006D7FAD" w:rsidRDefault="00464CFF" w:rsidP="008934DD">
      <w:pPr>
        <w:pStyle w:val="corte4fondo"/>
        <w:spacing w:line="240" w:lineRule="auto"/>
        <w:rPr>
          <w:rFonts w:cs="Arial"/>
          <w:color w:val="2E74B5" w:themeColor="accent1" w:themeShade="BF"/>
          <w:sz w:val="24"/>
          <w:szCs w:val="24"/>
        </w:rPr>
      </w:pPr>
      <w:r w:rsidRPr="006D7FAD">
        <w:rPr>
          <w:rFonts w:cs="Arial"/>
          <w:color w:val="2E74B5" w:themeColor="accent1" w:themeShade="BF"/>
          <w:sz w:val="24"/>
          <w:szCs w:val="24"/>
        </w:rPr>
        <w:t>Asimismo, en ese auto la ponente expresó que el sujeto obligado debería informar a esta Comisión de Transparencia si la información que le fue solicitada:</w:t>
      </w:r>
    </w:p>
    <w:p w:rsidR="00464CFF" w:rsidRPr="006D7FAD" w:rsidRDefault="003D4D66" w:rsidP="008934DD">
      <w:pPr>
        <w:pStyle w:val="corte4fondo"/>
        <w:spacing w:line="240" w:lineRule="auto"/>
        <w:rPr>
          <w:rFonts w:cs="Arial"/>
          <w:color w:val="2E74B5" w:themeColor="accent1" w:themeShade="BF"/>
          <w:sz w:val="24"/>
          <w:szCs w:val="24"/>
        </w:rPr>
      </w:pPr>
      <w:r w:rsidRPr="006D7FAD">
        <w:rPr>
          <w:rFonts w:cs="Arial"/>
          <w:color w:val="2E74B5" w:themeColor="accent1" w:themeShade="BF"/>
          <w:sz w:val="24"/>
          <w:szCs w:val="24"/>
        </w:rPr>
        <w:t xml:space="preserve"> </w:t>
      </w:r>
    </w:p>
    <w:p w:rsidR="00464CFF" w:rsidRPr="006D7FAD" w:rsidRDefault="00464CFF" w:rsidP="008934DD">
      <w:pPr>
        <w:pStyle w:val="corte4fondo"/>
        <w:numPr>
          <w:ilvl w:val="0"/>
          <w:numId w:val="1"/>
        </w:numPr>
        <w:spacing w:line="240" w:lineRule="auto"/>
        <w:rPr>
          <w:rFonts w:cs="Arial"/>
          <w:color w:val="2E74B5" w:themeColor="accent1" w:themeShade="BF"/>
          <w:sz w:val="24"/>
          <w:szCs w:val="24"/>
        </w:rPr>
      </w:pPr>
      <w:r w:rsidRPr="006D7FAD">
        <w:rPr>
          <w:rFonts w:cs="Arial"/>
          <w:color w:val="2E74B5" w:themeColor="accent1" w:themeShade="BF"/>
          <w:sz w:val="24"/>
          <w:szCs w:val="24"/>
        </w:rPr>
        <w:t>Se encontraba en sus archivos.</w:t>
      </w:r>
    </w:p>
    <w:p w:rsidR="00464CFF" w:rsidRPr="006D7FAD" w:rsidRDefault="00464CFF" w:rsidP="008934DD">
      <w:pPr>
        <w:pStyle w:val="corte4fondo"/>
        <w:numPr>
          <w:ilvl w:val="0"/>
          <w:numId w:val="1"/>
        </w:numPr>
        <w:spacing w:line="240" w:lineRule="auto"/>
        <w:rPr>
          <w:rFonts w:cs="Arial"/>
          <w:color w:val="2E74B5" w:themeColor="accent1" w:themeShade="BF"/>
          <w:sz w:val="24"/>
          <w:szCs w:val="24"/>
        </w:rPr>
      </w:pPr>
      <w:r w:rsidRPr="006D7FAD">
        <w:rPr>
          <w:rFonts w:cs="Arial"/>
          <w:color w:val="2E74B5" w:themeColor="accent1" w:themeShade="BF"/>
          <w:sz w:val="24"/>
          <w:szCs w:val="24"/>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464CFF" w:rsidRPr="006D7FAD" w:rsidRDefault="00464CFF" w:rsidP="008934DD">
      <w:pPr>
        <w:pStyle w:val="corte4fondo"/>
        <w:numPr>
          <w:ilvl w:val="0"/>
          <w:numId w:val="1"/>
        </w:numPr>
        <w:spacing w:line="240" w:lineRule="auto"/>
        <w:rPr>
          <w:rFonts w:cs="Arial"/>
          <w:color w:val="2E74B5" w:themeColor="accent1" w:themeShade="BF"/>
          <w:sz w:val="24"/>
          <w:szCs w:val="24"/>
        </w:rPr>
      </w:pPr>
      <w:r w:rsidRPr="006D7FAD">
        <w:rPr>
          <w:rFonts w:cs="Arial"/>
          <w:color w:val="2E74B5" w:themeColor="accent1" w:themeShade="BF"/>
          <w:sz w:val="24"/>
          <w:szCs w:val="24"/>
        </w:rPr>
        <w:t xml:space="preserve">Se encontraba en una de las excepciones del derecho de acceso a la información como impedimento legal para su entrega –cuando se trate de información reservada o confidencial–. </w:t>
      </w:r>
    </w:p>
    <w:p w:rsidR="00464CFF" w:rsidRPr="006D7FAD" w:rsidRDefault="00464CFF" w:rsidP="008934DD">
      <w:pPr>
        <w:spacing w:after="0" w:line="240" w:lineRule="auto"/>
        <w:rPr>
          <w:rFonts w:ascii="Arial" w:hAnsi="Arial" w:cs="Arial"/>
          <w:color w:val="2E74B5" w:themeColor="accent1" w:themeShade="BF"/>
          <w:sz w:val="24"/>
          <w:szCs w:val="24"/>
          <w:lang w:eastAsia="es-MX"/>
        </w:rPr>
      </w:pPr>
    </w:p>
    <w:p w:rsidR="00464CFF" w:rsidRPr="006D7FAD" w:rsidRDefault="00464CFF" w:rsidP="008934DD">
      <w:pPr>
        <w:spacing w:after="0" w:line="240" w:lineRule="auto"/>
        <w:ind w:firstLine="708"/>
        <w:jc w:val="both"/>
        <w:rPr>
          <w:rFonts w:ascii="Arial" w:hAnsi="Arial" w:cs="Arial"/>
          <w:color w:val="2E74B5" w:themeColor="accent1" w:themeShade="BF"/>
          <w:sz w:val="24"/>
          <w:szCs w:val="24"/>
          <w:lang w:eastAsia="es-MX"/>
        </w:rPr>
      </w:pPr>
      <w:r w:rsidRPr="006D7FAD">
        <w:rPr>
          <w:rFonts w:ascii="Arial"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8A7416" w:rsidRPr="006D7FAD" w:rsidRDefault="008A7416" w:rsidP="008934DD">
      <w:pPr>
        <w:spacing w:after="0" w:line="240" w:lineRule="auto"/>
        <w:ind w:firstLine="708"/>
        <w:jc w:val="both"/>
        <w:rPr>
          <w:rFonts w:ascii="Arial" w:hAnsi="Arial" w:cs="Arial"/>
          <w:color w:val="2E74B5" w:themeColor="accent1" w:themeShade="BF"/>
          <w:sz w:val="24"/>
          <w:szCs w:val="24"/>
          <w:lang w:eastAsia="es-MX"/>
        </w:rPr>
      </w:pPr>
    </w:p>
    <w:p w:rsidR="008A7416" w:rsidRPr="006D7FAD" w:rsidRDefault="008A7416" w:rsidP="008934DD">
      <w:pPr>
        <w:spacing w:after="0" w:line="240" w:lineRule="auto"/>
        <w:ind w:firstLine="708"/>
        <w:jc w:val="both"/>
        <w:rPr>
          <w:rFonts w:ascii="Arial" w:hAnsi="Arial" w:cs="Arial"/>
          <w:color w:val="2E74B5" w:themeColor="accent1" w:themeShade="BF"/>
          <w:sz w:val="24"/>
          <w:szCs w:val="24"/>
        </w:rPr>
      </w:pPr>
    </w:p>
    <w:p w:rsidR="008A7416" w:rsidRPr="006D7FAD" w:rsidRDefault="008A7416" w:rsidP="008934DD">
      <w:pPr>
        <w:pStyle w:val="corte4fondo"/>
        <w:tabs>
          <w:tab w:val="left" w:pos="0"/>
        </w:tabs>
        <w:spacing w:line="240" w:lineRule="auto"/>
        <w:ind w:firstLine="0"/>
        <w:rPr>
          <w:rFonts w:cs="Arial"/>
          <w:color w:val="2E74B5" w:themeColor="accent1" w:themeShade="BF"/>
          <w:sz w:val="24"/>
          <w:szCs w:val="24"/>
        </w:rPr>
      </w:pPr>
      <w:r w:rsidRPr="006D7FAD">
        <w:rPr>
          <w:rFonts w:cs="Arial"/>
          <w:color w:val="2E74B5" w:themeColor="accent1" w:themeShade="BF"/>
          <w:sz w:val="24"/>
          <w:szCs w:val="24"/>
        </w:rPr>
        <w:tab/>
      </w:r>
      <w:r w:rsidRPr="006D7FAD">
        <w:rPr>
          <w:rFonts w:cs="Arial"/>
          <w:b/>
          <w:color w:val="2E74B5" w:themeColor="accent1" w:themeShade="BF"/>
          <w:sz w:val="24"/>
          <w:szCs w:val="24"/>
        </w:rPr>
        <w:t>SEXTO. Informe del sujeto obligado</w:t>
      </w:r>
      <w:r w:rsidRPr="006D7FAD">
        <w:rPr>
          <w:rFonts w:cs="Arial"/>
          <w:color w:val="2E74B5" w:themeColor="accent1" w:themeShade="BF"/>
          <w:sz w:val="24"/>
          <w:szCs w:val="24"/>
        </w:rPr>
        <w:t xml:space="preserve">. Por proveído del </w:t>
      </w:r>
      <w:r w:rsidR="00BA7D2E" w:rsidRPr="006D7FAD">
        <w:rPr>
          <w:rFonts w:cs="Arial"/>
          <w:color w:val="2E74B5" w:themeColor="accent1" w:themeShade="BF"/>
          <w:sz w:val="24"/>
          <w:szCs w:val="24"/>
        </w:rPr>
        <w:t>05 cinco</w:t>
      </w:r>
      <w:r w:rsidR="00D63F82" w:rsidRPr="006D7FAD">
        <w:rPr>
          <w:rFonts w:cs="Arial"/>
          <w:color w:val="2E74B5" w:themeColor="accent1" w:themeShade="BF"/>
          <w:sz w:val="24"/>
          <w:szCs w:val="24"/>
        </w:rPr>
        <w:t xml:space="preserve"> de marzo </w:t>
      </w:r>
      <w:r w:rsidRPr="006D7FAD">
        <w:rPr>
          <w:rFonts w:cs="Arial"/>
          <w:color w:val="2E74B5" w:themeColor="accent1" w:themeShade="BF"/>
          <w:sz w:val="24"/>
          <w:szCs w:val="24"/>
        </w:rPr>
        <w:t>del 2020 dos mi veinte la ponente del presente asunto tuvo:</w:t>
      </w:r>
    </w:p>
    <w:p w:rsidR="008A7416" w:rsidRPr="006D7FAD" w:rsidRDefault="008A7416" w:rsidP="008934DD">
      <w:pPr>
        <w:pStyle w:val="corte4fondo"/>
        <w:tabs>
          <w:tab w:val="left" w:pos="0"/>
        </w:tabs>
        <w:spacing w:line="240" w:lineRule="auto"/>
        <w:ind w:firstLine="0"/>
        <w:rPr>
          <w:rFonts w:cs="Arial"/>
          <w:color w:val="2E74B5" w:themeColor="accent1" w:themeShade="BF"/>
          <w:sz w:val="24"/>
          <w:szCs w:val="24"/>
        </w:rPr>
      </w:pPr>
    </w:p>
    <w:p w:rsidR="00464CFF" w:rsidRPr="006D7FAD" w:rsidRDefault="00464CFF" w:rsidP="008934DD">
      <w:pPr>
        <w:pStyle w:val="corte4fondo"/>
        <w:numPr>
          <w:ilvl w:val="0"/>
          <w:numId w:val="4"/>
        </w:numPr>
        <w:spacing w:line="240" w:lineRule="auto"/>
        <w:rPr>
          <w:rFonts w:cs="Arial"/>
          <w:color w:val="2E74B5" w:themeColor="accent1" w:themeShade="BF"/>
          <w:sz w:val="24"/>
          <w:szCs w:val="24"/>
        </w:rPr>
      </w:pPr>
      <w:r w:rsidRPr="006D7FAD">
        <w:rPr>
          <w:rFonts w:cs="Arial"/>
          <w:color w:val="2E74B5" w:themeColor="accent1" w:themeShade="BF"/>
          <w:sz w:val="24"/>
          <w:szCs w:val="24"/>
        </w:rPr>
        <w:t>Por recibido el oficio</w:t>
      </w:r>
      <w:r w:rsidR="008E5710" w:rsidRPr="006D7FAD">
        <w:rPr>
          <w:rFonts w:cs="Arial"/>
          <w:color w:val="2E74B5" w:themeColor="accent1" w:themeShade="BF"/>
          <w:sz w:val="24"/>
          <w:szCs w:val="24"/>
        </w:rPr>
        <w:t xml:space="preserve"> MSGS/U</w:t>
      </w:r>
      <w:r w:rsidR="00617679" w:rsidRPr="006D7FAD">
        <w:rPr>
          <w:rFonts w:cs="Arial"/>
          <w:color w:val="2E74B5" w:themeColor="accent1" w:themeShade="BF"/>
          <w:sz w:val="24"/>
          <w:szCs w:val="24"/>
        </w:rPr>
        <w:t>T/40</w:t>
      </w:r>
      <w:r w:rsidR="005452E1" w:rsidRPr="006D7FAD">
        <w:rPr>
          <w:rFonts w:cs="Arial"/>
          <w:color w:val="2E74B5" w:themeColor="accent1" w:themeShade="BF"/>
          <w:sz w:val="24"/>
          <w:szCs w:val="24"/>
        </w:rPr>
        <w:t>9</w:t>
      </w:r>
      <w:r w:rsidR="00F00707" w:rsidRPr="006D7FAD">
        <w:rPr>
          <w:rFonts w:cs="Arial"/>
          <w:color w:val="2E74B5" w:themeColor="accent1" w:themeShade="BF"/>
          <w:sz w:val="24"/>
          <w:szCs w:val="24"/>
        </w:rPr>
        <w:t>/02</w:t>
      </w:r>
      <w:r w:rsidR="003F605B" w:rsidRPr="006D7FAD">
        <w:rPr>
          <w:rFonts w:cs="Arial"/>
          <w:color w:val="2E74B5" w:themeColor="accent1" w:themeShade="BF"/>
          <w:sz w:val="24"/>
          <w:szCs w:val="24"/>
        </w:rPr>
        <w:t>/2020</w:t>
      </w:r>
      <w:r w:rsidR="000314A6" w:rsidRPr="006D7FAD">
        <w:rPr>
          <w:rFonts w:cs="Arial"/>
          <w:color w:val="2E74B5" w:themeColor="accent1" w:themeShade="BF"/>
          <w:sz w:val="24"/>
          <w:szCs w:val="24"/>
        </w:rPr>
        <w:t xml:space="preserve">, firmado por </w:t>
      </w:r>
      <w:r w:rsidR="0046646B" w:rsidRPr="006D7FAD">
        <w:rPr>
          <w:rFonts w:cs="Arial"/>
          <w:color w:val="2E74B5" w:themeColor="accent1" w:themeShade="BF"/>
          <w:sz w:val="24"/>
          <w:szCs w:val="24"/>
        </w:rPr>
        <w:t>el Coordinador de la Unidad de Transparencia</w:t>
      </w:r>
      <w:r w:rsidR="000314A6" w:rsidRPr="006D7FAD">
        <w:rPr>
          <w:rFonts w:cs="Arial"/>
          <w:color w:val="2E74B5" w:themeColor="accent1" w:themeShade="BF"/>
          <w:sz w:val="24"/>
          <w:szCs w:val="24"/>
        </w:rPr>
        <w:t xml:space="preserve"> del sujeto obligado</w:t>
      </w:r>
      <w:r w:rsidRPr="006D7FAD">
        <w:rPr>
          <w:rFonts w:cs="Arial"/>
          <w:color w:val="2E74B5" w:themeColor="accent1" w:themeShade="BF"/>
          <w:sz w:val="24"/>
          <w:szCs w:val="24"/>
        </w:rPr>
        <w:t>.</w:t>
      </w:r>
      <w:r w:rsidRPr="006D7FAD">
        <w:rPr>
          <w:rFonts w:cs="Arial"/>
          <w:b/>
          <w:color w:val="2E74B5" w:themeColor="accent1" w:themeShade="BF"/>
          <w:sz w:val="24"/>
          <w:szCs w:val="24"/>
        </w:rPr>
        <w:t xml:space="preserve"> </w:t>
      </w:r>
    </w:p>
    <w:p w:rsidR="00464CFF" w:rsidRPr="006D7FAD" w:rsidRDefault="00464CFF" w:rsidP="008934DD">
      <w:pPr>
        <w:pStyle w:val="corte4fondo"/>
        <w:numPr>
          <w:ilvl w:val="0"/>
          <w:numId w:val="4"/>
        </w:numPr>
        <w:spacing w:line="240" w:lineRule="auto"/>
        <w:rPr>
          <w:rFonts w:cs="Arial"/>
          <w:color w:val="2E74B5" w:themeColor="accent1" w:themeShade="BF"/>
          <w:sz w:val="24"/>
          <w:szCs w:val="24"/>
        </w:rPr>
      </w:pPr>
      <w:r w:rsidRPr="006D7FAD">
        <w:rPr>
          <w:rFonts w:cs="Arial"/>
          <w:color w:val="2E74B5" w:themeColor="accent1" w:themeShade="BF"/>
          <w:sz w:val="24"/>
          <w:szCs w:val="24"/>
        </w:rPr>
        <w:t xml:space="preserve">Por reconocida su personalidad. </w:t>
      </w:r>
    </w:p>
    <w:p w:rsidR="0046646B" w:rsidRPr="006D7FAD" w:rsidRDefault="0046646B" w:rsidP="008934DD">
      <w:pPr>
        <w:pStyle w:val="corte4fondo"/>
        <w:numPr>
          <w:ilvl w:val="0"/>
          <w:numId w:val="4"/>
        </w:numPr>
        <w:spacing w:line="240" w:lineRule="auto"/>
        <w:rPr>
          <w:rFonts w:cs="Arial"/>
          <w:color w:val="2E74B5" w:themeColor="accent1" w:themeShade="BF"/>
          <w:sz w:val="24"/>
          <w:szCs w:val="24"/>
        </w:rPr>
      </w:pPr>
      <w:r w:rsidRPr="006D7FAD">
        <w:rPr>
          <w:rFonts w:cs="Arial"/>
          <w:color w:val="2E74B5" w:themeColor="accent1" w:themeShade="BF"/>
          <w:sz w:val="24"/>
          <w:szCs w:val="24"/>
        </w:rPr>
        <w:t>Por expresados los argumentos relacionados con el presente asunto.</w:t>
      </w:r>
    </w:p>
    <w:p w:rsidR="0046646B" w:rsidRPr="006D7FAD" w:rsidRDefault="0046646B" w:rsidP="008934DD">
      <w:pPr>
        <w:pStyle w:val="corte4fondo"/>
        <w:numPr>
          <w:ilvl w:val="0"/>
          <w:numId w:val="4"/>
        </w:numPr>
        <w:spacing w:line="240" w:lineRule="auto"/>
        <w:rPr>
          <w:rFonts w:cs="Arial"/>
          <w:color w:val="2E74B5" w:themeColor="accent1" w:themeShade="BF"/>
          <w:sz w:val="24"/>
          <w:szCs w:val="24"/>
        </w:rPr>
      </w:pPr>
      <w:r w:rsidRPr="006D7FAD">
        <w:rPr>
          <w:rFonts w:cs="Arial"/>
          <w:color w:val="2E74B5" w:themeColor="accent1" w:themeShade="BF"/>
          <w:sz w:val="24"/>
          <w:szCs w:val="24"/>
        </w:rPr>
        <w:t>Por remitiendo pruebas documentales que acompañó a su oficio de cuenta.</w:t>
      </w:r>
    </w:p>
    <w:p w:rsidR="0046646B" w:rsidRPr="006D7FAD" w:rsidRDefault="0046646B" w:rsidP="008934DD">
      <w:pPr>
        <w:pStyle w:val="corte4fondo"/>
        <w:numPr>
          <w:ilvl w:val="0"/>
          <w:numId w:val="4"/>
        </w:numPr>
        <w:spacing w:line="240" w:lineRule="auto"/>
        <w:rPr>
          <w:rFonts w:cs="Arial"/>
          <w:color w:val="2E74B5" w:themeColor="accent1" w:themeShade="BF"/>
          <w:sz w:val="24"/>
          <w:szCs w:val="24"/>
        </w:rPr>
      </w:pPr>
      <w:r w:rsidRPr="006D7FAD">
        <w:rPr>
          <w:rFonts w:cs="Arial"/>
          <w:color w:val="2E74B5" w:themeColor="accent1" w:themeShade="BF"/>
          <w:sz w:val="24"/>
          <w:szCs w:val="24"/>
        </w:rPr>
        <w:t>Por señalando domicilio para oír y recibir notificaciones.</w:t>
      </w:r>
    </w:p>
    <w:p w:rsidR="0046646B" w:rsidRPr="006D7FAD" w:rsidRDefault="0046646B" w:rsidP="008934DD">
      <w:pPr>
        <w:pStyle w:val="corte4fondo"/>
        <w:spacing w:line="240" w:lineRule="auto"/>
        <w:rPr>
          <w:rFonts w:cs="Arial"/>
          <w:color w:val="2E74B5" w:themeColor="accent1" w:themeShade="BF"/>
          <w:sz w:val="24"/>
          <w:szCs w:val="24"/>
        </w:rPr>
      </w:pPr>
    </w:p>
    <w:p w:rsidR="00464CFF" w:rsidRPr="006D7FAD" w:rsidRDefault="00464CFF" w:rsidP="008934DD">
      <w:pPr>
        <w:pStyle w:val="corte4fondo"/>
        <w:tabs>
          <w:tab w:val="left" w:pos="0"/>
        </w:tabs>
        <w:spacing w:line="240" w:lineRule="auto"/>
        <w:ind w:firstLine="0"/>
        <w:rPr>
          <w:rFonts w:cs="Arial"/>
          <w:color w:val="2E74B5" w:themeColor="accent1" w:themeShade="BF"/>
          <w:sz w:val="24"/>
          <w:szCs w:val="24"/>
        </w:rPr>
      </w:pPr>
      <w:r w:rsidRPr="006D7FAD">
        <w:rPr>
          <w:rFonts w:cs="Arial"/>
          <w:color w:val="2E74B5" w:themeColor="accent1" w:themeShade="BF"/>
          <w:sz w:val="24"/>
          <w:szCs w:val="24"/>
        </w:rPr>
        <w:tab/>
        <w:t>Respecto de la parte recurrente, se advirtió que no compareció a realizar las manifestaciones que a su derecho conviniera – ofrecer pruebas y alegar.</w:t>
      </w:r>
    </w:p>
    <w:p w:rsidR="00464CFF" w:rsidRPr="006D7FAD" w:rsidRDefault="00464CFF" w:rsidP="008934DD">
      <w:pPr>
        <w:pStyle w:val="corte4fondo"/>
        <w:spacing w:line="240" w:lineRule="auto"/>
        <w:ind w:firstLine="0"/>
        <w:rPr>
          <w:rFonts w:cs="Arial"/>
          <w:color w:val="2E74B5" w:themeColor="accent1" w:themeShade="BF"/>
          <w:sz w:val="24"/>
          <w:szCs w:val="24"/>
        </w:rPr>
      </w:pPr>
      <w:r w:rsidRPr="006D7FAD">
        <w:rPr>
          <w:rFonts w:cs="Arial"/>
          <w:color w:val="2E74B5" w:themeColor="accent1" w:themeShade="BF"/>
          <w:sz w:val="24"/>
          <w:szCs w:val="24"/>
        </w:rPr>
        <w:tab/>
      </w:r>
    </w:p>
    <w:p w:rsidR="003F605B" w:rsidRPr="006D7FAD" w:rsidRDefault="003F605B" w:rsidP="008934DD">
      <w:pPr>
        <w:pStyle w:val="corte4fondo"/>
        <w:tabs>
          <w:tab w:val="left" w:pos="0"/>
        </w:tabs>
        <w:spacing w:line="240" w:lineRule="auto"/>
        <w:ind w:firstLine="0"/>
        <w:rPr>
          <w:rFonts w:cs="Arial"/>
          <w:color w:val="2E74B5" w:themeColor="accent1" w:themeShade="BF"/>
          <w:sz w:val="24"/>
          <w:szCs w:val="24"/>
        </w:rPr>
      </w:pPr>
      <w:r w:rsidRPr="006D7FAD">
        <w:rPr>
          <w:rFonts w:cs="Arial"/>
          <w:color w:val="2E74B5" w:themeColor="accent1" w:themeShade="BF"/>
          <w:sz w:val="24"/>
          <w:szCs w:val="24"/>
        </w:rPr>
        <w:t>Asimismo, dentro del mismo proveído, se decretó la ampliación del plazo para resolver el presente asunto</w:t>
      </w:r>
      <w:r w:rsidRPr="006D7FAD">
        <w:rPr>
          <w:rStyle w:val="Refdenotaalpie"/>
          <w:rFonts w:cs="Arial"/>
          <w:color w:val="2E74B5" w:themeColor="accent1" w:themeShade="BF"/>
          <w:sz w:val="24"/>
          <w:szCs w:val="24"/>
        </w:rPr>
        <w:footnoteReference w:id="3"/>
      </w:r>
      <w:r w:rsidRPr="006D7FAD">
        <w:rPr>
          <w:rFonts w:cs="Arial"/>
          <w:color w:val="2E74B5" w:themeColor="accent1" w:themeShade="BF"/>
          <w:sz w:val="24"/>
          <w:szCs w:val="24"/>
        </w:rPr>
        <w:t>.</w:t>
      </w:r>
    </w:p>
    <w:p w:rsidR="00797537" w:rsidRPr="006D7FAD" w:rsidRDefault="00797537" w:rsidP="008934DD">
      <w:pPr>
        <w:pStyle w:val="corte4fondo"/>
        <w:tabs>
          <w:tab w:val="left" w:pos="0"/>
        </w:tabs>
        <w:spacing w:line="240" w:lineRule="auto"/>
        <w:ind w:firstLine="0"/>
        <w:rPr>
          <w:rFonts w:cs="Arial"/>
          <w:color w:val="2E74B5" w:themeColor="accent1" w:themeShade="BF"/>
          <w:sz w:val="24"/>
          <w:szCs w:val="24"/>
        </w:rPr>
      </w:pPr>
    </w:p>
    <w:p w:rsidR="00797537" w:rsidRPr="006D7FAD" w:rsidRDefault="00797537" w:rsidP="008934DD">
      <w:pPr>
        <w:pStyle w:val="corte4fondo"/>
        <w:tabs>
          <w:tab w:val="left" w:pos="0"/>
        </w:tabs>
        <w:spacing w:line="240" w:lineRule="auto"/>
        <w:ind w:firstLine="0"/>
        <w:rPr>
          <w:rFonts w:cs="Arial"/>
          <w:color w:val="2E74B5" w:themeColor="accent1" w:themeShade="BF"/>
          <w:sz w:val="24"/>
          <w:szCs w:val="24"/>
        </w:rPr>
      </w:pPr>
      <w:r w:rsidRPr="006D7FAD">
        <w:rPr>
          <w:rFonts w:cs="Arial"/>
          <w:color w:val="2E74B5" w:themeColor="accent1" w:themeShade="BF"/>
          <w:sz w:val="24"/>
          <w:szCs w:val="24"/>
        </w:rPr>
        <w:tab/>
        <w:t>Finalmente,</w:t>
      </w:r>
      <w:r w:rsidR="005A517A" w:rsidRPr="006D7FAD">
        <w:rPr>
          <w:rFonts w:cs="Arial"/>
          <w:color w:val="2E74B5" w:themeColor="accent1" w:themeShade="BF"/>
          <w:sz w:val="24"/>
          <w:szCs w:val="24"/>
        </w:rPr>
        <w:t xml:space="preserve"> la ponente declaró cerrado el periodo de instrucción y procedió a elaborar el proyecto de resolución respectivo.</w:t>
      </w:r>
    </w:p>
    <w:p w:rsidR="00992C6A" w:rsidRPr="006D7FAD" w:rsidRDefault="00992C6A" w:rsidP="008934DD">
      <w:pPr>
        <w:pStyle w:val="corte4fondo"/>
        <w:spacing w:line="240" w:lineRule="auto"/>
        <w:rPr>
          <w:rFonts w:cs="Arial"/>
          <w:b/>
          <w:color w:val="2E74B5" w:themeColor="accent1" w:themeShade="BF"/>
          <w:sz w:val="24"/>
          <w:szCs w:val="24"/>
        </w:rPr>
      </w:pPr>
    </w:p>
    <w:p w:rsidR="00464CFF" w:rsidRPr="006D7FAD" w:rsidRDefault="00464CFF" w:rsidP="008934DD">
      <w:pPr>
        <w:pStyle w:val="corte4fondo"/>
        <w:spacing w:line="240" w:lineRule="auto"/>
        <w:jc w:val="center"/>
        <w:rPr>
          <w:rFonts w:cs="Arial"/>
          <w:b/>
          <w:color w:val="2E74B5" w:themeColor="accent1" w:themeShade="BF"/>
          <w:sz w:val="24"/>
          <w:szCs w:val="24"/>
        </w:rPr>
      </w:pPr>
      <w:r w:rsidRPr="006D7FAD">
        <w:rPr>
          <w:rFonts w:cs="Arial"/>
          <w:b/>
          <w:color w:val="2E74B5" w:themeColor="accent1" w:themeShade="BF"/>
          <w:sz w:val="24"/>
          <w:szCs w:val="24"/>
        </w:rPr>
        <w:t>CONSIDERANDO</w:t>
      </w:r>
    </w:p>
    <w:p w:rsidR="00464CFF" w:rsidRPr="006D7FAD" w:rsidRDefault="00464CFF" w:rsidP="008934DD">
      <w:pPr>
        <w:pStyle w:val="corte4fondo"/>
        <w:spacing w:line="240" w:lineRule="auto"/>
        <w:jc w:val="center"/>
        <w:rPr>
          <w:rFonts w:cs="Arial"/>
          <w:b/>
          <w:color w:val="2E74B5" w:themeColor="accent1" w:themeShade="BF"/>
          <w:sz w:val="24"/>
          <w:szCs w:val="24"/>
        </w:rPr>
      </w:pPr>
    </w:p>
    <w:p w:rsidR="00464CFF" w:rsidRPr="006D7FAD" w:rsidRDefault="00464CFF" w:rsidP="008934DD">
      <w:pPr>
        <w:pStyle w:val="corte4fondo"/>
        <w:spacing w:line="240" w:lineRule="auto"/>
        <w:rPr>
          <w:rFonts w:cs="Arial"/>
          <w:color w:val="2E74B5" w:themeColor="accent1" w:themeShade="BF"/>
          <w:sz w:val="24"/>
          <w:szCs w:val="24"/>
        </w:rPr>
      </w:pPr>
      <w:r w:rsidRPr="006D7FAD">
        <w:rPr>
          <w:rFonts w:cs="Arial"/>
          <w:b/>
          <w:color w:val="2E74B5" w:themeColor="accent1" w:themeShade="BF"/>
          <w:sz w:val="24"/>
          <w:szCs w:val="24"/>
        </w:rPr>
        <w:t xml:space="preserve">PRIMERO. Competencia. </w:t>
      </w:r>
      <w:r w:rsidRPr="006D7FAD">
        <w:rPr>
          <w:rFonts w:cs="Arial"/>
          <w:color w:val="2E74B5" w:themeColor="accent1" w:themeShade="BF"/>
          <w:sz w:val="24"/>
          <w:szCs w:val="24"/>
        </w:rPr>
        <w:t xml:space="preserve">Esta Comisión Estatal de Garantía de Acceso a la Información Pública es competente para conocer del presente asunto, de </w:t>
      </w:r>
      <w:r w:rsidRPr="006D7FAD">
        <w:rPr>
          <w:rFonts w:cs="Arial"/>
          <w:color w:val="2E74B5" w:themeColor="accent1" w:themeShade="BF"/>
          <w:sz w:val="24"/>
          <w:szCs w:val="24"/>
        </w:rPr>
        <w:lastRenderedPageBreak/>
        <w:t xml:space="preserve">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464CFF" w:rsidRPr="006D7FAD" w:rsidRDefault="00464CFF" w:rsidP="008934DD">
      <w:pPr>
        <w:pStyle w:val="corte4fondo"/>
        <w:spacing w:line="240" w:lineRule="auto"/>
        <w:rPr>
          <w:rFonts w:cs="Arial"/>
          <w:color w:val="2E74B5" w:themeColor="accent1" w:themeShade="BF"/>
          <w:sz w:val="24"/>
          <w:szCs w:val="24"/>
        </w:rPr>
      </w:pPr>
    </w:p>
    <w:p w:rsidR="00464CFF" w:rsidRPr="006D7FAD" w:rsidRDefault="00464CFF" w:rsidP="008934DD">
      <w:pPr>
        <w:pStyle w:val="corte4fondo"/>
        <w:spacing w:line="240" w:lineRule="auto"/>
        <w:rPr>
          <w:rFonts w:cs="Arial"/>
          <w:color w:val="2E74B5" w:themeColor="accent1" w:themeShade="BF"/>
          <w:sz w:val="24"/>
          <w:szCs w:val="24"/>
        </w:rPr>
      </w:pPr>
      <w:r w:rsidRPr="006D7FAD">
        <w:rPr>
          <w:rFonts w:cs="Arial"/>
          <w:b/>
          <w:color w:val="2E74B5" w:themeColor="accent1" w:themeShade="BF"/>
          <w:sz w:val="24"/>
          <w:szCs w:val="24"/>
        </w:rPr>
        <w:t xml:space="preserve">SEGUNDO. Procedencia. </w:t>
      </w:r>
      <w:r w:rsidRPr="006D7FAD">
        <w:rPr>
          <w:rFonts w:cs="Arial"/>
          <w:color w:val="2E74B5" w:themeColor="accent1" w:themeShade="BF"/>
          <w:sz w:val="24"/>
          <w:szCs w:val="24"/>
        </w:rPr>
        <w:t xml:space="preserve">El presente recurso de revisión es procedente en términos del artículo 166 de la Ley de Transparencia y Acceso a la Información Pública del Estado ya que la recurrente se inconforma por la respuesta a su solicitud de acceso a la información pública. </w:t>
      </w:r>
    </w:p>
    <w:p w:rsidR="00464CFF" w:rsidRPr="006D7FAD" w:rsidRDefault="00464CFF" w:rsidP="008934DD">
      <w:pPr>
        <w:pStyle w:val="corte4fondo"/>
        <w:spacing w:line="240" w:lineRule="auto"/>
        <w:rPr>
          <w:rFonts w:cs="Arial"/>
          <w:color w:val="2E74B5" w:themeColor="accent1" w:themeShade="BF"/>
          <w:sz w:val="24"/>
          <w:szCs w:val="24"/>
        </w:rPr>
      </w:pPr>
    </w:p>
    <w:p w:rsidR="00464CFF" w:rsidRPr="006D7FAD" w:rsidRDefault="00464CFF" w:rsidP="008934DD">
      <w:pPr>
        <w:pStyle w:val="corte4fondo"/>
        <w:spacing w:line="240" w:lineRule="auto"/>
        <w:rPr>
          <w:rFonts w:cs="Arial"/>
          <w:color w:val="2E74B5" w:themeColor="accent1" w:themeShade="BF"/>
          <w:sz w:val="24"/>
          <w:szCs w:val="24"/>
        </w:rPr>
      </w:pPr>
      <w:r w:rsidRPr="006D7FAD">
        <w:rPr>
          <w:rFonts w:cs="Arial"/>
          <w:b/>
          <w:color w:val="2E74B5" w:themeColor="accent1" w:themeShade="BF"/>
          <w:sz w:val="24"/>
          <w:szCs w:val="24"/>
        </w:rPr>
        <w:t>TERCERO. Oportunidad del recurso</w:t>
      </w:r>
      <w:r w:rsidRPr="006D7FAD">
        <w:rPr>
          <w:rFonts w:cs="Arial"/>
          <w:color w:val="2E74B5" w:themeColor="accent1" w:themeShade="BF"/>
          <w:sz w:val="24"/>
          <w:szCs w:val="24"/>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464CFF" w:rsidRPr="006D7FAD" w:rsidRDefault="00464CFF" w:rsidP="008934DD">
      <w:pPr>
        <w:pStyle w:val="corte4fondo"/>
        <w:spacing w:line="240" w:lineRule="auto"/>
        <w:rPr>
          <w:rFonts w:cs="Arial"/>
          <w:color w:val="2E74B5" w:themeColor="accent1" w:themeShade="BF"/>
          <w:sz w:val="24"/>
          <w:szCs w:val="24"/>
        </w:rPr>
      </w:pPr>
    </w:p>
    <w:p w:rsidR="00464CFF" w:rsidRPr="006D7FAD" w:rsidRDefault="00464CFF" w:rsidP="008934DD">
      <w:pPr>
        <w:numPr>
          <w:ilvl w:val="0"/>
          <w:numId w:val="3"/>
        </w:numPr>
        <w:spacing w:after="0" w:line="240" w:lineRule="auto"/>
        <w:jc w:val="both"/>
        <w:rPr>
          <w:rFonts w:ascii="Arial" w:eastAsia="Times New Roman" w:hAnsi="Arial" w:cs="Arial"/>
          <w:color w:val="2E74B5" w:themeColor="accent1" w:themeShade="BF"/>
          <w:sz w:val="24"/>
          <w:szCs w:val="24"/>
          <w:lang w:eastAsia="es-MX"/>
        </w:rPr>
      </w:pPr>
      <w:r w:rsidRPr="006D7FAD">
        <w:rPr>
          <w:rFonts w:ascii="Arial" w:eastAsia="Times New Roman" w:hAnsi="Arial" w:cs="Arial"/>
          <w:color w:val="2E74B5" w:themeColor="accent1" w:themeShade="BF"/>
          <w:sz w:val="24"/>
          <w:szCs w:val="24"/>
          <w:lang w:eastAsia="es-MX"/>
        </w:rPr>
        <w:t xml:space="preserve">El </w:t>
      </w:r>
      <w:r w:rsidR="00012C6D" w:rsidRPr="006D7FAD">
        <w:rPr>
          <w:rFonts w:ascii="Arial" w:eastAsia="Times New Roman" w:hAnsi="Arial" w:cs="Arial"/>
          <w:color w:val="2E74B5" w:themeColor="accent1" w:themeShade="BF"/>
          <w:sz w:val="24"/>
          <w:szCs w:val="24"/>
          <w:lang w:eastAsia="es-MX"/>
        </w:rPr>
        <w:t xml:space="preserve">12 doce </w:t>
      </w:r>
      <w:r w:rsidR="00D63F82" w:rsidRPr="006D7FAD">
        <w:rPr>
          <w:rFonts w:ascii="Arial" w:eastAsia="Times New Roman" w:hAnsi="Arial" w:cs="Arial"/>
          <w:color w:val="2E74B5" w:themeColor="accent1" w:themeShade="BF"/>
          <w:sz w:val="24"/>
          <w:szCs w:val="24"/>
          <w:lang w:eastAsia="es-MX"/>
        </w:rPr>
        <w:t xml:space="preserve">de noviembre </w:t>
      </w:r>
      <w:r w:rsidR="005C5E20" w:rsidRPr="006D7FAD">
        <w:rPr>
          <w:rFonts w:ascii="Arial" w:eastAsia="Times New Roman" w:hAnsi="Arial" w:cs="Arial"/>
          <w:color w:val="2E74B5" w:themeColor="accent1" w:themeShade="BF"/>
          <w:sz w:val="24"/>
          <w:szCs w:val="24"/>
          <w:lang w:eastAsia="es-MX"/>
        </w:rPr>
        <w:t>de 2019 dos mil diecinueve el</w:t>
      </w:r>
      <w:r w:rsidRPr="006D7FAD">
        <w:rPr>
          <w:rFonts w:ascii="Arial" w:eastAsia="Times New Roman" w:hAnsi="Arial" w:cs="Arial"/>
          <w:color w:val="2E74B5" w:themeColor="accent1" w:themeShade="BF"/>
          <w:sz w:val="24"/>
          <w:szCs w:val="24"/>
          <w:lang w:eastAsia="es-MX"/>
        </w:rPr>
        <w:t xml:space="preserve"> solicitante de la información fue notificado de la respuesta a su solicitud.</w:t>
      </w:r>
    </w:p>
    <w:p w:rsidR="00464CFF" w:rsidRPr="006D7FAD" w:rsidRDefault="00464CFF" w:rsidP="008934DD">
      <w:pPr>
        <w:numPr>
          <w:ilvl w:val="0"/>
          <w:numId w:val="3"/>
        </w:numPr>
        <w:spacing w:after="0" w:line="240" w:lineRule="auto"/>
        <w:jc w:val="both"/>
        <w:rPr>
          <w:rFonts w:ascii="Arial" w:eastAsia="Times New Roman" w:hAnsi="Arial" w:cs="Arial"/>
          <w:color w:val="2E74B5" w:themeColor="accent1" w:themeShade="BF"/>
          <w:sz w:val="24"/>
          <w:szCs w:val="24"/>
          <w:lang w:eastAsia="es-MX"/>
        </w:rPr>
      </w:pPr>
      <w:r w:rsidRPr="006D7FAD">
        <w:rPr>
          <w:rFonts w:ascii="Arial" w:eastAsia="Times New Roman" w:hAnsi="Arial" w:cs="Arial"/>
          <w:color w:val="2E74B5" w:themeColor="accent1" w:themeShade="BF"/>
          <w:sz w:val="24"/>
          <w:szCs w:val="24"/>
          <w:lang w:eastAsia="es-MX"/>
        </w:rPr>
        <w:t>Por lo tanto, el plazo de los quince días hábiles para interponer el recurso de revisión transcurrió del día</w:t>
      </w:r>
      <w:r w:rsidR="005C5E20" w:rsidRPr="006D7FAD">
        <w:rPr>
          <w:rFonts w:ascii="Arial" w:eastAsia="Times New Roman" w:hAnsi="Arial" w:cs="Arial"/>
          <w:color w:val="2E74B5" w:themeColor="accent1" w:themeShade="BF"/>
          <w:sz w:val="24"/>
          <w:szCs w:val="24"/>
          <w:lang w:eastAsia="es-MX"/>
        </w:rPr>
        <w:t xml:space="preserve"> </w:t>
      </w:r>
      <w:r w:rsidR="00012C6D" w:rsidRPr="006D7FAD">
        <w:rPr>
          <w:rFonts w:ascii="Arial" w:eastAsia="Times New Roman" w:hAnsi="Arial" w:cs="Arial"/>
          <w:color w:val="2E74B5" w:themeColor="accent1" w:themeShade="BF"/>
          <w:sz w:val="24"/>
          <w:szCs w:val="24"/>
          <w:lang w:eastAsia="es-MX"/>
        </w:rPr>
        <w:t>13 trece</w:t>
      </w:r>
      <w:r w:rsidR="00C0114C" w:rsidRPr="006D7FAD">
        <w:rPr>
          <w:rFonts w:ascii="Arial" w:eastAsia="Times New Roman" w:hAnsi="Arial" w:cs="Arial"/>
          <w:color w:val="2E74B5" w:themeColor="accent1" w:themeShade="BF"/>
          <w:sz w:val="24"/>
          <w:szCs w:val="24"/>
          <w:lang w:eastAsia="es-MX"/>
        </w:rPr>
        <w:t xml:space="preserve"> </w:t>
      </w:r>
      <w:r w:rsidR="00D63F82" w:rsidRPr="006D7FAD">
        <w:rPr>
          <w:rFonts w:ascii="Arial" w:eastAsia="Times New Roman" w:hAnsi="Arial" w:cs="Arial"/>
          <w:color w:val="2E74B5" w:themeColor="accent1" w:themeShade="BF"/>
          <w:sz w:val="24"/>
          <w:szCs w:val="24"/>
          <w:lang w:eastAsia="es-MX"/>
        </w:rPr>
        <w:t xml:space="preserve">de </w:t>
      </w:r>
      <w:r w:rsidR="003F605B" w:rsidRPr="006D7FAD">
        <w:rPr>
          <w:rFonts w:ascii="Arial" w:eastAsia="Times New Roman" w:hAnsi="Arial" w:cs="Arial"/>
          <w:color w:val="2E74B5" w:themeColor="accent1" w:themeShade="BF"/>
          <w:sz w:val="24"/>
          <w:szCs w:val="24"/>
          <w:lang w:eastAsia="es-MX"/>
        </w:rPr>
        <w:t>noviembre</w:t>
      </w:r>
      <w:r w:rsidR="00012C6D" w:rsidRPr="006D7FAD">
        <w:rPr>
          <w:rFonts w:ascii="Arial" w:eastAsia="Times New Roman" w:hAnsi="Arial" w:cs="Arial"/>
          <w:color w:val="2E74B5" w:themeColor="accent1" w:themeShade="BF"/>
          <w:sz w:val="24"/>
          <w:szCs w:val="24"/>
          <w:lang w:eastAsia="es-MX"/>
        </w:rPr>
        <w:t xml:space="preserve"> al </w:t>
      </w:r>
      <w:r w:rsidR="00057A8F" w:rsidRPr="006D7FAD">
        <w:rPr>
          <w:rFonts w:ascii="Arial" w:eastAsia="Times New Roman" w:hAnsi="Arial" w:cs="Arial"/>
          <w:color w:val="2E74B5" w:themeColor="accent1" w:themeShade="BF"/>
          <w:sz w:val="24"/>
          <w:szCs w:val="24"/>
          <w:lang w:eastAsia="es-MX"/>
        </w:rPr>
        <w:t>04 cuatro</w:t>
      </w:r>
      <w:r w:rsidR="00012C6D" w:rsidRPr="006D7FAD">
        <w:rPr>
          <w:rFonts w:ascii="Arial" w:eastAsia="Times New Roman" w:hAnsi="Arial" w:cs="Arial"/>
          <w:color w:val="2E74B5" w:themeColor="accent1" w:themeShade="BF"/>
          <w:sz w:val="24"/>
          <w:szCs w:val="24"/>
          <w:lang w:eastAsia="es-MX"/>
        </w:rPr>
        <w:t xml:space="preserve"> de diciembre</w:t>
      </w:r>
      <w:r w:rsidR="00A624A2" w:rsidRPr="006D7FAD">
        <w:rPr>
          <w:rFonts w:ascii="Arial" w:eastAsia="Times New Roman" w:hAnsi="Arial" w:cs="Arial"/>
          <w:color w:val="2E74B5" w:themeColor="accent1" w:themeShade="BF"/>
          <w:sz w:val="24"/>
          <w:szCs w:val="24"/>
          <w:lang w:eastAsia="es-MX"/>
        </w:rPr>
        <w:t xml:space="preserve"> </w:t>
      </w:r>
      <w:r w:rsidR="00767CFB" w:rsidRPr="006D7FAD">
        <w:rPr>
          <w:rFonts w:ascii="Arial" w:eastAsia="Times New Roman" w:hAnsi="Arial" w:cs="Arial"/>
          <w:color w:val="2E74B5" w:themeColor="accent1" w:themeShade="BF"/>
          <w:sz w:val="24"/>
          <w:szCs w:val="24"/>
          <w:lang w:eastAsia="es-MX"/>
        </w:rPr>
        <w:t xml:space="preserve">del </w:t>
      </w:r>
      <w:r w:rsidR="00797537" w:rsidRPr="006D7FAD">
        <w:rPr>
          <w:rFonts w:ascii="Arial" w:eastAsia="Times New Roman" w:hAnsi="Arial" w:cs="Arial"/>
          <w:color w:val="2E74B5" w:themeColor="accent1" w:themeShade="BF"/>
          <w:sz w:val="24"/>
          <w:szCs w:val="24"/>
          <w:lang w:eastAsia="es-MX"/>
        </w:rPr>
        <w:t>referido año</w:t>
      </w:r>
      <w:r w:rsidRPr="006D7FAD">
        <w:rPr>
          <w:rFonts w:ascii="Arial" w:eastAsia="Times New Roman" w:hAnsi="Arial" w:cs="Arial"/>
          <w:color w:val="2E74B5" w:themeColor="accent1" w:themeShade="BF"/>
          <w:sz w:val="24"/>
          <w:szCs w:val="24"/>
          <w:lang w:eastAsia="es-MX"/>
        </w:rPr>
        <w:t xml:space="preserve">. </w:t>
      </w:r>
    </w:p>
    <w:p w:rsidR="00464CFF" w:rsidRPr="006D7FAD" w:rsidRDefault="00464CFF" w:rsidP="008934DD">
      <w:pPr>
        <w:numPr>
          <w:ilvl w:val="0"/>
          <w:numId w:val="3"/>
        </w:numPr>
        <w:spacing w:after="0" w:line="240" w:lineRule="auto"/>
        <w:jc w:val="both"/>
        <w:rPr>
          <w:rFonts w:ascii="Arial" w:hAnsi="Arial" w:cs="Arial"/>
          <w:color w:val="2E74B5" w:themeColor="accent1" w:themeShade="BF"/>
          <w:sz w:val="24"/>
          <w:szCs w:val="24"/>
        </w:rPr>
      </w:pPr>
      <w:r w:rsidRPr="006D7FAD">
        <w:rPr>
          <w:rFonts w:ascii="Arial" w:eastAsia="Times New Roman" w:hAnsi="Arial" w:cs="Arial"/>
          <w:color w:val="2E74B5" w:themeColor="accent1" w:themeShade="BF"/>
          <w:sz w:val="24"/>
          <w:szCs w:val="24"/>
          <w:lang w:eastAsia="es-MX"/>
        </w:rPr>
        <w:t xml:space="preserve">Se deben de descontar de dicho cómputo por ser inhábiles los </w:t>
      </w:r>
      <w:r w:rsidR="003F605B" w:rsidRPr="006D7FAD">
        <w:rPr>
          <w:rFonts w:ascii="Arial" w:eastAsia="Times New Roman" w:hAnsi="Arial" w:cs="Arial"/>
          <w:color w:val="2E74B5" w:themeColor="accent1" w:themeShade="BF"/>
          <w:sz w:val="24"/>
          <w:szCs w:val="24"/>
          <w:lang w:eastAsia="es-MX"/>
        </w:rPr>
        <w:t xml:space="preserve">días </w:t>
      </w:r>
      <w:r w:rsidR="005A517A" w:rsidRPr="006D7FAD">
        <w:rPr>
          <w:rFonts w:ascii="Arial" w:eastAsia="Times New Roman" w:hAnsi="Arial" w:cs="Arial"/>
          <w:color w:val="2E74B5" w:themeColor="accent1" w:themeShade="BF"/>
          <w:sz w:val="24"/>
          <w:szCs w:val="24"/>
          <w:lang w:eastAsia="es-MX"/>
        </w:rPr>
        <w:t xml:space="preserve"> </w:t>
      </w:r>
      <w:r w:rsidR="00D63F82" w:rsidRPr="006D7FAD">
        <w:rPr>
          <w:rFonts w:ascii="Arial" w:eastAsia="Times New Roman" w:hAnsi="Arial" w:cs="Arial"/>
          <w:color w:val="2E74B5" w:themeColor="accent1" w:themeShade="BF"/>
          <w:sz w:val="24"/>
          <w:szCs w:val="24"/>
          <w:lang w:eastAsia="es-MX"/>
        </w:rPr>
        <w:t xml:space="preserve"> 16 dieciséis</w:t>
      </w:r>
      <w:r w:rsidR="00A624A2" w:rsidRPr="006D7FAD">
        <w:rPr>
          <w:rFonts w:ascii="Arial" w:eastAsia="Times New Roman" w:hAnsi="Arial" w:cs="Arial"/>
          <w:color w:val="2E74B5" w:themeColor="accent1" w:themeShade="BF"/>
          <w:sz w:val="24"/>
          <w:szCs w:val="24"/>
          <w:lang w:eastAsia="es-MX"/>
        </w:rPr>
        <w:t xml:space="preserve">, 17 diecisiete, </w:t>
      </w:r>
      <w:r w:rsidR="00D63F82" w:rsidRPr="006D7FAD">
        <w:rPr>
          <w:rFonts w:ascii="Arial" w:eastAsia="Times New Roman" w:hAnsi="Arial" w:cs="Arial"/>
          <w:color w:val="2E74B5" w:themeColor="accent1" w:themeShade="BF"/>
          <w:sz w:val="24"/>
          <w:szCs w:val="24"/>
          <w:lang w:eastAsia="es-MX"/>
        </w:rPr>
        <w:t>18 dieciocho</w:t>
      </w:r>
      <w:r w:rsidR="00012C6D" w:rsidRPr="006D7FAD">
        <w:rPr>
          <w:rFonts w:ascii="Arial" w:eastAsia="Times New Roman" w:hAnsi="Arial" w:cs="Arial"/>
          <w:color w:val="2E74B5" w:themeColor="accent1" w:themeShade="BF"/>
          <w:sz w:val="24"/>
          <w:szCs w:val="24"/>
          <w:lang w:eastAsia="es-MX"/>
        </w:rPr>
        <w:t>, 23 veintitrés,</w:t>
      </w:r>
      <w:r w:rsidR="00A624A2" w:rsidRPr="006D7FAD">
        <w:rPr>
          <w:rFonts w:ascii="Arial" w:eastAsia="Times New Roman" w:hAnsi="Arial" w:cs="Arial"/>
          <w:color w:val="2E74B5" w:themeColor="accent1" w:themeShade="BF"/>
          <w:sz w:val="24"/>
          <w:szCs w:val="24"/>
          <w:lang w:eastAsia="es-MX"/>
        </w:rPr>
        <w:t xml:space="preserve"> 24 veinticuatro, </w:t>
      </w:r>
      <w:r w:rsidR="00012C6D" w:rsidRPr="006D7FAD">
        <w:rPr>
          <w:rFonts w:ascii="Arial" w:eastAsia="Times New Roman" w:hAnsi="Arial" w:cs="Arial"/>
          <w:color w:val="2E74B5" w:themeColor="accent1" w:themeShade="BF"/>
          <w:sz w:val="24"/>
          <w:szCs w:val="24"/>
          <w:lang w:eastAsia="es-MX"/>
        </w:rPr>
        <w:t xml:space="preserve">30 treinta </w:t>
      </w:r>
      <w:r w:rsidR="003F605B" w:rsidRPr="006D7FAD">
        <w:rPr>
          <w:rFonts w:ascii="Arial" w:eastAsia="Times New Roman" w:hAnsi="Arial" w:cs="Arial"/>
          <w:color w:val="2E74B5" w:themeColor="accent1" w:themeShade="BF"/>
          <w:sz w:val="24"/>
          <w:szCs w:val="24"/>
          <w:lang w:eastAsia="es-MX"/>
        </w:rPr>
        <w:t>de noviembre</w:t>
      </w:r>
      <w:r w:rsidR="00012C6D" w:rsidRPr="006D7FAD">
        <w:rPr>
          <w:rFonts w:ascii="Arial" w:eastAsia="Times New Roman" w:hAnsi="Arial" w:cs="Arial"/>
          <w:color w:val="2E74B5" w:themeColor="accent1" w:themeShade="BF"/>
          <w:sz w:val="24"/>
          <w:szCs w:val="24"/>
          <w:lang w:eastAsia="es-MX"/>
        </w:rPr>
        <w:t xml:space="preserve">, 01 uno de diciembre </w:t>
      </w:r>
      <w:r w:rsidR="008E5710" w:rsidRPr="006D7FAD">
        <w:rPr>
          <w:rFonts w:ascii="Arial" w:eastAsia="Times New Roman" w:hAnsi="Arial" w:cs="Arial"/>
          <w:color w:val="2E74B5" w:themeColor="accent1" w:themeShade="BF"/>
          <w:sz w:val="24"/>
          <w:szCs w:val="24"/>
          <w:lang w:eastAsia="es-MX"/>
        </w:rPr>
        <w:t>de</w:t>
      </w:r>
      <w:r w:rsidR="00797537" w:rsidRPr="006D7FAD">
        <w:rPr>
          <w:rFonts w:ascii="Arial" w:eastAsia="Times New Roman" w:hAnsi="Arial" w:cs="Arial"/>
          <w:color w:val="2E74B5" w:themeColor="accent1" w:themeShade="BF"/>
          <w:sz w:val="24"/>
          <w:szCs w:val="24"/>
          <w:lang w:eastAsia="es-MX"/>
        </w:rPr>
        <w:t xml:space="preserve"> </w:t>
      </w:r>
      <w:r w:rsidR="005C5E20" w:rsidRPr="006D7FAD">
        <w:rPr>
          <w:rFonts w:ascii="Arial" w:eastAsia="Times New Roman" w:hAnsi="Arial" w:cs="Arial"/>
          <w:color w:val="2E74B5" w:themeColor="accent1" w:themeShade="BF"/>
          <w:sz w:val="24"/>
          <w:szCs w:val="24"/>
          <w:lang w:eastAsia="es-MX"/>
        </w:rPr>
        <w:t>2019 dos mil diecinueve.</w:t>
      </w:r>
      <w:r w:rsidRPr="006D7FAD">
        <w:rPr>
          <w:rFonts w:ascii="Arial" w:eastAsia="Times New Roman" w:hAnsi="Arial" w:cs="Arial"/>
          <w:color w:val="2E74B5" w:themeColor="accent1" w:themeShade="BF"/>
          <w:sz w:val="24"/>
          <w:szCs w:val="24"/>
          <w:lang w:eastAsia="es-MX"/>
        </w:rPr>
        <w:t xml:space="preserve">  </w:t>
      </w:r>
    </w:p>
    <w:p w:rsidR="00464CFF" w:rsidRPr="006D7FAD" w:rsidRDefault="00A624A2" w:rsidP="008934DD">
      <w:pPr>
        <w:numPr>
          <w:ilvl w:val="0"/>
          <w:numId w:val="3"/>
        </w:numPr>
        <w:spacing w:after="0" w:line="240" w:lineRule="auto"/>
        <w:jc w:val="both"/>
        <w:rPr>
          <w:rFonts w:ascii="Arial" w:eastAsia="Times New Roman" w:hAnsi="Arial" w:cs="Arial"/>
          <w:color w:val="2E74B5" w:themeColor="accent1" w:themeShade="BF"/>
          <w:sz w:val="24"/>
          <w:szCs w:val="24"/>
          <w:lang w:eastAsia="es-MX"/>
        </w:rPr>
      </w:pPr>
      <w:r w:rsidRPr="006D7FAD">
        <w:rPr>
          <w:rFonts w:ascii="Arial" w:eastAsia="Times New Roman" w:hAnsi="Arial" w:cs="Arial"/>
          <w:color w:val="2E74B5" w:themeColor="accent1" w:themeShade="BF"/>
          <w:sz w:val="24"/>
          <w:szCs w:val="24"/>
          <w:lang w:eastAsia="es-MX"/>
        </w:rPr>
        <w:t xml:space="preserve">Consecuentemente si el </w:t>
      </w:r>
      <w:r w:rsidR="00617679" w:rsidRPr="006D7FAD">
        <w:rPr>
          <w:rFonts w:ascii="Arial" w:eastAsia="Times New Roman" w:hAnsi="Arial" w:cs="Arial"/>
          <w:color w:val="2E74B5" w:themeColor="accent1" w:themeShade="BF"/>
          <w:sz w:val="24"/>
          <w:szCs w:val="24"/>
          <w:lang w:eastAsia="es-MX"/>
        </w:rPr>
        <w:t xml:space="preserve">02 dos de diciembre </w:t>
      </w:r>
      <w:r w:rsidR="00797537" w:rsidRPr="006D7FAD">
        <w:rPr>
          <w:rFonts w:ascii="Arial" w:eastAsia="Times New Roman" w:hAnsi="Arial" w:cs="Arial"/>
          <w:color w:val="2E74B5" w:themeColor="accent1" w:themeShade="BF"/>
          <w:sz w:val="24"/>
          <w:szCs w:val="24"/>
          <w:lang w:eastAsia="es-MX"/>
        </w:rPr>
        <w:t xml:space="preserve">de 2019 dos mil diecinueve </w:t>
      </w:r>
      <w:r w:rsidR="00464CFF" w:rsidRPr="006D7FAD">
        <w:rPr>
          <w:rFonts w:ascii="Arial" w:eastAsia="Times New Roman" w:hAnsi="Arial" w:cs="Arial"/>
          <w:color w:val="2E74B5" w:themeColor="accent1" w:themeShade="BF"/>
          <w:sz w:val="24"/>
          <w:szCs w:val="24"/>
          <w:lang w:eastAsia="es-MX"/>
        </w:rPr>
        <w:t>el recurrente interpuso el citado medio de impugnación ante esta Comisión de Transparencia y ante la Oficialía de Partes</w:t>
      </w:r>
      <w:r w:rsidR="005C5E20" w:rsidRPr="006D7FAD">
        <w:rPr>
          <w:rFonts w:ascii="Arial" w:eastAsia="Times New Roman" w:hAnsi="Arial" w:cs="Arial"/>
          <w:color w:val="2E74B5" w:themeColor="accent1" w:themeShade="BF"/>
          <w:sz w:val="24"/>
          <w:szCs w:val="24"/>
          <w:lang w:eastAsia="es-MX"/>
        </w:rPr>
        <w:t xml:space="preserve"> en</w:t>
      </w:r>
      <w:r w:rsidR="009C6C05" w:rsidRPr="006D7FAD">
        <w:rPr>
          <w:rFonts w:ascii="Arial" w:eastAsia="Times New Roman" w:hAnsi="Arial" w:cs="Arial"/>
          <w:color w:val="2E74B5" w:themeColor="accent1" w:themeShade="BF"/>
          <w:sz w:val="24"/>
          <w:szCs w:val="24"/>
          <w:lang w:eastAsia="es-MX"/>
        </w:rPr>
        <w:t xml:space="preserve"> </w:t>
      </w:r>
      <w:r w:rsidR="00617679" w:rsidRPr="006D7FAD">
        <w:rPr>
          <w:rFonts w:ascii="Arial" w:eastAsia="Times New Roman" w:hAnsi="Arial" w:cs="Arial"/>
          <w:color w:val="2E74B5" w:themeColor="accent1" w:themeShade="BF"/>
          <w:sz w:val="24"/>
          <w:szCs w:val="24"/>
          <w:lang w:eastAsia="es-MX"/>
        </w:rPr>
        <w:t>el mismo día</w:t>
      </w:r>
      <w:r w:rsidR="00464CFF" w:rsidRPr="006D7FAD">
        <w:rPr>
          <w:rFonts w:ascii="Arial" w:eastAsia="Times New Roman" w:hAnsi="Arial" w:cs="Arial"/>
          <w:color w:val="2E74B5" w:themeColor="accent1" w:themeShade="BF"/>
          <w:sz w:val="24"/>
          <w:szCs w:val="24"/>
          <w:lang w:eastAsia="es-MX"/>
        </w:rPr>
        <w:t xml:space="preserve">, resulta claro que es oportuna su presentación.  </w:t>
      </w:r>
    </w:p>
    <w:p w:rsidR="00464CFF" w:rsidRPr="006D7FAD" w:rsidRDefault="00464CFF" w:rsidP="008934DD">
      <w:pPr>
        <w:spacing w:after="0" w:line="240" w:lineRule="auto"/>
        <w:ind w:left="1429"/>
        <w:jc w:val="both"/>
        <w:rPr>
          <w:rFonts w:ascii="Arial" w:eastAsia="Times New Roman" w:hAnsi="Arial" w:cs="Arial"/>
          <w:color w:val="2E74B5" w:themeColor="accent1" w:themeShade="BF"/>
          <w:sz w:val="24"/>
          <w:szCs w:val="24"/>
          <w:lang w:eastAsia="es-MX"/>
        </w:rPr>
      </w:pPr>
    </w:p>
    <w:p w:rsidR="00857F0B" w:rsidRPr="006D7FAD" w:rsidRDefault="00464CFF" w:rsidP="008934DD">
      <w:pPr>
        <w:pStyle w:val="corte4fondo"/>
        <w:spacing w:line="240" w:lineRule="auto"/>
        <w:rPr>
          <w:rFonts w:cs="Arial"/>
          <w:color w:val="2E74B5" w:themeColor="accent1" w:themeShade="BF"/>
          <w:sz w:val="24"/>
          <w:szCs w:val="24"/>
        </w:rPr>
      </w:pPr>
      <w:r w:rsidRPr="006D7FAD">
        <w:rPr>
          <w:rFonts w:cs="Arial"/>
          <w:b/>
          <w:color w:val="2E74B5" w:themeColor="accent1" w:themeShade="BF"/>
          <w:sz w:val="24"/>
          <w:szCs w:val="24"/>
        </w:rPr>
        <w:t>CUARTO. Certeza del acto reclamado</w:t>
      </w:r>
      <w:r w:rsidRPr="006D7FAD">
        <w:rPr>
          <w:rFonts w:cs="Arial"/>
          <w:color w:val="2E74B5" w:themeColor="accent1" w:themeShade="BF"/>
          <w:sz w:val="24"/>
          <w:szCs w:val="24"/>
        </w:rPr>
        <w:t xml:space="preserve">. </w:t>
      </w:r>
      <w:r w:rsidR="00857F0B" w:rsidRPr="006D7FAD">
        <w:rPr>
          <w:rFonts w:cs="Arial"/>
          <w:color w:val="2E74B5" w:themeColor="accent1" w:themeShade="BF"/>
          <w:sz w:val="24"/>
          <w:szCs w:val="24"/>
        </w:rPr>
        <w:t xml:space="preserve">Es cierto lo que se le reclama al sujeto obligado en virtud de que la solicitud de acceso a la información pública fue dirigida al municipio de que se trata como sujeto obligado de acuerdo al registro de la Plataforma Nacional de Transparencia. </w:t>
      </w:r>
    </w:p>
    <w:p w:rsidR="00464CFF" w:rsidRPr="006D7FAD" w:rsidRDefault="00464CFF" w:rsidP="008934DD">
      <w:pPr>
        <w:spacing w:after="0" w:line="240" w:lineRule="auto"/>
        <w:jc w:val="both"/>
        <w:rPr>
          <w:rFonts w:ascii="Arial" w:eastAsia="Times New Roman" w:hAnsi="Arial" w:cs="Arial"/>
          <w:color w:val="2E74B5" w:themeColor="accent1" w:themeShade="BF"/>
          <w:sz w:val="24"/>
          <w:szCs w:val="24"/>
          <w:lang w:eastAsia="es-MX"/>
        </w:rPr>
      </w:pPr>
    </w:p>
    <w:p w:rsidR="00464CFF" w:rsidRPr="006D7FAD" w:rsidRDefault="00464CFF" w:rsidP="008934DD">
      <w:pPr>
        <w:pStyle w:val="corte4fondo"/>
        <w:spacing w:line="240" w:lineRule="auto"/>
        <w:ind w:firstLine="708"/>
        <w:rPr>
          <w:rFonts w:cs="Arial"/>
          <w:color w:val="2E74B5" w:themeColor="accent1" w:themeShade="BF"/>
          <w:sz w:val="24"/>
          <w:szCs w:val="24"/>
        </w:rPr>
      </w:pPr>
      <w:r w:rsidRPr="006D7FAD">
        <w:rPr>
          <w:rFonts w:cs="Arial"/>
          <w:b/>
          <w:color w:val="2E74B5" w:themeColor="accent1" w:themeShade="BF"/>
          <w:sz w:val="24"/>
          <w:szCs w:val="24"/>
        </w:rPr>
        <w:t xml:space="preserve">QUINTO. Causales de improcedencia. </w:t>
      </w:r>
      <w:r w:rsidRPr="006D7FAD">
        <w:rPr>
          <w:rFonts w:cs="Arial"/>
          <w:color w:val="2E74B5" w:themeColor="accent1" w:themeShade="BF"/>
          <w:sz w:val="24"/>
          <w:szCs w:val="24"/>
        </w:rPr>
        <w:t>Las causales de improcedencia previstas en el artículo 179 de la Ley de Transparencia son de estudio oficioso y preferente a cualquier otra cuestión planteada, por lo tanto, al no haber otra causal de improcedencia invocada por las partes o advertida por este Órgano Colegiado, se analiza el fondo de la cuestión planteada.</w:t>
      </w:r>
    </w:p>
    <w:p w:rsidR="00464CFF" w:rsidRPr="006D7FAD" w:rsidRDefault="00464CFF" w:rsidP="008934DD">
      <w:pPr>
        <w:pStyle w:val="corte4fondo"/>
        <w:spacing w:line="240" w:lineRule="auto"/>
        <w:ind w:firstLine="0"/>
        <w:rPr>
          <w:rFonts w:cs="Arial"/>
          <w:b/>
          <w:color w:val="2E74B5" w:themeColor="accent1" w:themeShade="BF"/>
          <w:sz w:val="24"/>
          <w:szCs w:val="24"/>
        </w:rPr>
      </w:pPr>
    </w:p>
    <w:p w:rsidR="00464CFF" w:rsidRPr="006D7FAD" w:rsidRDefault="00464CFF" w:rsidP="008934DD">
      <w:pPr>
        <w:pStyle w:val="corte4fondo"/>
        <w:spacing w:line="240" w:lineRule="auto"/>
        <w:ind w:firstLine="708"/>
        <w:rPr>
          <w:rFonts w:cs="Arial"/>
          <w:color w:val="2E74B5" w:themeColor="accent1" w:themeShade="BF"/>
          <w:sz w:val="24"/>
          <w:szCs w:val="24"/>
        </w:rPr>
      </w:pPr>
      <w:r w:rsidRPr="006D7FAD">
        <w:rPr>
          <w:rFonts w:cs="Arial"/>
          <w:b/>
          <w:color w:val="2E74B5" w:themeColor="accent1" w:themeShade="BF"/>
          <w:sz w:val="24"/>
          <w:szCs w:val="24"/>
        </w:rPr>
        <w:t>SEXTO. Estudio de los agravios</w:t>
      </w:r>
      <w:r w:rsidRPr="006D7FAD">
        <w:rPr>
          <w:rFonts w:cs="Arial"/>
          <w:color w:val="2E74B5" w:themeColor="accent1" w:themeShade="BF"/>
          <w:sz w:val="24"/>
          <w:szCs w:val="24"/>
        </w:rPr>
        <w:t xml:space="preserve">.  </w:t>
      </w:r>
    </w:p>
    <w:p w:rsidR="00464CFF" w:rsidRPr="006D7FAD" w:rsidRDefault="00464CFF" w:rsidP="008934DD">
      <w:pPr>
        <w:pStyle w:val="corte4fondo"/>
        <w:spacing w:line="240" w:lineRule="auto"/>
        <w:ind w:firstLine="0"/>
        <w:rPr>
          <w:rFonts w:cs="Arial"/>
          <w:color w:val="2E74B5" w:themeColor="accent1" w:themeShade="BF"/>
          <w:sz w:val="24"/>
          <w:szCs w:val="24"/>
        </w:rPr>
      </w:pPr>
    </w:p>
    <w:p w:rsidR="00464CFF" w:rsidRPr="006D7FAD" w:rsidRDefault="00464CFF" w:rsidP="008934DD">
      <w:pPr>
        <w:pStyle w:val="corte4fondo"/>
        <w:spacing w:line="240" w:lineRule="auto"/>
        <w:ind w:firstLine="0"/>
        <w:rPr>
          <w:rFonts w:cs="Arial"/>
          <w:color w:val="2E74B5" w:themeColor="accent1" w:themeShade="BF"/>
          <w:sz w:val="24"/>
          <w:szCs w:val="24"/>
        </w:rPr>
      </w:pPr>
      <w:r w:rsidRPr="006D7FAD">
        <w:rPr>
          <w:rFonts w:cs="Arial"/>
          <w:color w:val="2E74B5" w:themeColor="accent1" w:themeShade="BF"/>
          <w:sz w:val="24"/>
          <w:szCs w:val="24"/>
        </w:rPr>
        <w:tab/>
      </w:r>
      <w:r w:rsidRPr="006D7FAD">
        <w:rPr>
          <w:rFonts w:cs="Arial"/>
          <w:b/>
          <w:color w:val="2E74B5" w:themeColor="accent1" w:themeShade="BF"/>
          <w:sz w:val="24"/>
          <w:szCs w:val="24"/>
        </w:rPr>
        <w:t>6.1. Agravios</w:t>
      </w:r>
      <w:r w:rsidRPr="006D7FAD">
        <w:rPr>
          <w:rFonts w:cs="Arial"/>
          <w:color w:val="2E74B5" w:themeColor="accent1" w:themeShade="BF"/>
          <w:sz w:val="24"/>
          <w:szCs w:val="24"/>
        </w:rPr>
        <w:t>.</w:t>
      </w:r>
    </w:p>
    <w:p w:rsidR="00464CFF" w:rsidRPr="006D7FAD" w:rsidRDefault="00464CFF" w:rsidP="008934DD">
      <w:pPr>
        <w:pStyle w:val="corte4fondo"/>
        <w:spacing w:line="240" w:lineRule="auto"/>
        <w:ind w:firstLine="0"/>
        <w:rPr>
          <w:rFonts w:cs="Arial"/>
          <w:color w:val="2E74B5" w:themeColor="accent1" w:themeShade="BF"/>
          <w:sz w:val="24"/>
          <w:szCs w:val="24"/>
        </w:rPr>
      </w:pPr>
    </w:p>
    <w:p w:rsidR="00464CFF" w:rsidRPr="006D7FAD" w:rsidRDefault="00464CFF" w:rsidP="008934DD">
      <w:pPr>
        <w:pStyle w:val="corte4fondo"/>
        <w:spacing w:line="240" w:lineRule="auto"/>
        <w:ind w:firstLine="0"/>
        <w:rPr>
          <w:rFonts w:cs="Arial"/>
          <w:i/>
          <w:color w:val="2E74B5" w:themeColor="accent1" w:themeShade="BF"/>
          <w:sz w:val="24"/>
          <w:szCs w:val="24"/>
        </w:rPr>
      </w:pPr>
      <w:r w:rsidRPr="006D7FAD">
        <w:rPr>
          <w:rFonts w:cs="Arial"/>
          <w:color w:val="2E74B5" w:themeColor="accent1" w:themeShade="BF"/>
          <w:sz w:val="24"/>
          <w:szCs w:val="24"/>
        </w:rPr>
        <w:tab/>
        <w:t xml:space="preserve">El recurrente expresó como agravios que: </w:t>
      </w:r>
      <w:r w:rsidRPr="006D7FAD">
        <w:rPr>
          <w:rFonts w:cs="Arial"/>
          <w:i/>
          <w:color w:val="2E74B5" w:themeColor="accent1" w:themeShade="BF"/>
          <w:sz w:val="24"/>
          <w:szCs w:val="24"/>
        </w:rPr>
        <w:t>“…</w:t>
      </w:r>
      <w:r w:rsidR="00492664" w:rsidRPr="006D7FAD">
        <w:rPr>
          <w:rFonts w:cs="Arial"/>
          <w:i/>
          <w:color w:val="2E74B5" w:themeColor="accent1" w:themeShade="BF"/>
          <w:sz w:val="24"/>
          <w:szCs w:val="24"/>
        </w:rPr>
        <w:t>El sujeto obligado no contestó la información requerida</w:t>
      </w:r>
      <w:r w:rsidRPr="006D7FAD">
        <w:rPr>
          <w:rFonts w:cs="Arial"/>
          <w:i/>
          <w:color w:val="2E74B5" w:themeColor="accent1" w:themeShade="BF"/>
          <w:sz w:val="24"/>
          <w:szCs w:val="24"/>
        </w:rPr>
        <w:t>…” (Sic).</w:t>
      </w:r>
    </w:p>
    <w:p w:rsidR="00464CFF" w:rsidRPr="006D7FAD" w:rsidRDefault="00464CFF" w:rsidP="008934DD">
      <w:pPr>
        <w:pStyle w:val="corte4fondo"/>
        <w:spacing w:line="240" w:lineRule="auto"/>
        <w:ind w:firstLine="0"/>
        <w:rPr>
          <w:rFonts w:cs="Arial"/>
          <w:b/>
          <w:i/>
          <w:color w:val="2E74B5" w:themeColor="accent1" w:themeShade="BF"/>
          <w:sz w:val="24"/>
          <w:szCs w:val="24"/>
        </w:rPr>
      </w:pPr>
    </w:p>
    <w:p w:rsidR="00464CFF" w:rsidRPr="006D7FAD" w:rsidRDefault="00464CFF" w:rsidP="008934DD">
      <w:pPr>
        <w:pStyle w:val="corte4fondo"/>
        <w:tabs>
          <w:tab w:val="left" w:pos="708"/>
          <w:tab w:val="left" w:pos="1416"/>
          <w:tab w:val="left" w:pos="2124"/>
          <w:tab w:val="left" w:pos="2832"/>
          <w:tab w:val="left" w:pos="3540"/>
          <w:tab w:val="center" w:pos="4278"/>
        </w:tabs>
        <w:spacing w:line="240" w:lineRule="auto"/>
        <w:ind w:firstLine="0"/>
        <w:rPr>
          <w:rFonts w:cs="Arial"/>
          <w:b/>
          <w:color w:val="2E74B5" w:themeColor="accent1" w:themeShade="BF"/>
          <w:sz w:val="24"/>
          <w:szCs w:val="24"/>
        </w:rPr>
      </w:pPr>
      <w:r w:rsidRPr="006D7FAD">
        <w:rPr>
          <w:rFonts w:cs="Arial"/>
          <w:b/>
          <w:color w:val="2E74B5" w:themeColor="accent1" w:themeShade="BF"/>
          <w:sz w:val="24"/>
          <w:szCs w:val="24"/>
        </w:rPr>
        <w:tab/>
        <w:t>6.1.1 Agravio infundado.</w:t>
      </w:r>
      <w:r w:rsidRPr="006D7FAD">
        <w:rPr>
          <w:rFonts w:cs="Arial"/>
          <w:b/>
          <w:color w:val="2E74B5" w:themeColor="accent1" w:themeShade="BF"/>
          <w:sz w:val="24"/>
          <w:szCs w:val="24"/>
        </w:rPr>
        <w:tab/>
      </w:r>
    </w:p>
    <w:p w:rsidR="008934DD" w:rsidRPr="006D7FAD" w:rsidRDefault="008934DD" w:rsidP="008934DD">
      <w:pPr>
        <w:pStyle w:val="corte4fondo"/>
        <w:spacing w:line="240" w:lineRule="auto"/>
        <w:rPr>
          <w:i/>
          <w:color w:val="4F81BD"/>
          <w:sz w:val="22"/>
          <w:szCs w:val="22"/>
        </w:rPr>
      </w:pPr>
    </w:p>
    <w:p w:rsidR="008934DD" w:rsidRPr="006D7FAD" w:rsidRDefault="008934DD" w:rsidP="009C3E44">
      <w:pPr>
        <w:pStyle w:val="corte4fondo"/>
        <w:rPr>
          <w:color w:val="2E74B5" w:themeColor="accent1" w:themeShade="BF"/>
          <w:sz w:val="24"/>
          <w:szCs w:val="24"/>
        </w:rPr>
      </w:pPr>
      <w:r w:rsidRPr="006D7FAD">
        <w:rPr>
          <w:color w:val="2E74B5" w:themeColor="accent1" w:themeShade="BF"/>
          <w:sz w:val="24"/>
          <w:szCs w:val="24"/>
        </w:rPr>
        <w:t xml:space="preserve">Por su parte, a través de su escrito de informe, el sujeto obligado señaló que contrario a lo señalado por el recurrente a través de su recurso de revisión se </w:t>
      </w:r>
      <w:r w:rsidRPr="006D7FAD">
        <w:rPr>
          <w:color w:val="2E74B5" w:themeColor="accent1" w:themeShade="BF"/>
          <w:sz w:val="24"/>
          <w:szCs w:val="24"/>
        </w:rPr>
        <w:lastRenderedPageBreak/>
        <w:t>dio contestación en tiempo y forma al recurrente por lo que reiteró su respuesta original.</w:t>
      </w:r>
    </w:p>
    <w:p w:rsidR="008934DD" w:rsidRPr="006D7FAD" w:rsidRDefault="008934DD" w:rsidP="009C3E44">
      <w:pPr>
        <w:pStyle w:val="corte4fondo"/>
        <w:rPr>
          <w:rFonts w:cs="Arial"/>
          <w:color w:val="2E74B5" w:themeColor="accent1" w:themeShade="BF"/>
          <w:sz w:val="24"/>
          <w:szCs w:val="24"/>
        </w:rPr>
      </w:pPr>
      <w:r w:rsidRPr="006D7FAD">
        <w:rPr>
          <w:rFonts w:cs="Arial"/>
          <w:color w:val="2E74B5" w:themeColor="accent1" w:themeShade="BF"/>
          <w:sz w:val="24"/>
          <w:szCs w:val="24"/>
        </w:rPr>
        <w:t>En virtud de lo anterior, esta Comisión advierte que es preciso señalar que la Ley de Transparencia y Acceso a la Información Pública del Estado tiene por objeto garantizar el acceso a la información en posesión de los sujetos obligados y define en el artículo 3, fracciones XIII y XIX de la Ley a la información y los documentos:</w:t>
      </w:r>
    </w:p>
    <w:p w:rsidR="009C3E44" w:rsidRPr="006D7FAD" w:rsidRDefault="009C3E44" w:rsidP="009C3E44">
      <w:pPr>
        <w:pStyle w:val="corte4fondo"/>
        <w:rPr>
          <w:rFonts w:cs="Arial"/>
          <w:color w:val="2E74B5" w:themeColor="accent1" w:themeShade="BF"/>
          <w:sz w:val="24"/>
          <w:szCs w:val="24"/>
        </w:rPr>
      </w:pPr>
    </w:p>
    <w:p w:rsidR="008934DD" w:rsidRPr="006D7FAD" w:rsidRDefault="008934DD" w:rsidP="009C3E44">
      <w:pPr>
        <w:pStyle w:val="corte4fondo"/>
        <w:rPr>
          <w:rFonts w:cs="Arial"/>
          <w:i/>
          <w:color w:val="2E74B5" w:themeColor="accent1" w:themeShade="BF"/>
          <w:sz w:val="24"/>
          <w:szCs w:val="24"/>
        </w:rPr>
      </w:pPr>
      <w:r w:rsidRPr="006D7FAD">
        <w:rPr>
          <w:rFonts w:cs="Arial"/>
          <w:i/>
          <w:color w:val="2E74B5" w:themeColor="accent1" w:themeShade="BF"/>
          <w:sz w:val="24"/>
          <w:szCs w:val="24"/>
        </w:rPr>
        <w:t>“XIII. Documento: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rsidR="007512CB" w:rsidRPr="006D7FAD" w:rsidRDefault="007512CB" w:rsidP="009C3E44">
      <w:pPr>
        <w:pStyle w:val="corte4fondo"/>
        <w:rPr>
          <w:rFonts w:cs="Arial"/>
          <w:i/>
          <w:color w:val="2E74B5" w:themeColor="accent1" w:themeShade="BF"/>
          <w:sz w:val="24"/>
          <w:szCs w:val="24"/>
        </w:rPr>
      </w:pPr>
    </w:p>
    <w:p w:rsidR="008934DD" w:rsidRPr="006D7FAD" w:rsidRDefault="008934DD" w:rsidP="009C3E44">
      <w:pPr>
        <w:pStyle w:val="corte4fondo"/>
        <w:rPr>
          <w:rFonts w:cs="Arial"/>
          <w:i/>
          <w:color w:val="2E74B5" w:themeColor="accent1" w:themeShade="BF"/>
          <w:sz w:val="24"/>
          <w:szCs w:val="24"/>
        </w:rPr>
      </w:pPr>
      <w:r w:rsidRPr="006D7FAD">
        <w:rPr>
          <w:rFonts w:cs="Arial"/>
          <w:i/>
          <w:color w:val="2E74B5" w:themeColor="accent1" w:themeShade="BF"/>
          <w:sz w:val="24"/>
          <w:szCs w:val="24"/>
        </w:rPr>
        <w:t>(…)</w:t>
      </w:r>
    </w:p>
    <w:p w:rsidR="008934DD" w:rsidRPr="006D7FAD" w:rsidRDefault="008934DD" w:rsidP="009C3E44">
      <w:pPr>
        <w:pStyle w:val="corte4fondo"/>
        <w:rPr>
          <w:rFonts w:cs="Arial"/>
          <w:i/>
          <w:color w:val="2E74B5" w:themeColor="accent1" w:themeShade="BF"/>
          <w:sz w:val="24"/>
          <w:szCs w:val="24"/>
        </w:rPr>
      </w:pPr>
      <w:r w:rsidRPr="006D7FAD">
        <w:rPr>
          <w:rFonts w:cs="Arial"/>
          <w:i/>
          <w:color w:val="2E74B5" w:themeColor="accent1" w:themeShade="BF"/>
          <w:sz w:val="24"/>
          <w:szCs w:val="24"/>
        </w:rPr>
        <w:t>XIX. Información pública: la que es creada, administrada o en posesión de los sujetos obligados, exceptuando la clasificada como reservada o confidencial;</w:t>
      </w:r>
    </w:p>
    <w:p w:rsidR="008934DD" w:rsidRPr="006D7FAD" w:rsidRDefault="008934DD" w:rsidP="009C3E44">
      <w:pPr>
        <w:pStyle w:val="corte4fondo"/>
        <w:rPr>
          <w:rFonts w:cs="Arial"/>
          <w:color w:val="2E74B5" w:themeColor="accent1" w:themeShade="BF"/>
          <w:sz w:val="24"/>
          <w:szCs w:val="24"/>
        </w:rPr>
      </w:pPr>
      <w:r w:rsidRPr="006D7FAD">
        <w:rPr>
          <w:rFonts w:cs="Arial"/>
          <w:color w:val="2E74B5" w:themeColor="accent1" w:themeShade="BF"/>
          <w:sz w:val="24"/>
          <w:szCs w:val="24"/>
        </w:rPr>
        <w:t xml:space="preserve">…” (sic). </w:t>
      </w:r>
    </w:p>
    <w:p w:rsidR="007512CB" w:rsidRPr="006D7FAD" w:rsidRDefault="007512CB" w:rsidP="009C3E44">
      <w:pPr>
        <w:pStyle w:val="corte4fondo"/>
        <w:rPr>
          <w:rFonts w:cs="Arial"/>
          <w:color w:val="2E74B5" w:themeColor="accent1" w:themeShade="BF"/>
          <w:sz w:val="24"/>
          <w:szCs w:val="24"/>
        </w:rPr>
      </w:pPr>
    </w:p>
    <w:p w:rsidR="008934DD" w:rsidRPr="006D7FAD" w:rsidRDefault="008934DD" w:rsidP="009C3E44">
      <w:pPr>
        <w:pStyle w:val="corte4fondo"/>
        <w:rPr>
          <w:rFonts w:cs="Arial"/>
          <w:color w:val="2E74B5" w:themeColor="accent1" w:themeShade="BF"/>
          <w:sz w:val="24"/>
          <w:szCs w:val="24"/>
        </w:rPr>
      </w:pPr>
      <w:r w:rsidRPr="006D7FAD">
        <w:rPr>
          <w:rFonts w:cs="Arial"/>
          <w:color w:val="2E74B5" w:themeColor="accent1" w:themeShade="BF"/>
          <w:sz w:val="24"/>
          <w:szCs w:val="24"/>
        </w:rPr>
        <w:t xml:space="preserve">Se advierte así que la Ley tiene por objeto garantizar el acceso a los documentos que estén en posesión de los sujetos obligados. Al mismo tiempo, la Ley tienen entre sus objetivos proveer lo necesario para que toda persona pueda tener acceso a la información mediante procedimientos sencillos y expeditos. </w:t>
      </w:r>
    </w:p>
    <w:p w:rsidR="007512CB" w:rsidRPr="006D7FAD" w:rsidRDefault="007512CB" w:rsidP="009C3E44">
      <w:pPr>
        <w:pStyle w:val="corte4fondo"/>
        <w:rPr>
          <w:rFonts w:cs="Arial"/>
          <w:color w:val="2E74B5" w:themeColor="accent1" w:themeShade="BF"/>
          <w:sz w:val="24"/>
          <w:szCs w:val="24"/>
        </w:rPr>
      </w:pPr>
    </w:p>
    <w:p w:rsidR="008934DD" w:rsidRPr="006D7FAD" w:rsidRDefault="008934DD" w:rsidP="009C3E44">
      <w:pPr>
        <w:pStyle w:val="corte4fondo"/>
        <w:rPr>
          <w:rFonts w:cs="Arial"/>
          <w:color w:val="2E74B5" w:themeColor="accent1" w:themeShade="BF"/>
          <w:sz w:val="24"/>
          <w:szCs w:val="24"/>
        </w:rPr>
      </w:pPr>
      <w:r w:rsidRPr="006D7FAD">
        <w:rPr>
          <w:rFonts w:cs="Arial"/>
          <w:color w:val="2E74B5" w:themeColor="accent1" w:themeShade="BF"/>
          <w:sz w:val="24"/>
          <w:szCs w:val="24"/>
        </w:rPr>
        <w:t xml:space="preserve">Una vez precisado lo anterior, y considerando lo solicitado por el hoy recurrente, esta Comisión advierte que la información solicitada por el recurrente tiene una naturaleza pública en </w:t>
      </w:r>
      <w:r w:rsidRPr="006D7FAD">
        <w:rPr>
          <w:rFonts w:cs="Arial"/>
          <w:b/>
          <w:color w:val="2E74B5" w:themeColor="accent1" w:themeShade="BF"/>
          <w:sz w:val="24"/>
          <w:szCs w:val="24"/>
        </w:rPr>
        <w:t xml:space="preserve">términos del </w:t>
      </w:r>
      <w:r w:rsidR="007512CB" w:rsidRPr="006D7FAD">
        <w:rPr>
          <w:rFonts w:cs="Arial"/>
          <w:b/>
          <w:color w:val="2E74B5" w:themeColor="accent1" w:themeShade="BF"/>
          <w:sz w:val="24"/>
          <w:szCs w:val="24"/>
        </w:rPr>
        <w:t>numeral 85</w:t>
      </w:r>
      <w:r w:rsidRPr="006D7FAD">
        <w:rPr>
          <w:rFonts w:cs="Arial"/>
          <w:b/>
          <w:color w:val="2E74B5" w:themeColor="accent1" w:themeShade="BF"/>
          <w:sz w:val="24"/>
          <w:szCs w:val="24"/>
        </w:rPr>
        <w:t xml:space="preserve"> de la Ley de Transparencia y Acceso a la Información Pública</w:t>
      </w:r>
      <w:r w:rsidRPr="006D7FAD">
        <w:rPr>
          <w:rFonts w:cs="Arial"/>
          <w:color w:val="2E74B5" w:themeColor="accent1" w:themeShade="BF"/>
          <w:sz w:val="24"/>
          <w:szCs w:val="24"/>
        </w:rPr>
        <w:t xml:space="preserve">, relativa a las obligaciones de transparencia. Dicho artículo establece en su </w:t>
      </w:r>
      <w:r w:rsidR="007512CB" w:rsidRPr="006D7FAD">
        <w:rPr>
          <w:rFonts w:cs="Arial"/>
          <w:b/>
          <w:color w:val="2E74B5" w:themeColor="accent1" w:themeShade="BF"/>
          <w:sz w:val="24"/>
          <w:szCs w:val="24"/>
        </w:rPr>
        <w:t>fracción I inciso H</w:t>
      </w:r>
      <w:r w:rsidRPr="006D7FAD">
        <w:rPr>
          <w:rFonts w:cs="Arial"/>
          <w:color w:val="2E74B5" w:themeColor="accent1" w:themeShade="BF"/>
          <w:sz w:val="24"/>
          <w:szCs w:val="24"/>
        </w:rPr>
        <w:t xml:space="preserve"> que los sujetos obligados deberán poner a disposición del público algunos datos respecto de los servidores públicos tales como</w:t>
      </w:r>
      <w:r w:rsidR="007512CB" w:rsidRPr="006D7FAD">
        <w:rPr>
          <w:rFonts w:cs="Arial"/>
          <w:color w:val="2E74B5" w:themeColor="accent1" w:themeShade="BF"/>
          <w:sz w:val="24"/>
          <w:szCs w:val="24"/>
        </w:rPr>
        <w:t xml:space="preserve"> la información detallada sobre planes de desarrollo </w:t>
      </w:r>
      <w:r w:rsidR="007512CB" w:rsidRPr="006D7FAD">
        <w:rPr>
          <w:rFonts w:cs="Arial"/>
          <w:color w:val="2E74B5" w:themeColor="accent1" w:themeShade="BF"/>
          <w:sz w:val="24"/>
          <w:szCs w:val="24"/>
        </w:rPr>
        <w:lastRenderedPageBreak/>
        <w:t>urbano ordenamiento territorial y ecológico, así como licencias de uso y construcción otorgadas por los gobiernos municipales.</w:t>
      </w:r>
    </w:p>
    <w:p w:rsidR="008934DD" w:rsidRPr="006D7FAD" w:rsidRDefault="008934DD" w:rsidP="009C3E44">
      <w:pPr>
        <w:pStyle w:val="corte4fondo"/>
        <w:rPr>
          <w:rFonts w:cs="Arial"/>
          <w:color w:val="2E74B5" w:themeColor="accent1" w:themeShade="BF"/>
          <w:sz w:val="24"/>
          <w:szCs w:val="24"/>
        </w:rPr>
      </w:pPr>
    </w:p>
    <w:p w:rsidR="008934DD" w:rsidRPr="006D7FAD" w:rsidRDefault="008934DD" w:rsidP="00061060">
      <w:pPr>
        <w:pStyle w:val="corte4fondo"/>
        <w:ind w:firstLine="0"/>
        <w:rPr>
          <w:rFonts w:cs="Arial"/>
          <w:color w:val="2E74B5" w:themeColor="accent1" w:themeShade="BF"/>
          <w:sz w:val="24"/>
          <w:szCs w:val="24"/>
        </w:rPr>
      </w:pPr>
      <w:r w:rsidRPr="006D7FAD">
        <w:rPr>
          <w:rFonts w:cs="Arial"/>
          <w:color w:val="2E74B5" w:themeColor="accent1" w:themeShade="BF"/>
          <w:sz w:val="24"/>
          <w:szCs w:val="24"/>
        </w:rPr>
        <w:t>En ese tenor, la Ley de la materia establece en su artículo 151 lo siguiente:</w:t>
      </w:r>
    </w:p>
    <w:p w:rsidR="00061060" w:rsidRDefault="00061060" w:rsidP="00061060">
      <w:pPr>
        <w:pStyle w:val="corte4fondo"/>
        <w:ind w:firstLine="0"/>
        <w:rPr>
          <w:rFonts w:cs="Arial"/>
          <w:color w:val="2E74B5" w:themeColor="accent1" w:themeShade="BF"/>
          <w:sz w:val="24"/>
          <w:szCs w:val="24"/>
        </w:rPr>
      </w:pPr>
    </w:p>
    <w:p w:rsidR="008934DD" w:rsidRPr="006D7FAD" w:rsidRDefault="008934DD" w:rsidP="00061060">
      <w:pPr>
        <w:pStyle w:val="corte4fondo"/>
        <w:ind w:firstLine="708"/>
        <w:rPr>
          <w:rFonts w:cs="Arial"/>
          <w:i/>
          <w:color w:val="2E74B5" w:themeColor="accent1" w:themeShade="BF"/>
          <w:sz w:val="24"/>
          <w:szCs w:val="24"/>
        </w:rPr>
      </w:pPr>
      <w:r w:rsidRPr="006D7FAD">
        <w:rPr>
          <w:rFonts w:cs="Arial"/>
          <w:i/>
          <w:color w:val="2E74B5" w:themeColor="accent1" w:themeShade="BF"/>
          <w:sz w:val="24"/>
          <w:szCs w:val="24"/>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rsidR="008934DD" w:rsidRPr="006D7FAD" w:rsidRDefault="008934DD" w:rsidP="009C3E44">
      <w:pPr>
        <w:pStyle w:val="corte4fondo"/>
        <w:rPr>
          <w:rFonts w:cs="Arial"/>
          <w:i/>
          <w:color w:val="2E74B5" w:themeColor="accent1" w:themeShade="BF"/>
          <w:sz w:val="24"/>
          <w:szCs w:val="24"/>
        </w:rPr>
      </w:pPr>
    </w:p>
    <w:p w:rsidR="008934DD" w:rsidRPr="006D7FAD" w:rsidRDefault="008934DD" w:rsidP="009C3E44">
      <w:pPr>
        <w:pStyle w:val="corte4fondo"/>
        <w:rPr>
          <w:rFonts w:cs="Arial"/>
          <w:color w:val="2E74B5" w:themeColor="accent1" w:themeShade="BF"/>
          <w:sz w:val="24"/>
          <w:szCs w:val="24"/>
        </w:rPr>
      </w:pPr>
      <w:r w:rsidRPr="006D7FAD">
        <w:rPr>
          <w:rFonts w:cs="Arial"/>
          <w:color w:val="2E74B5" w:themeColor="accent1" w:themeShade="BF"/>
          <w:sz w:val="24"/>
          <w:szCs w:val="24"/>
        </w:rPr>
        <w:t>En ese senti</w:t>
      </w:r>
      <w:r w:rsidR="00564934" w:rsidRPr="006D7FAD">
        <w:rPr>
          <w:rFonts w:cs="Arial"/>
          <w:color w:val="2E74B5" w:themeColor="accent1" w:themeShade="BF"/>
          <w:sz w:val="24"/>
          <w:szCs w:val="24"/>
        </w:rPr>
        <w:t xml:space="preserve">do, la dependencia orientó al </w:t>
      </w:r>
      <w:r w:rsidRPr="006D7FAD">
        <w:rPr>
          <w:rFonts w:cs="Arial"/>
          <w:color w:val="2E74B5" w:themeColor="accent1" w:themeShade="BF"/>
          <w:sz w:val="24"/>
          <w:szCs w:val="24"/>
        </w:rPr>
        <w:t>solicitante al sitio de Internet donde se encuentra la información solicitada, indicándole la ruta de acceso</w:t>
      </w:r>
      <w:r w:rsidR="009D12EE" w:rsidRPr="006D7FAD">
        <w:rPr>
          <w:rFonts w:cs="Arial"/>
          <w:color w:val="2E74B5" w:themeColor="accent1" w:themeShade="BF"/>
          <w:sz w:val="24"/>
          <w:szCs w:val="24"/>
        </w:rPr>
        <w:t>; como se puede advertir a continuación:</w:t>
      </w:r>
      <w:r w:rsidRPr="006D7FAD">
        <w:rPr>
          <w:rFonts w:cs="Arial"/>
          <w:color w:val="2E74B5" w:themeColor="accent1" w:themeShade="BF"/>
          <w:sz w:val="24"/>
          <w:szCs w:val="24"/>
        </w:rPr>
        <w:t xml:space="preserve"> </w:t>
      </w:r>
    </w:p>
    <w:p w:rsidR="009D12EE" w:rsidRPr="006D7FAD" w:rsidRDefault="009D12EE" w:rsidP="008934DD">
      <w:pPr>
        <w:autoSpaceDE w:val="0"/>
        <w:autoSpaceDN w:val="0"/>
        <w:adjustRightInd w:val="0"/>
        <w:spacing w:after="0" w:line="240" w:lineRule="auto"/>
        <w:jc w:val="both"/>
        <w:rPr>
          <w:rFonts w:ascii="Arial" w:hAnsi="Arial" w:cs="Arial"/>
          <w:color w:val="4F81BD"/>
          <w:sz w:val="24"/>
          <w:szCs w:val="24"/>
        </w:rPr>
      </w:pPr>
    </w:p>
    <w:p w:rsidR="008934DD" w:rsidRPr="006D7FAD" w:rsidRDefault="009D12EE" w:rsidP="008934DD">
      <w:pPr>
        <w:pStyle w:val="corte4fondo"/>
        <w:spacing w:line="240" w:lineRule="auto"/>
        <w:ind w:firstLine="0"/>
        <w:rPr>
          <w:rFonts w:cs="Arial"/>
          <w:color w:val="2E74B5" w:themeColor="accent1" w:themeShade="BF"/>
          <w:sz w:val="24"/>
        </w:rPr>
      </w:pPr>
      <w:r w:rsidRPr="006D7FAD">
        <w:rPr>
          <w:rFonts w:cs="Arial"/>
          <w:color w:val="2E74B5" w:themeColor="accent1" w:themeShade="BF"/>
          <w:sz w:val="24"/>
        </w:rPr>
        <w:t xml:space="preserve"> </w:t>
      </w:r>
      <w:r w:rsidR="008934DD" w:rsidRPr="006D7FAD">
        <w:rPr>
          <w:rFonts w:cs="Arial"/>
          <w:color w:val="2E74B5" w:themeColor="accent1" w:themeShade="BF"/>
          <w:sz w:val="24"/>
        </w:rPr>
        <w:t>(PANTALLA 1)</w:t>
      </w:r>
      <w:r w:rsidRPr="006D7FAD">
        <w:rPr>
          <w:rFonts w:cs="Arial"/>
          <w:color w:val="2E74B5" w:themeColor="accent1" w:themeShade="BF"/>
          <w:sz w:val="24"/>
        </w:rPr>
        <w:t>.</w:t>
      </w:r>
    </w:p>
    <w:p w:rsidR="009D12EE" w:rsidRPr="006D7FAD" w:rsidRDefault="009D12EE" w:rsidP="008934DD">
      <w:pPr>
        <w:pStyle w:val="corte4fondo"/>
        <w:spacing w:line="240" w:lineRule="auto"/>
        <w:ind w:firstLine="0"/>
        <w:rPr>
          <w:rFonts w:cs="Arial"/>
          <w:color w:val="2E74B5" w:themeColor="accent1" w:themeShade="BF"/>
          <w:sz w:val="24"/>
        </w:rPr>
      </w:pPr>
    </w:p>
    <w:p w:rsidR="008934DD" w:rsidRPr="006D7FAD" w:rsidRDefault="008934DD" w:rsidP="008934DD">
      <w:pPr>
        <w:pStyle w:val="corte4fondo"/>
        <w:spacing w:line="240" w:lineRule="auto"/>
        <w:ind w:firstLine="0"/>
        <w:rPr>
          <w:rFonts w:cs="Arial"/>
          <w:color w:val="2E74B5" w:themeColor="accent1" w:themeShade="BF"/>
          <w:sz w:val="24"/>
        </w:rPr>
      </w:pPr>
      <w:r w:rsidRPr="006D7FAD">
        <w:rPr>
          <w:rFonts w:cs="Arial"/>
          <w:noProof/>
          <w:color w:val="2E74B5" w:themeColor="accent1" w:themeShade="BF"/>
          <w:sz w:val="24"/>
        </w:rPr>
        <w:drawing>
          <wp:inline distT="0" distB="0" distL="0" distR="0">
            <wp:extent cx="5610225" cy="1495425"/>
            <wp:effectExtent l="0" t="0" r="9525"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10225" cy="1495425"/>
                    </a:xfrm>
                    <a:prstGeom prst="rect">
                      <a:avLst/>
                    </a:prstGeom>
                    <a:noFill/>
                    <a:ln>
                      <a:noFill/>
                    </a:ln>
                  </pic:spPr>
                </pic:pic>
              </a:graphicData>
            </a:graphic>
          </wp:inline>
        </w:drawing>
      </w:r>
    </w:p>
    <w:p w:rsidR="008934DD" w:rsidRPr="006D7FAD" w:rsidRDefault="008934DD" w:rsidP="008934DD">
      <w:pPr>
        <w:pStyle w:val="corte4fondo"/>
        <w:spacing w:line="240" w:lineRule="auto"/>
        <w:ind w:firstLine="0"/>
        <w:rPr>
          <w:rFonts w:cs="Arial"/>
          <w:i/>
          <w:color w:val="2E74B5" w:themeColor="accent1" w:themeShade="BF"/>
          <w:sz w:val="20"/>
        </w:rPr>
      </w:pPr>
    </w:p>
    <w:p w:rsidR="007512CB" w:rsidRPr="006D7FAD" w:rsidRDefault="007512CB" w:rsidP="008934DD">
      <w:pPr>
        <w:pStyle w:val="corte4fondo"/>
        <w:spacing w:line="240" w:lineRule="auto"/>
        <w:ind w:firstLine="0"/>
        <w:rPr>
          <w:rFonts w:cs="Arial"/>
          <w:i/>
          <w:color w:val="2E74B5" w:themeColor="accent1" w:themeShade="BF"/>
          <w:sz w:val="20"/>
        </w:rPr>
      </w:pPr>
    </w:p>
    <w:p w:rsidR="008934DD" w:rsidRPr="006D7FAD" w:rsidRDefault="009D12EE" w:rsidP="007512CB">
      <w:pPr>
        <w:pStyle w:val="corte4fondo"/>
        <w:rPr>
          <w:color w:val="2E74B5" w:themeColor="accent1" w:themeShade="BF"/>
          <w:sz w:val="24"/>
          <w:szCs w:val="24"/>
        </w:rPr>
      </w:pPr>
      <w:r w:rsidRPr="006D7FAD">
        <w:rPr>
          <w:color w:val="2E74B5" w:themeColor="accent1" w:themeShade="BF"/>
          <w:sz w:val="24"/>
          <w:szCs w:val="24"/>
        </w:rPr>
        <w:t xml:space="preserve">En virtud de lo anterior, de la pantalla antes insertada, está Comisión advierte que la </w:t>
      </w:r>
      <w:r w:rsidR="008934DD" w:rsidRPr="006D7FAD">
        <w:rPr>
          <w:color w:val="2E74B5" w:themeColor="accent1" w:themeShade="BF"/>
          <w:sz w:val="24"/>
          <w:szCs w:val="24"/>
        </w:rPr>
        <w:t xml:space="preserve">información relacionada a </w:t>
      </w:r>
      <w:r w:rsidR="007512CB" w:rsidRPr="006D7FAD">
        <w:rPr>
          <w:rFonts w:cs="Arial"/>
          <w:color w:val="2E74B5" w:themeColor="accent1" w:themeShade="BF"/>
          <w:sz w:val="24"/>
          <w:szCs w:val="24"/>
        </w:rPr>
        <w:t>planes de desarrollo urbano ordenamiento territorial y ecológico, así como licencias de uso y construcción otorgadas por los gobiernos municipales.</w:t>
      </w:r>
      <w:r w:rsidR="008934DD" w:rsidRPr="006D7FAD">
        <w:rPr>
          <w:color w:val="2E74B5" w:themeColor="accent1" w:themeShade="BF"/>
          <w:sz w:val="24"/>
          <w:szCs w:val="24"/>
        </w:rPr>
        <w:t>, correspondiente al apartado de</w:t>
      </w:r>
      <w:r w:rsidRPr="006D7FAD">
        <w:rPr>
          <w:color w:val="2E74B5" w:themeColor="accent1" w:themeShade="BF"/>
          <w:sz w:val="24"/>
          <w:szCs w:val="24"/>
        </w:rPr>
        <w:t xml:space="preserve">l </w:t>
      </w:r>
      <w:r w:rsidRPr="006D7FAD">
        <w:rPr>
          <w:b/>
          <w:color w:val="2E74B5" w:themeColor="accent1" w:themeShade="BF"/>
          <w:sz w:val="24"/>
          <w:szCs w:val="24"/>
        </w:rPr>
        <w:t>a</w:t>
      </w:r>
      <w:r w:rsidR="008934DD" w:rsidRPr="006D7FAD">
        <w:rPr>
          <w:b/>
          <w:color w:val="2E74B5" w:themeColor="accent1" w:themeShade="BF"/>
          <w:sz w:val="24"/>
          <w:szCs w:val="24"/>
        </w:rPr>
        <w:t>rtículo 8</w:t>
      </w:r>
      <w:r w:rsidRPr="006D7FAD">
        <w:rPr>
          <w:b/>
          <w:color w:val="2E74B5" w:themeColor="accent1" w:themeShade="BF"/>
          <w:sz w:val="24"/>
          <w:szCs w:val="24"/>
        </w:rPr>
        <w:t>5 f</w:t>
      </w:r>
      <w:r w:rsidR="007512CB" w:rsidRPr="006D7FAD">
        <w:rPr>
          <w:b/>
          <w:color w:val="2E74B5" w:themeColor="accent1" w:themeShade="BF"/>
          <w:sz w:val="24"/>
          <w:szCs w:val="24"/>
        </w:rPr>
        <w:t>racción I Inciso H</w:t>
      </w:r>
      <w:r w:rsidRPr="006D7FAD">
        <w:rPr>
          <w:color w:val="2E74B5" w:themeColor="accent1" w:themeShade="BF"/>
          <w:sz w:val="24"/>
          <w:szCs w:val="24"/>
        </w:rPr>
        <w:t>, correspondiente al periodo de Marzo de</w:t>
      </w:r>
      <w:r w:rsidR="008934DD" w:rsidRPr="006D7FAD">
        <w:rPr>
          <w:color w:val="2E74B5" w:themeColor="accent1" w:themeShade="BF"/>
          <w:sz w:val="24"/>
          <w:szCs w:val="24"/>
        </w:rPr>
        <w:t xml:space="preserve"> 2019</w:t>
      </w:r>
      <w:r w:rsidRPr="006D7FAD">
        <w:rPr>
          <w:color w:val="2E74B5" w:themeColor="accent1" w:themeShade="BF"/>
          <w:sz w:val="24"/>
          <w:szCs w:val="24"/>
        </w:rPr>
        <w:t xml:space="preserve"> </w:t>
      </w:r>
      <w:r w:rsidR="008934DD" w:rsidRPr="006D7FAD">
        <w:rPr>
          <w:color w:val="2E74B5" w:themeColor="accent1" w:themeShade="BF"/>
          <w:sz w:val="24"/>
          <w:szCs w:val="24"/>
        </w:rPr>
        <w:t>de la Ley Transparencia y Acceso a la Información Pública</w:t>
      </w:r>
      <w:r w:rsidRPr="006D7FAD">
        <w:rPr>
          <w:color w:val="2E74B5" w:themeColor="accent1" w:themeShade="BF"/>
          <w:sz w:val="24"/>
          <w:szCs w:val="24"/>
        </w:rPr>
        <w:t xml:space="preserve"> del Estado de San Luis Potosí</w:t>
      </w:r>
      <w:r w:rsidR="00564934" w:rsidRPr="006D7FAD">
        <w:rPr>
          <w:color w:val="2E74B5" w:themeColor="accent1" w:themeShade="BF"/>
          <w:sz w:val="24"/>
          <w:szCs w:val="24"/>
        </w:rPr>
        <w:t>, se encuentra la liga electrónica proporcionada por el sujeto obligado a través de su escrito de solicitud de información pública.</w:t>
      </w:r>
    </w:p>
    <w:p w:rsidR="008934DD" w:rsidRPr="006D7FAD" w:rsidRDefault="008934DD" w:rsidP="007512CB">
      <w:pPr>
        <w:pStyle w:val="corte4fondo"/>
        <w:rPr>
          <w:color w:val="4F81BD"/>
          <w:sz w:val="24"/>
          <w:szCs w:val="24"/>
        </w:rPr>
      </w:pPr>
    </w:p>
    <w:p w:rsidR="009D12EE" w:rsidRDefault="00061060" w:rsidP="007512CB">
      <w:pPr>
        <w:pStyle w:val="corte4fondo"/>
        <w:rPr>
          <w:color w:val="4F81BD"/>
          <w:sz w:val="24"/>
          <w:szCs w:val="24"/>
        </w:rPr>
      </w:pPr>
      <w:r w:rsidRPr="00061060">
        <w:rPr>
          <w:color w:val="4F81BD"/>
          <w:sz w:val="24"/>
          <w:szCs w:val="24"/>
        </w:rPr>
        <w:lastRenderedPageBreak/>
        <w:t>En otro orden de ideas, respecto de los argumentos vertidos por el recurrente en el sentido, el sujeto obligado no contesto la información requerida. Por lo tanto, como quedó visto en el presente considerando, este Órgano Colegiado advirtió que el sujeto obligado entregó la información solicitada, previsto en el numeral 155 de la Ley de Transparencia y Acceso a la Información Pública del Estado, que establece que el acceso se dará en la modalidad  de entrega y, en su caso, de envió elegido por el solicitante, por lo que advierte  que la respuesta fue emitida por la autoridad y notificada al solicitante.</w:t>
      </w:r>
    </w:p>
    <w:p w:rsidR="00061060" w:rsidRPr="006D7FAD" w:rsidRDefault="00061060" w:rsidP="007512CB">
      <w:pPr>
        <w:pStyle w:val="corte4fondo"/>
        <w:rPr>
          <w:color w:val="4F81BD"/>
          <w:sz w:val="24"/>
          <w:szCs w:val="24"/>
        </w:rPr>
      </w:pPr>
    </w:p>
    <w:p w:rsidR="009D12EE" w:rsidRPr="006D7FAD" w:rsidRDefault="009D12EE" w:rsidP="007512CB">
      <w:pPr>
        <w:pStyle w:val="corte4fondo"/>
        <w:rPr>
          <w:color w:val="4F81BD"/>
          <w:sz w:val="24"/>
          <w:szCs w:val="24"/>
        </w:rPr>
      </w:pPr>
      <w:r w:rsidRPr="006D7FAD">
        <w:rPr>
          <w:color w:val="4F81BD"/>
          <w:sz w:val="24"/>
          <w:szCs w:val="24"/>
        </w:rPr>
        <w:t xml:space="preserve">Por todo lo anteriormente expuesto, se considera </w:t>
      </w:r>
      <w:r w:rsidRPr="006D7FAD">
        <w:rPr>
          <w:b/>
          <w:color w:val="4F81BD"/>
          <w:sz w:val="24"/>
          <w:szCs w:val="24"/>
        </w:rPr>
        <w:t>infundado el agravio</w:t>
      </w:r>
      <w:r w:rsidRPr="006D7FAD">
        <w:rPr>
          <w:color w:val="4F81BD"/>
          <w:sz w:val="24"/>
          <w:szCs w:val="24"/>
        </w:rPr>
        <w:t xml:space="preserve"> hecho valer por el recurrente toda vez que el </w:t>
      </w:r>
      <w:r w:rsidR="006A759B" w:rsidRPr="006D7FAD">
        <w:rPr>
          <w:color w:val="4F81BD"/>
          <w:sz w:val="24"/>
          <w:szCs w:val="24"/>
        </w:rPr>
        <w:t>sujeto obligad</w:t>
      </w:r>
      <w:r w:rsidR="00FB5638" w:rsidRPr="006D7FAD">
        <w:rPr>
          <w:color w:val="4F81BD"/>
          <w:sz w:val="24"/>
          <w:szCs w:val="24"/>
        </w:rPr>
        <w:t xml:space="preserve">o </w:t>
      </w:r>
      <w:r w:rsidR="006A759B" w:rsidRPr="006D7FAD">
        <w:rPr>
          <w:color w:val="4F81BD"/>
          <w:sz w:val="24"/>
          <w:szCs w:val="24"/>
        </w:rPr>
        <w:t>garantiz</w:t>
      </w:r>
      <w:r w:rsidR="00FB5638" w:rsidRPr="006D7FAD">
        <w:rPr>
          <w:color w:val="4F81BD"/>
          <w:sz w:val="24"/>
          <w:szCs w:val="24"/>
        </w:rPr>
        <w:t>ó el</w:t>
      </w:r>
      <w:r w:rsidR="006A759B" w:rsidRPr="006D7FAD">
        <w:rPr>
          <w:color w:val="4F81BD"/>
          <w:sz w:val="24"/>
          <w:szCs w:val="24"/>
        </w:rPr>
        <w:t xml:space="preserve"> derecho de acceso a la información señalando los pasos a seguir para localizar la información solicitada</w:t>
      </w:r>
      <w:r w:rsidRPr="006D7FAD">
        <w:rPr>
          <w:color w:val="4F81BD"/>
          <w:sz w:val="24"/>
          <w:szCs w:val="24"/>
        </w:rPr>
        <w:t xml:space="preserve">. </w:t>
      </w:r>
    </w:p>
    <w:p w:rsidR="008934DD" w:rsidRPr="006D7FAD" w:rsidRDefault="008934DD" w:rsidP="007512CB">
      <w:pPr>
        <w:pStyle w:val="corte4fondo"/>
        <w:rPr>
          <w:color w:val="4F81BD"/>
          <w:sz w:val="24"/>
          <w:szCs w:val="24"/>
        </w:rPr>
      </w:pPr>
    </w:p>
    <w:p w:rsidR="00EF4402" w:rsidRPr="006D7FAD" w:rsidRDefault="00EF4402" w:rsidP="008934DD">
      <w:pPr>
        <w:pStyle w:val="corte4fondo"/>
        <w:spacing w:line="240" w:lineRule="auto"/>
        <w:ind w:firstLine="0"/>
        <w:rPr>
          <w:rFonts w:cs="Arial"/>
          <w:b/>
          <w:color w:val="2E74B5" w:themeColor="accent1" w:themeShade="BF"/>
          <w:sz w:val="24"/>
          <w:szCs w:val="24"/>
        </w:rPr>
      </w:pPr>
    </w:p>
    <w:p w:rsidR="0046571B" w:rsidRPr="006D7FAD" w:rsidRDefault="00E83142" w:rsidP="008934DD">
      <w:pPr>
        <w:pStyle w:val="corte4fondo"/>
        <w:tabs>
          <w:tab w:val="left" w:pos="567"/>
        </w:tabs>
        <w:spacing w:line="240" w:lineRule="auto"/>
        <w:ind w:firstLine="0"/>
        <w:rPr>
          <w:rFonts w:cs="Arial"/>
          <w:color w:val="2E74B5" w:themeColor="accent1" w:themeShade="BF"/>
          <w:sz w:val="24"/>
          <w:szCs w:val="24"/>
        </w:rPr>
      </w:pPr>
      <w:r w:rsidRPr="006D7FAD">
        <w:rPr>
          <w:rFonts w:cs="Arial"/>
          <w:b/>
          <w:color w:val="2E74B5" w:themeColor="accent1" w:themeShade="BF"/>
          <w:sz w:val="24"/>
          <w:szCs w:val="24"/>
        </w:rPr>
        <w:tab/>
        <w:t>6.2.</w:t>
      </w:r>
      <w:r w:rsidR="0046571B" w:rsidRPr="006D7FAD">
        <w:rPr>
          <w:rFonts w:cs="Arial"/>
          <w:b/>
          <w:color w:val="2E74B5" w:themeColor="accent1" w:themeShade="BF"/>
          <w:sz w:val="24"/>
          <w:szCs w:val="24"/>
        </w:rPr>
        <w:t xml:space="preserve"> Sentido de esta resolución</w:t>
      </w:r>
      <w:r w:rsidR="0046571B" w:rsidRPr="006D7FAD">
        <w:rPr>
          <w:rFonts w:cs="Arial"/>
          <w:color w:val="2E74B5" w:themeColor="accent1" w:themeShade="BF"/>
          <w:sz w:val="24"/>
          <w:szCs w:val="24"/>
        </w:rPr>
        <w:t>.</w:t>
      </w:r>
    </w:p>
    <w:p w:rsidR="0046571B" w:rsidRPr="006D7FAD" w:rsidRDefault="0046571B" w:rsidP="008934DD">
      <w:pPr>
        <w:pStyle w:val="corte4fondo"/>
        <w:tabs>
          <w:tab w:val="left" w:pos="567"/>
        </w:tabs>
        <w:spacing w:line="240" w:lineRule="auto"/>
        <w:rPr>
          <w:rFonts w:cs="Arial"/>
          <w:color w:val="2E74B5" w:themeColor="accent1" w:themeShade="BF"/>
          <w:sz w:val="24"/>
          <w:szCs w:val="24"/>
        </w:rPr>
      </w:pPr>
    </w:p>
    <w:p w:rsidR="0046571B" w:rsidRPr="006D7FAD" w:rsidRDefault="0046571B" w:rsidP="008934DD">
      <w:pPr>
        <w:pStyle w:val="corte4fondo"/>
        <w:tabs>
          <w:tab w:val="left" w:pos="567"/>
        </w:tabs>
        <w:spacing w:line="240" w:lineRule="auto"/>
        <w:rPr>
          <w:rFonts w:cs="Arial"/>
          <w:color w:val="2E74B5" w:themeColor="accent1" w:themeShade="BF"/>
          <w:sz w:val="24"/>
          <w:szCs w:val="24"/>
        </w:rPr>
      </w:pPr>
      <w:r w:rsidRPr="006D7FAD">
        <w:rPr>
          <w:rFonts w:cs="Arial"/>
          <w:color w:val="2E74B5" w:themeColor="accent1" w:themeShade="BF"/>
          <w:sz w:val="24"/>
          <w:szCs w:val="24"/>
        </w:rPr>
        <w:t xml:space="preserve">Así, al no haber prosperado los motivos de inconformidad hechos valer por el recurrente, toda vez que no hay transgresión del derecho humano de acceso a la información pública, lo procedente es que esta Comisión de Transparencia de conformidad con el artículo 175, fracción II, confirme la respuesta del sujeto obligado. </w:t>
      </w:r>
    </w:p>
    <w:p w:rsidR="0046571B" w:rsidRPr="006D7FAD" w:rsidRDefault="0046571B" w:rsidP="008934DD">
      <w:pPr>
        <w:pStyle w:val="corte4fondo"/>
        <w:spacing w:line="240" w:lineRule="auto"/>
        <w:ind w:firstLine="0"/>
        <w:rPr>
          <w:rFonts w:cs="Arial"/>
          <w:b/>
          <w:color w:val="2E74B5" w:themeColor="accent1" w:themeShade="BF"/>
          <w:sz w:val="24"/>
          <w:szCs w:val="24"/>
        </w:rPr>
      </w:pPr>
    </w:p>
    <w:p w:rsidR="009D1E5E" w:rsidRPr="006D7FAD" w:rsidRDefault="009D1E5E" w:rsidP="008934DD">
      <w:pPr>
        <w:pStyle w:val="corte4fondo"/>
        <w:tabs>
          <w:tab w:val="left" w:pos="567"/>
        </w:tabs>
        <w:spacing w:line="240" w:lineRule="auto"/>
        <w:ind w:firstLine="0"/>
        <w:rPr>
          <w:rFonts w:cs="Arial"/>
          <w:b/>
          <w:color w:val="2E74B5" w:themeColor="accent1" w:themeShade="BF"/>
          <w:sz w:val="24"/>
          <w:szCs w:val="24"/>
        </w:rPr>
      </w:pPr>
      <w:r w:rsidRPr="006D7FAD">
        <w:rPr>
          <w:rFonts w:cs="Arial"/>
          <w:b/>
          <w:color w:val="2E74B5" w:themeColor="accent1" w:themeShade="BF"/>
          <w:sz w:val="24"/>
          <w:szCs w:val="24"/>
        </w:rPr>
        <w:tab/>
        <w:t>6.3. Archivo.</w:t>
      </w:r>
    </w:p>
    <w:p w:rsidR="009D1E5E" w:rsidRPr="006D7FAD" w:rsidRDefault="009D1E5E" w:rsidP="008934DD">
      <w:pPr>
        <w:pStyle w:val="corte4fondo"/>
        <w:tabs>
          <w:tab w:val="left" w:pos="567"/>
        </w:tabs>
        <w:spacing w:line="240" w:lineRule="auto"/>
        <w:ind w:firstLine="0"/>
        <w:rPr>
          <w:rFonts w:cs="Arial"/>
          <w:color w:val="2E74B5" w:themeColor="accent1" w:themeShade="BF"/>
          <w:sz w:val="24"/>
          <w:szCs w:val="24"/>
        </w:rPr>
      </w:pPr>
    </w:p>
    <w:p w:rsidR="009D1E5E" w:rsidRPr="006D7FAD" w:rsidRDefault="009D1E5E" w:rsidP="008934DD">
      <w:pPr>
        <w:pStyle w:val="corte4fondo"/>
        <w:tabs>
          <w:tab w:val="left" w:pos="567"/>
        </w:tabs>
        <w:spacing w:line="240" w:lineRule="auto"/>
        <w:ind w:firstLine="0"/>
        <w:rPr>
          <w:rFonts w:cs="Arial"/>
          <w:color w:val="2E74B5" w:themeColor="accent1" w:themeShade="BF"/>
          <w:sz w:val="24"/>
          <w:szCs w:val="24"/>
        </w:rPr>
      </w:pPr>
      <w:r w:rsidRPr="006D7FAD">
        <w:rPr>
          <w:rFonts w:cs="Arial"/>
          <w:color w:val="2E74B5" w:themeColor="accent1" w:themeShade="BF"/>
          <w:sz w:val="24"/>
          <w:szCs w:val="24"/>
        </w:rPr>
        <w:tab/>
        <w:t>Que una vez que la presente resolución sea notificada a las partes, la ponencia mande archivar el presente asunto como totalmente concluido.</w:t>
      </w:r>
    </w:p>
    <w:p w:rsidR="009D1E5E" w:rsidRPr="006D7FAD" w:rsidRDefault="009D1E5E" w:rsidP="008934DD">
      <w:pPr>
        <w:pStyle w:val="corte4fondo"/>
        <w:tabs>
          <w:tab w:val="left" w:pos="567"/>
        </w:tabs>
        <w:spacing w:line="240" w:lineRule="auto"/>
        <w:ind w:firstLine="0"/>
        <w:rPr>
          <w:rFonts w:cs="Arial"/>
          <w:color w:val="2E74B5" w:themeColor="accent1" w:themeShade="BF"/>
          <w:sz w:val="24"/>
          <w:szCs w:val="24"/>
        </w:rPr>
      </w:pPr>
    </w:p>
    <w:p w:rsidR="009D1E5E" w:rsidRPr="006D7FAD" w:rsidRDefault="009D1E5E" w:rsidP="008934DD">
      <w:pPr>
        <w:pStyle w:val="corte4fondo"/>
        <w:tabs>
          <w:tab w:val="left" w:pos="567"/>
        </w:tabs>
        <w:spacing w:line="240" w:lineRule="auto"/>
        <w:ind w:firstLine="0"/>
        <w:rPr>
          <w:rFonts w:cs="Arial"/>
          <w:color w:val="2E74B5" w:themeColor="accent1" w:themeShade="BF"/>
          <w:sz w:val="24"/>
          <w:szCs w:val="24"/>
        </w:rPr>
      </w:pPr>
      <w:r w:rsidRPr="006D7FAD">
        <w:rPr>
          <w:rFonts w:cs="Arial"/>
          <w:b/>
          <w:color w:val="2E74B5" w:themeColor="accent1" w:themeShade="BF"/>
          <w:sz w:val="24"/>
          <w:szCs w:val="24"/>
        </w:rPr>
        <w:tab/>
      </w:r>
      <w:r w:rsidRPr="006D7FAD">
        <w:rPr>
          <w:rFonts w:cs="Arial"/>
          <w:color w:val="2E74B5" w:themeColor="accent1" w:themeShade="BF"/>
          <w:sz w:val="24"/>
          <w:szCs w:val="24"/>
        </w:rPr>
        <w:tab/>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506CEC" w:rsidRPr="006D7FAD" w:rsidRDefault="00506CEC" w:rsidP="008934DD">
      <w:pPr>
        <w:pStyle w:val="corte4fondo"/>
        <w:tabs>
          <w:tab w:val="left" w:pos="567"/>
        </w:tabs>
        <w:spacing w:line="240" w:lineRule="auto"/>
        <w:ind w:firstLine="0"/>
        <w:rPr>
          <w:rFonts w:cs="Arial"/>
          <w:color w:val="2E74B5" w:themeColor="accent1" w:themeShade="BF"/>
          <w:sz w:val="24"/>
          <w:szCs w:val="24"/>
        </w:rPr>
      </w:pPr>
    </w:p>
    <w:p w:rsidR="00506CEC" w:rsidRPr="006D7FAD" w:rsidRDefault="00506CEC" w:rsidP="008934DD">
      <w:pPr>
        <w:pStyle w:val="corte4fondo"/>
        <w:tabs>
          <w:tab w:val="left" w:pos="567"/>
        </w:tabs>
        <w:spacing w:line="240" w:lineRule="auto"/>
        <w:rPr>
          <w:rFonts w:cs="Arial"/>
          <w:color w:val="2E74B5" w:themeColor="accent1" w:themeShade="BF"/>
          <w:sz w:val="24"/>
          <w:szCs w:val="24"/>
        </w:rPr>
      </w:pPr>
      <w:r w:rsidRPr="006D7FAD">
        <w:rPr>
          <w:rFonts w:cs="Arial"/>
          <w:color w:val="2E74B5" w:themeColor="accent1" w:themeShade="BF"/>
          <w:sz w:val="24"/>
          <w:szCs w:val="24"/>
        </w:rPr>
        <w:t>Por lo expuesto y fundado, SE RESUELVE:</w:t>
      </w:r>
    </w:p>
    <w:p w:rsidR="00506CEC" w:rsidRDefault="00506CEC" w:rsidP="008934DD">
      <w:pPr>
        <w:pStyle w:val="corte4fondo"/>
        <w:spacing w:line="240" w:lineRule="auto"/>
        <w:rPr>
          <w:rFonts w:cs="Arial"/>
          <w:color w:val="2E74B5" w:themeColor="accent1" w:themeShade="BF"/>
          <w:sz w:val="24"/>
          <w:szCs w:val="24"/>
        </w:rPr>
      </w:pPr>
    </w:p>
    <w:p w:rsidR="00061060" w:rsidRPr="006D7FAD" w:rsidRDefault="00061060" w:rsidP="008934DD">
      <w:pPr>
        <w:pStyle w:val="corte4fondo"/>
        <w:spacing w:line="240" w:lineRule="auto"/>
        <w:rPr>
          <w:rFonts w:cs="Arial"/>
          <w:color w:val="2E74B5" w:themeColor="accent1" w:themeShade="BF"/>
          <w:sz w:val="24"/>
          <w:szCs w:val="24"/>
        </w:rPr>
      </w:pPr>
    </w:p>
    <w:p w:rsidR="009D1E5E" w:rsidRPr="006D7FAD" w:rsidRDefault="009D1E5E" w:rsidP="008934DD">
      <w:pPr>
        <w:pStyle w:val="corte4fondo"/>
        <w:tabs>
          <w:tab w:val="left" w:pos="567"/>
        </w:tabs>
        <w:spacing w:line="240" w:lineRule="auto"/>
        <w:jc w:val="center"/>
        <w:rPr>
          <w:rFonts w:cs="Arial"/>
          <w:color w:val="2E74B5" w:themeColor="accent1" w:themeShade="BF"/>
          <w:sz w:val="24"/>
          <w:szCs w:val="24"/>
        </w:rPr>
      </w:pPr>
      <w:r w:rsidRPr="006D7FAD">
        <w:rPr>
          <w:rFonts w:cs="Arial"/>
          <w:b/>
          <w:color w:val="2E74B5" w:themeColor="accent1" w:themeShade="BF"/>
          <w:sz w:val="24"/>
          <w:szCs w:val="24"/>
        </w:rPr>
        <w:t>RESOLUTIVOS</w:t>
      </w:r>
      <w:r w:rsidRPr="006D7FAD">
        <w:rPr>
          <w:rFonts w:cs="Arial"/>
          <w:color w:val="2E74B5" w:themeColor="accent1" w:themeShade="BF"/>
          <w:sz w:val="24"/>
          <w:szCs w:val="24"/>
        </w:rPr>
        <w:t xml:space="preserve"> </w:t>
      </w:r>
    </w:p>
    <w:p w:rsidR="009D1E5E" w:rsidRPr="006D7FAD" w:rsidRDefault="009D1E5E" w:rsidP="008934DD">
      <w:pPr>
        <w:pStyle w:val="corte4fondo"/>
        <w:tabs>
          <w:tab w:val="left" w:pos="567"/>
        </w:tabs>
        <w:spacing w:line="240" w:lineRule="auto"/>
        <w:jc w:val="center"/>
        <w:rPr>
          <w:rFonts w:cs="Arial"/>
          <w:color w:val="2E74B5" w:themeColor="accent1" w:themeShade="BF"/>
          <w:sz w:val="24"/>
          <w:szCs w:val="24"/>
        </w:rPr>
      </w:pPr>
    </w:p>
    <w:p w:rsidR="00BF36B4" w:rsidRPr="006D7FAD" w:rsidRDefault="00BF36B4" w:rsidP="008934DD">
      <w:pPr>
        <w:pStyle w:val="corte4fondo"/>
        <w:spacing w:line="240" w:lineRule="auto"/>
        <w:rPr>
          <w:rFonts w:cs="Arial"/>
          <w:color w:val="2E74B5" w:themeColor="accent1" w:themeShade="BF"/>
          <w:sz w:val="24"/>
          <w:szCs w:val="24"/>
        </w:rPr>
      </w:pPr>
      <w:r w:rsidRPr="006D7FAD">
        <w:rPr>
          <w:rFonts w:cs="Arial"/>
          <w:b/>
          <w:color w:val="2E74B5" w:themeColor="accent1" w:themeShade="BF"/>
          <w:sz w:val="24"/>
          <w:szCs w:val="24"/>
        </w:rPr>
        <w:t>Único.</w:t>
      </w:r>
      <w:r w:rsidRPr="006D7FAD">
        <w:rPr>
          <w:rFonts w:cs="Arial"/>
          <w:color w:val="2E74B5" w:themeColor="accent1" w:themeShade="BF"/>
          <w:sz w:val="24"/>
          <w:szCs w:val="24"/>
        </w:rPr>
        <w:t xml:space="preserve"> Esta Comisión Estatal de Garantía y Acceso a la Información Pública </w:t>
      </w:r>
      <w:r w:rsidRPr="006D7FAD">
        <w:rPr>
          <w:rFonts w:cs="Arial"/>
          <w:b/>
          <w:color w:val="2E74B5" w:themeColor="accent1" w:themeShade="BF"/>
          <w:sz w:val="24"/>
          <w:szCs w:val="24"/>
        </w:rPr>
        <w:t>confirma</w:t>
      </w:r>
      <w:r w:rsidRPr="006D7FAD">
        <w:rPr>
          <w:rFonts w:cs="Arial"/>
          <w:color w:val="2E74B5" w:themeColor="accent1" w:themeShade="BF"/>
          <w:sz w:val="24"/>
          <w:szCs w:val="24"/>
        </w:rPr>
        <w:t xml:space="preserve"> el acto impugnado por los fundamentos y las razones desarrolladas en el considerando </w:t>
      </w:r>
      <w:r w:rsidR="00E83142" w:rsidRPr="006D7FAD">
        <w:rPr>
          <w:rFonts w:cs="Arial"/>
          <w:color w:val="2E74B5" w:themeColor="accent1" w:themeShade="BF"/>
          <w:sz w:val="24"/>
          <w:szCs w:val="24"/>
        </w:rPr>
        <w:t>sexto</w:t>
      </w:r>
      <w:r w:rsidRPr="006D7FAD">
        <w:rPr>
          <w:rFonts w:cs="Arial"/>
          <w:color w:val="2E74B5" w:themeColor="accent1" w:themeShade="BF"/>
          <w:sz w:val="24"/>
          <w:szCs w:val="24"/>
        </w:rPr>
        <w:t xml:space="preserve"> de la presente resolución.</w:t>
      </w:r>
    </w:p>
    <w:p w:rsidR="009D1E5E" w:rsidRPr="006D7FAD" w:rsidRDefault="009D1E5E" w:rsidP="008934DD">
      <w:pPr>
        <w:pStyle w:val="corte4fondo"/>
        <w:tabs>
          <w:tab w:val="left" w:pos="567"/>
        </w:tabs>
        <w:spacing w:line="240" w:lineRule="auto"/>
        <w:rPr>
          <w:rFonts w:cs="Arial"/>
          <w:color w:val="2E74B5" w:themeColor="accent1" w:themeShade="BF"/>
          <w:sz w:val="24"/>
          <w:szCs w:val="24"/>
        </w:rPr>
      </w:pPr>
    </w:p>
    <w:p w:rsidR="00464CFF" w:rsidRPr="006D7FAD" w:rsidRDefault="00464CFF" w:rsidP="008934DD">
      <w:pPr>
        <w:pStyle w:val="corte4fondo"/>
        <w:tabs>
          <w:tab w:val="left" w:pos="567"/>
        </w:tabs>
        <w:spacing w:line="240" w:lineRule="auto"/>
        <w:rPr>
          <w:rFonts w:cs="Arial"/>
          <w:color w:val="2E74B5" w:themeColor="accent1" w:themeShade="BF"/>
          <w:sz w:val="24"/>
          <w:szCs w:val="24"/>
        </w:rPr>
      </w:pPr>
      <w:r w:rsidRPr="006D7FAD">
        <w:rPr>
          <w:rFonts w:cs="Arial"/>
          <w:b/>
          <w:color w:val="2E74B5" w:themeColor="accent1" w:themeShade="BF"/>
          <w:sz w:val="24"/>
          <w:szCs w:val="24"/>
        </w:rPr>
        <w:t xml:space="preserve">Notifíquese; </w:t>
      </w:r>
      <w:r w:rsidRPr="006D7FAD">
        <w:rPr>
          <w:rFonts w:cs="Arial"/>
          <w:color w:val="2E74B5" w:themeColor="accent1" w:themeShade="BF"/>
          <w:sz w:val="24"/>
          <w:szCs w:val="24"/>
        </w:rPr>
        <w:t>por oficio a las autoridades</w:t>
      </w:r>
      <w:r w:rsidRPr="006D7FAD">
        <w:rPr>
          <w:rFonts w:cs="Arial"/>
          <w:b/>
          <w:color w:val="2E74B5" w:themeColor="accent1" w:themeShade="BF"/>
          <w:sz w:val="24"/>
          <w:szCs w:val="24"/>
        </w:rPr>
        <w:t xml:space="preserve"> </w:t>
      </w:r>
      <w:r w:rsidRPr="006D7FAD">
        <w:rPr>
          <w:rFonts w:cs="Arial"/>
          <w:color w:val="2E74B5" w:themeColor="accent1" w:themeShade="BF"/>
          <w:sz w:val="24"/>
          <w:szCs w:val="24"/>
        </w:rPr>
        <w:t>y a la recurrente por el medio que designó.</w:t>
      </w:r>
    </w:p>
    <w:p w:rsidR="00464CFF" w:rsidRPr="006D7FAD" w:rsidRDefault="00464CFF" w:rsidP="008934DD">
      <w:pPr>
        <w:pStyle w:val="corte4fondo"/>
        <w:tabs>
          <w:tab w:val="left" w:pos="567"/>
        </w:tabs>
        <w:spacing w:line="240" w:lineRule="auto"/>
        <w:rPr>
          <w:rFonts w:cs="Arial"/>
          <w:color w:val="2E74B5" w:themeColor="accent1" w:themeShade="BF"/>
          <w:sz w:val="24"/>
          <w:szCs w:val="24"/>
        </w:rPr>
      </w:pPr>
    </w:p>
    <w:p w:rsidR="00464CFF" w:rsidRPr="006D7FAD" w:rsidRDefault="00464CFF" w:rsidP="008934DD">
      <w:pPr>
        <w:pStyle w:val="corte4fondo"/>
        <w:tabs>
          <w:tab w:val="left" w:pos="567"/>
        </w:tabs>
        <w:spacing w:line="240" w:lineRule="auto"/>
        <w:rPr>
          <w:rFonts w:eastAsia="Arial Unicode MS" w:cs="Arial"/>
          <w:color w:val="2E74B5" w:themeColor="accent1" w:themeShade="BF"/>
          <w:sz w:val="24"/>
          <w:szCs w:val="24"/>
        </w:rPr>
      </w:pPr>
      <w:r w:rsidRPr="006D7FAD">
        <w:rPr>
          <w:rFonts w:cs="Arial"/>
          <w:color w:val="2E74B5" w:themeColor="accent1" w:themeShade="BF"/>
          <w:sz w:val="24"/>
          <w:szCs w:val="24"/>
        </w:rPr>
        <w:lastRenderedPageBreak/>
        <w:t>Así, por unanimidad de votos lo resolvió la Comisión Estatal de Garantía de Acceso a la Información Pública, integrada por los Comisionados Ma</w:t>
      </w:r>
      <w:r w:rsidR="00CE254C" w:rsidRPr="006D7FAD">
        <w:rPr>
          <w:rFonts w:cs="Arial"/>
          <w:color w:val="2E74B5" w:themeColor="accent1" w:themeShade="BF"/>
          <w:sz w:val="24"/>
          <w:szCs w:val="24"/>
        </w:rPr>
        <w:t xml:space="preserve">riajosé González Zarzosa, </w:t>
      </w:r>
      <w:r w:rsidRPr="006D7FAD">
        <w:rPr>
          <w:rFonts w:cs="Arial"/>
          <w:color w:val="2E74B5" w:themeColor="accent1" w:themeShade="BF"/>
          <w:sz w:val="24"/>
          <w:szCs w:val="24"/>
        </w:rPr>
        <w:t>Paulina Sánchez Pérez del Pozo,</w:t>
      </w:r>
      <w:r w:rsidR="00057A8F" w:rsidRPr="006D7FAD">
        <w:rPr>
          <w:rFonts w:cs="Arial"/>
          <w:color w:val="2E74B5" w:themeColor="accent1" w:themeShade="BF"/>
          <w:sz w:val="24"/>
          <w:szCs w:val="24"/>
        </w:rPr>
        <w:t xml:space="preserve"> David </w:t>
      </w:r>
      <w:r w:rsidR="00710654" w:rsidRPr="006D7FAD">
        <w:rPr>
          <w:rFonts w:cs="Arial"/>
          <w:color w:val="2E74B5" w:themeColor="accent1" w:themeShade="BF"/>
          <w:sz w:val="24"/>
          <w:szCs w:val="24"/>
        </w:rPr>
        <w:t xml:space="preserve">Enrique </w:t>
      </w:r>
      <w:r w:rsidR="00057A8F" w:rsidRPr="006D7FAD">
        <w:rPr>
          <w:rFonts w:cs="Arial"/>
          <w:color w:val="2E74B5" w:themeColor="accent1" w:themeShade="BF"/>
          <w:sz w:val="24"/>
          <w:szCs w:val="24"/>
        </w:rPr>
        <w:t xml:space="preserve">Menchaca Zúñiga </w:t>
      </w:r>
      <w:r w:rsidRPr="006D7FAD">
        <w:rPr>
          <w:rFonts w:cs="Arial"/>
          <w:color w:val="2E74B5" w:themeColor="accent1" w:themeShade="BF"/>
          <w:sz w:val="24"/>
          <w:szCs w:val="24"/>
        </w:rPr>
        <w:t xml:space="preserve"> Pres</w:t>
      </w:r>
      <w:r w:rsidR="00057A8F" w:rsidRPr="006D7FAD">
        <w:rPr>
          <w:rFonts w:cs="Arial"/>
          <w:color w:val="2E74B5" w:themeColor="accent1" w:themeShade="BF"/>
          <w:sz w:val="24"/>
          <w:szCs w:val="24"/>
        </w:rPr>
        <w:t>idente, siendo ponente la segunda</w:t>
      </w:r>
      <w:r w:rsidRPr="006D7FAD">
        <w:rPr>
          <w:rFonts w:cs="Arial"/>
          <w:color w:val="2E74B5" w:themeColor="accent1" w:themeShade="BF"/>
          <w:sz w:val="24"/>
          <w:szCs w:val="24"/>
        </w:rPr>
        <w:t xml:space="preserve"> de los nombrados, quienes, en unión de la Licenciada Rosa María Motilla García, Secretaria de Pleno que da fe, firman esta resolución. </w:t>
      </w:r>
      <w:r w:rsidRPr="006D7FAD">
        <w:rPr>
          <w:rFonts w:eastAsia="Arial Unicode MS" w:cs="Arial"/>
          <w:color w:val="2E74B5" w:themeColor="accent1" w:themeShade="BF"/>
          <w:sz w:val="24"/>
          <w:szCs w:val="24"/>
        </w:rPr>
        <w:t xml:space="preserve">   </w:t>
      </w:r>
    </w:p>
    <w:p w:rsidR="00464CFF" w:rsidRPr="006D7FAD" w:rsidRDefault="00464CFF" w:rsidP="008934DD">
      <w:pPr>
        <w:spacing w:after="0" w:line="240" w:lineRule="auto"/>
        <w:ind w:left="360" w:firstLine="900"/>
        <w:jc w:val="both"/>
        <w:rPr>
          <w:rFonts w:ascii="Arial" w:eastAsia="Arial Unicode MS" w:hAnsi="Arial" w:cs="Arial"/>
          <w:b/>
          <w:color w:val="2E74B5" w:themeColor="accent1" w:themeShade="BF"/>
          <w:sz w:val="24"/>
          <w:szCs w:val="24"/>
        </w:rPr>
      </w:pPr>
    </w:p>
    <w:tbl>
      <w:tblPr>
        <w:tblW w:w="9463" w:type="dxa"/>
        <w:jc w:val="center"/>
        <w:tblLook w:val="01E0" w:firstRow="1" w:lastRow="1" w:firstColumn="1" w:lastColumn="1" w:noHBand="0" w:noVBand="0"/>
      </w:tblPr>
      <w:tblGrid>
        <w:gridCol w:w="4351"/>
        <w:gridCol w:w="147"/>
        <w:gridCol w:w="172"/>
        <w:gridCol w:w="4793"/>
      </w:tblGrid>
      <w:tr w:rsidR="00506CEC" w:rsidRPr="006D7FAD" w:rsidTr="005F309C">
        <w:trPr>
          <w:trHeight w:val="852"/>
          <w:jc w:val="center"/>
        </w:trPr>
        <w:tc>
          <w:tcPr>
            <w:tcW w:w="4498" w:type="dxa"/>
            <w:gridSpan w:val="2"/>
          </w:tcPr>
          <w:p w:rsidR="00464CFF" w:rsidRPr="006D7FAD" w:rsidRDefault="00464CFF" w:rsidP="008934DD">
            <w:pPr>
              <w:spacing w:after="0" w:line="240" w:lineRule="auto"/>
              <w:jc w:val="center"/>
              <w:rPr>
                <w:rFonts w:ascii="Arial" w:eastAsia="Arial Unicode MS" w:hAnsi="Arial" w:cs="Arial"/>
                <w:b/>
                <w:color w:val="2E74B5" w:themeColor="accent1" w:themeShade="BF"/>
                <w:sz w:val="24"/>
                <w:szCs w:val="24"/>
              </w:rPr>
            </w:pPr>
            <w:r w:rsidRPr="006D7FAD">
              <w:rPr>
                <w:rFonts w:ascii="Arial" w:eastAsia="Arial Unicode MS" w:hAnsi="Arial" w:cs="Arial"/>
                <w:b/>
                <w:color w:val="2E74B5" w:themeColor="accent1" w:themeShade="BF"/>
                <w:sz w:val="24"/>
                <w:szCs w:val="24"/>
              </w:rPr>
              <w:t xml:space="preserve">        CO</w:t>
            </w:r>
            <w:bookmarkStart w:id="0" w:name="_GoBack"/>
            <w:bookmarkEnd w:id="0"/>
            <w:r w:rsidRPr="006D7FAD">
              <w:rPr>
                <w:rFonts w:ascii="Arial" w:eastAsia="Arial Unicode MS" w:hAnsi="Arial" w:cs="Arial"/>
                <w:b/>
                <w:color w:val="2E74B5" w:themeColor="accent1" w:themeShade="BF"/>
                <w:sz w:val="24"/>
                <w:szCs w:val="24"/>
              </w:rPr>
              <w:t xml:space="preserve">MISIONADA </w:t>
            </w:r>
          </w:p>
          <w:p w:rsidR="00464CFF" w:rsidRPr="006D7FAD" w:rsidRDefault="00464CFF" w:rsidP="008934DD">
            <w:pPr>
              <w:spacing w:after="0" w:line="240" w:lineRule="auto"/>
              <w:ind w:left="360" w:firstLine="708"/>
              <w:jc w:val="center"/>
              <w:rPr>
                <w:rFonts w:ascii="Arial" w:eastAsia="Arial Unicode MS" w:hAnsi="Arial" w:cs="Arial"/>
                <w:b/>
                <w:color w:val="2E74B5" w:themeColor="accent1" w:themeShade="BF"/>
                <w:sz w:val="24"/>
                <w:szCs w:val="24"/>
              </w:rPr>
            </w:pPr>
          </w:p>
          <w:p w:rsidR="00464CFF" w:rsidRPr="006D7FAD" w:rsidRDefault="00464CFF" w:rsidP="008934DD">
            <w:pPr>
              <w:spacing w:after="0" w:line="240" w:lineRule="auto"/>
              <w:ind w:left="360" w:firstLine="708"/>
              <w:jc w:val="center"/>
              <w:rPr>
                <w:rFonts w:ascii="Arial" w:eastAsia="Arial Unicode MS" w:hAnsi="Arial" w:cs="Arial"/>
                <w:b/>
                <w:color w:val="2E74B5" w:themeColor="accent1" w:themeShade="BF"/>
                <w:sz w:val="24"/>
                <w:szCs w:val="24"/>
              </w:rPr>
            </w:pPr>
          </w:p>
          <w:p w:rsidR="00464CFF" w:rsidRPr="006D7FAD" w:rsidRDefault="00464CFF" w:rsidP="008934DD">
            <w:pPr>
              <w:tabs>
                <w:tab w:val="left" w:pos="1358"/>
              </w:tabs>
              <w:spacing w:after="0" w:line="240" w:lineRule="auto"/>
              <w:ind w:firstLine="36"/>
              <w:jc w:val="center"/>
              <w:rPr>
                <w:rFonts w:ascii="Arial" w:eastAsia="Arial Unicode MS" w:hAnsi="Arial" w:cs="Arial"/>
                <w:b/>
                <w:color w:val="2E74B5" w:themeColor="accent1" w:themeShade="BF"/>
                <w:sz w:val="24"/>
                <w:szCs w:val="24"/>
              </w:rPr>
            </w:pPr>
            <w:r w:rsidRPr="006D7FAD">
              <w:rPr>
                <w:rFonts w:ascii="Arial" w:eastAsia="Arial Unicode MS" w:hAnsi="Arial" w:cs="Arial"/>
                <w:b/>
                <w:color w:val="2E74B5" w:themeColor="accent1" w:themeShade="BF"/>
                <w:sz w:val="24"/>
                <w:szCs w:val="24"/>
              </w:rPr>
              <w:t xml:space="preserve">MARIAJOSÉ </w:t>
            </w:r>
          </w:p>
          <w:p w:rsidR="00464CFF" w:rsidRPr="006D7FAD" w:rsidRDefault="00464CFF" w:rsidP="008934DD">
            <w:pPr>
              <w:spacing w:after="0" w:line="240" w:lineRule="auto"/>
              <w:ind w:left="360" w:firstLine="36"/>
              <w:jc w:val="center"/>
              <w:rPr>
                <w:rFonts w:ascii="Arial" w:eastAsia="Arial Unicode MS" w:hAnsi="Arial" w:cs="Arial"/>
                <w:b/>
                <w:color w:val="2E74B5" w:themeColor="accent1" w:themeShade="BF"/>
                <w:sz w:val="24"/>
                <w:szCs w:val="24"/>
              </w:rPr>
            </w:pPr>
            <w:r w:rsidRPr="006D7FAD">
              <w:rPr>
                <w:rFonts w:ascii="Arial" w:eastAsia="Arial Unicode MS" w:hAnsi="Arial" w:cs="Arial"/>
                <w:b/>
                <w:color w:val="2E74B5" w:themeColor="accent1" w:themeShade="BF"/>
                <w:sz w:val="24"/>
                <w:szCs w:val="24"/>
              </w:rPr>
              <w:t xml:space="preserve">GONZÁLEZ ZARZOSA </w:t>
            </w:r>
          </w:p>
          <w:p w:rsidR="00464CFF" w:rsidRPr="006D7FAD" w:rsidRDefault="00464CFF" w:rsidP="008934DD">
            <w:pPr>
              <w:spacing w:after="0" w:line="240" w:lineRule="auto"/>
              <w:ind w:left="360" w:firstLine="708"/>
              <w:jc w:val="center"/>
              <w:rPr>
                <w:rFonts w:ascii="Arial" w:eastAsia="Arial Unicode MS" w:hAnsi="Arial" w:cs="Arial"/>
                <w:b/>
                <w:color w:val="2E74B5" w:themeColor="accent1" w:themeShade="BF"/>
                <w:sz w:val="24"/>
                <w:szCs w:val="24"/>
              </w:rPr>
            </w:pPr>
          </w:p>
          <w:p w:rsidR="00464CFF" w:rsidRPr="006D7FAD" w:rsidRDefault="00464CFF" w:rsidP="008934DD">
            <w:pPr>
              <w:spacing w:after="0" w:line="240" w:lineRule="auto"/>
              <w:rPr>
                <w:rFonts w:ascii="Arial" w:eastAsia="Arial Unicode MS" w:hAnsi="Arial" w:cs="Arial"/>
                <w:b/>
                <w:color w:val="2E74B5" w:themeColor="accent1" w:themeShade="BF"/>
                <w:sz w:val="24"/>
                <w:szCs w:val="24"/>
              </w:rPr>
            </w:pPr>
            <w:r w:rsidRPr="006D7FAD">
              <w:rPr>
                <w:rFonts w:ascii="Arial" w:eastAsia="Arial Unicode MS" w:hAnsi="Arial" w:cs="Arial"/>
                <w:b/>
                <w:color w:val="2E74B5" w:themeColor="accent1" w:themeShade="BF"/>
                <w:sz w:val="24"/>
                <w:szCs w:val="24"/>
              </w:rPr>
              <w:t xml:space="preserve">                   </w:t>
            </w:r>
          </w:p>
          <w:p w:rsidR="00464CFF" w:rsidRPr="006D7FAD" w:rsidRDefault="00464CFF" w:rsidP="008934DD">
            <w:pPr>
              <w:spacing w:after="0" w:line="240" w:lineRule="auto"/>
              <w:rPr>
                <w:rFonts w:ascii="Arial" w:eastAsia="Arial Unicode MS" w:hAnsi="Arial" w:cs="Arial"/>
                <w:b/>
                <w:color w:val="2E74B5" w:themeColor="accent1" w:themeShade="BF"/>
                <w:sz w:val="24"/>
                <w:szCs w:val="24"/>
              </w:rPr>
            </w:pPr>
          </w:p>
        </w:tc>
        <w:tc>
          <w:tcPr>
            <w:tcW w:w="4965" w:type="dxa"/>
            <w:gridSpan w:val="2"/>
          </w:tcPr>
          <w:p w:rsidR="00464CFF" w:rsidRPr="006D7FAD" w:rsidRDefault="00057A8F" w:rsidP="008934DD">
            <w:pPr>
              <w:spacing w:after="0" w:line="240" w:lineRule="auto"/>
              <w:rPr>
                <w:rFonts w:ascii="Arial" w:eastAsia="Arial Unicode MS" w:hAnsi="Arial" w:cs="Arial"/>
                <w:b/>
                <w:color w:val="2E74B5" w:themeColor="accent1" w:themeShade="BF"/>
                <w:sz w:val="24"/>
                <w:szCs w:val="24"/>
              </w:rPr>
            </w:pPr>
            <w:r w:rsidRPr="006D7FAD">
              <w:rPr>
                <w:rFonts w:ascii="Arial" w:eastAsia="Arial Unicode MS" w:hAnsi="Arial" w:cs="Arial"/>
                <w:b/>
                <w:color w:val="2E74B5" w:themeColor="accent1" w:themeShade="BF"/>
                <w:sz w:val="24"/>
                <w:szCs w:val="24"/>
              </w:rPr>
              <w:t xml:space="preserve">        </w:t>
            </w:r>
            <w:r w:rsidR="00464CFF" w:rsidRPr="006D7FAD">
              <w:rPr>
                <w:rFonts w:ascii="Arial" w:eastAsia="Arial Unicode MS" w:hAnsi="Arial" w:cs="Arial"/>
                <w:b/>
                <w:color w:val="2E74B5" w:themeColor="accent1" w:themeShade="BF"/>
                <w:sz w:val="24"/>
                <w:szCs w:val="24"/>
              </w:rPr>
              <w:t xml:space="preserve">COMISIONADO </w:t>
            </w:r>
            <w:r w:rsidRPr="006D7FAD">
              <w:rPr>
                <w:rFonts w:ascii="Arial" w:eastAsia="Arial Unicode MS" w:hAnsi="Arial" w:cs="Arial"/>
                <w:b/>
                <w:color w:val="2E74B5" w:themeColor="accent1" w:themeShade="BF"/>
                <w:sz w:val="24"/>
                <w:szCs w:val="24"/>
              </w:rPr>
              <w:t>PRESIDENTE</w:t>
            </w:r>
          </w:p>
          <w:p w:rsidR="00464CFF" w:rsidRPr="006D7FAD" w:rsidRDefault="00464CFF" w:rsidP="008934DD">
            <w:pPr>
              <w:spacing w:after="0" w:line="240" w:lineRule="auto"/>
              <w:ind w:left="360" w:firstLine="708"/>
              <w:jc w:val="center"/>
              <w:rPr>
                <w:rFonts w:ascii="Arial" w:eastAsia="Arial Unicode MS" w:hAnsi="Arial" w:cs="Arial"/>
                <w:b/>
                <w:color w:val="2E74B5" w:themeColor="accent1" w:themeShade="BF"/>
                <w:sz w:val="24"/>
                <w:szCs w:val="24"/>
              </w:rPr>
            </w:pPr>
          </w:p>
          <w:p w:rsidR="00464CFF" w:rsidRPr="006D7FAD" w:rsidRDefault="00464CFF" w:rsidP="008934DD">
            <w:pPr>
              <w:spacing w:after="0" w:line="240" w:lineRule="auto"/>
              <w:ind w:left="360" w:firstLine="708"/>
              <w:jc w:val="center"/>
              <w:rPr>
                <w:rFonts w:ascii="Arial" w:eastAsia="Arial Unicode MS" w:hAnsi="Arial" w:cs="Arial"/>
                <w:b/>
                <w:color w:val="2E74B5" w:themeColor="accent1" w:themeShade="BF"/>
                <w:sz w:val="24"/>
                <w:szCs w:val="24"/>
              </w:rPr>
            </w:pPr>
          </w:p>
          <w:p w:rsidR="00464CFF" w:rsidRPr="006D7FAD" w:rsidRDefault="00057A8F" w:rsidP="008934DD">
            <w:pPr>
              <w:spacing w:after="0" w:line="240" w:lineRule="auto"/>
              <w:rPr>
                <w:rFonts w:cs="Arial"/>
                <w:i/>
                <w:color w:val="2E74B5" w:themeColor="accent1" w:themeShade="BF"/>
                <w:sz w:val="24"/>
                <w:szCs w:val="24"/>
              </w:rPr>
            </w:pPr>
            <w:r w:rsidRPr="006D7FAD">
              <w:rPr>
                <w:rFonts w:ascii="Arial" w:eastAsia="Arial Unicode MS" w:hAnsi="Arial" w:cs="Arial"/>
                <w:b/>
                <w:color w:val="2E74B5" w:themeColor="accent1" w:themeShade="BF"/>
                <w:sz w:val="24"/>
                <w:szCs w:val="24"/>
              </w:rPr>
              <w:t xml:space="preserve">     </w:t>
            </w:r>
            <w:r w:rsidR="00464CFF" w:rsidRPr="006D7FAD">
              <w:rPr>
                <w:rFonts w:ascii="Arial" w:eastAsia="Arial Unicode MS" w:hAnsi="Arial" w:cs="Arial"/>
                <w:b/>
                <w:color w:val="2E74B5" w:themeColor="accent1" w:themeShade="BF"/>
                <w:sz w:val="24"/>
                <w:szCs w:val="24"/>
              </w:rPr>
              <w:t>MTRO.</w:t>
            </w:r>
            <w:r w:rsidRPr="006D7FAD">
              <w:rPr>
                <w:rFonts w:ascii="Arial" w:eastAsia="Arial Unicode MS" w:hAnsi="Arial" w:cs="Arial"/>
                <w:b/>
                <w:color w:val="2E74B5" w:themeColor="accent1" w:themeShade="BF"/>
                <w:sz w:val="24"/>
                <w:szCs w:val="24"/>
              </w:rPr>
              <w:t xml:space="preserve"> DAVID</w:t>
            </w:r>
            <w:r w:rsidR="00710654" w:rsidRPr="006D7FAD">
              <w:rPr>
                <w:rFonts w:ascii="Arial" w:eastAsia="Arial Unicode MS" w:hAnsi="Arial" w:cs="Arial"/>
                <w:b/>
                <w:color w:val="2E74B5" w:themeColor="accent1" w:themeShade="BF"/>
                <w:sz w:val="24"/>
                <w:szCs w:val="24"/>
              </w:rPr>
              <w:t xml:space="preserve"> ENRIQUE</w:t>
            </w:r>
            <w:r w:rsidRPr="006D7FAD">
              <w:rPr>
                <w:rFonts w:ascii="Arial" w:eastAsia="Arial Unicode MS" w:hAnsi="Arial" w:cs="Arial"/>
                <w:b/>
                <w:color w:val="2E74B5" w:themeColor="accent1" w:themeShade="BF"/>
                <w:sz w:val="24"/>
                <w:szCs w:val="24"/>
              </w:rPr>
              <w:t xml:space="preserve"> MENCHACA ZUÑIGA</w:t>
            </w:r>
          </w:p>
          <w:p w:rsidR="00464CFF" w:rsidRPr="006D7FAD" w:rsidRDefault="00464CFF" w:rsidP="008934DD">
            <w:pPr>
              <w:spacing w:after="0" w:line="240" w:lineRule="auto"/>
              <w:ind w:left="360" w:firstLine="708"/>
              <w:jc w:val="center"/>
              <w:rPr>
                <w:rFonts w:ascii="Arial" w:eastAsia="Arial Unicode MS" w:hAnsi="Arial" w:cs="Arial"/>
                <w:b/>
                <w:color w:val="2E74B5" w:themeColor="accent1" w:themeShade="BF"/>
                <w:sz w:val="24"/>
                <w:szCs w:val="24"/>
              </w:rPr>
            </w:pPr>
          </w:p>
          <w:p w:rsidR="00464CFF" w:rsidRPr="006D7FAD" w:rsidRDefault="00464CFF" w:rsidP="008934DD">
            <w:pPr>
              <w:pStyle w:val="corte4fondo"/>
              <w:tabs>
                <w:tab w:val="left" w:pos="567"/>
              </w:tabs>
              <w:spacing w:line="240" w:lineRule="auto"/>
              <w:ind w:firstLine="0"/>
              <w:rPr>
                <w:rFonts w:eastAsia="Arial Unicode MS" w:cs="Arial"/>
                <w:b/>
                <w:color w:val="2E74B5" w:themeColor="accent1" w:themeShade="BF"/>
                <w:sz w:val="24"/>
                <w:szCs w:val="24"/>
              </w:rPr>
            </w:pPr>
          </w:p>
        </w:tc>
      </w:tr>
      <w:tr w:rsidR="00506CEC" w:rsidRPr="006D7FAD" w:rsidTr="005F309C">
        <w:trPr>
          <w:trHeight w:val="669"/>
          <w:jc w:val="center"/>
        </w:trPr>
        <w:tc>
          <w:tcPr>
            <w:tcW w:w="4351" w:type="dxa"/>
          </w:tcPr>
          <w:p w:rsidR="00464CFF" w:rsidRPr="006D7FAD" w:rsidRDefault="00057A8F" w:rsidP="008934DD">
            <w:pPr>
              <w:spacing w:after="0" w:line="240" w:lineRule="auto"/>
              <w:ind w:left="360" w:hanging="360"/>
              <w:jc w:val="center"/>
              <w:rPr>
                <w:rFonts w:ascii="Arial" w:eastAsia="Arial Unicode MS" w:hAnsi="Arial" w:cs="Arial"/>
                <w:b/>
                <w:color w:val="2E74B5" w:themeColor="accent1" w:themeShade="BF"/>
                <w:sz w:val="24"/>
                <w:szCs w:val="24"/>
              </w:rPr>
            </w:pPr>
            <w:r w:rsidRPr="006D7FAD">
              <w:rPr>
                <w:rFonts w:ascii="Arial" w:eastAsia="Arial Unicode MS" w:hAnsi="Arial" w:cs="Arial"/>
                <w:b/>
                <w:color w:val="2E74B5" w:themeColor="accent1" w:themeShade="BF"/>
                <w:sz w:val="24"/>
                <w:szCs w:val="24"/>
              </w:rPr>
              <w:t xml:space="preserve">COMISIONADA </w:t>
            </w:r>
          </w:p>
          <w:p w:rsidR="00464CFF" w:rsidRPr="006D7FAD" w:rsidRDefault="00464CFF" w:rsidP="008934DD">
            <w:pPr>
              <w:spacing w:after="0" w:line="240" w:lineRule="auto"/>
              <w:ind w:left="360"/>
              <w:rPr>
                <w:rFonts w:ascii="Arial" w:eastAsia="Arial Unicode MS" w:hAnsi="Arial" w:cs="Arial"/>
                <w:b/>
                <w:color w:val="2E74B5" w:themeColor="accent1" w:themeShade="BF"/>
                <w:sz w:val="24"/>
                <w:szCs w:val="24"/>
              </w:rPr>
            </w:pPr>
          </w:p>
          <w:p w:rsidR="00464CFF" w:rsidRPr="006D7FAD" w:rsidRDefault="00464CFF" w:rsidP="008934DD">
            <w:pPr>
              <w:spacing w:after="0" w:line="240" w:lineRule="auto"/>
              <w:ind w:left="360"/>
              <w:rPr>
                <w:rFonts w:ascii="Arial" w:eastAsia="Arial Unicode MS" w:hAnsi="Arial" w:cs="Arial"/>
                <w:b/>
                <w:color w:val="2E74B5" w:themeColor="accent1" w:themeShade="BF"/>
                <w:sz w:val="24"/>
                <w:szCs w:val="24"/>
              </w:rPr>
            </w:pPr>
          </w:p>
          <w:p w:rsidR="00464CFF" w:rsidRPr="006D7FAD" w:rsidRDefault="00464CFF" w:rsidP="008934DD">
            <w:pPr>
              <w:spacing w:after="0" w:line="240" w:lineRule="auto"/>
              <w:jc w:val="center"/>
              <w:rPr>
                <w:rFonts w:ascii="Arial" w:eastAsia="Arial Unicode MS" w:hAnsi="Arial" w:cs="Arial"/>
                <w:b/>
                <w:color w:val="2E74B5" w:themeColor="accent1" w:themeShade="BF"/>
                <w:sz w:val="24"/>
                <w:szCs w:val="24"/>
              </w:rPr>
            </w:pPr>
            <w:r w:rsidRPr="006D7FAD">
              <w:rPr>
                <w:rFonts w:ascii="Arial" w:eastAsia="Arial Unicode MS" w:hAnsi="Arial" w:cs="Arial"/>
                <w:b/>
                <w:color w:val="2E74B5" w:themeColor="accent1" w:themeShade="BF"/>
                <w:sz w:val="24"/>
                <w:szCs w:val="24"/>
              </w:rPr>
              <w:t xml:space="preserve">LIC. PAULINA SÁNCHEZ </w:t>
            </w:r>
          </w:p>
          <w:p w:rsidR="00464CFF" w:rsidRPr="006D7FAD" w:rsidRDefault="00464CFF" w:rsidP="008934DD">
            <w:pPr>
              <w:spacing w:after="0" w:line="240" w:lineRule="auto"/>
              <w:jc w:val="center"/>
              <w:rPr>
                <w:rFonts w:ascii="Arial" w:eastAsia="Arial Unicode MS" w:hAnsi="Arial" w:cs="Arial"/>
                <w:b/>
                <w:color w:val="2E74B5" w:themeColor="accent1" w:themeShade="BF"/>
                <w:sz w:val="24"/>
                <w:szCs w:val="24"/>
              </w:rPr>
            </w:pPr>
            <w:r w:rsidRPr="006D7FAD">
              <w:rPr>
                <w:rFonts w:ascii="Arial" w:eastAsia="Arial Unicode MS" w:hAnsi="Arial" w:cs="Arial"/>
                <w:b/>
                <w:color w:val="2E74B5" w:themeColor="accent1" w:themeShade="BF"/>
                <w:sz w:val="24"/>
                <w:szCs w:val="24"/>
              </w:rPr>
              <w:t>PÉREZ DEL POZO</w:t>
            </w:r>
          </w:p>
          <w:p w:rsidR="00464CFF" w:rsidRPr="006D7FAD" w:rsidRDefault="00464CFF" w:rsidP="008934DD">
            <w:pPr>
              <w:spacing w:after="0" w:line="240" w:lineRule="auto"/>
              <w:ind w:left="360" w:firstLine="36"/>
              <w:jc w:val="center"/>
              <w:rPr>
                <w:rFonts w:ascii="Arial" w:eastAsia="Arial Unicode MS" w:hAnsi="Arial" w:cs="Arial"/>
                <w:b/>
                <w:color w:val="2E74B5" w:themeColor="accent1" w:themeShade="BF"/>
                <w:sz w:val="24"/>
                <w:szCs w:val="24"/>
              </w:rPr>
            </w:pPr>
          </w:p>
          <w:p w:rsidR="00464CFF" w:rsidRPr="006D7FAD" w:rsidRDefault="00464CFF" w:rsidP="008934DD">
            <w:pPr>
              <w:spacing w:after="0" w:line="240" w:lineRule="auto"/>
              <w:ind w:left="360" w:firstLine="36"/>
              <w:jc w:val="center"/>
              <w:rPr>
                <w:rFonts w:ascii="Arial" w:eastAsia="Arial Unicode MS" w:hAnsi="Arial" w:cs="Arial"/>
                <w:b/>
                <w:color w:val="2E74B5" w:themeColor="accent1" w:themeShade="BF"/>
                <w:sz w:val="24"/>
                <w:szCs w:val="24"/>
              </w:rPr>
            </w:pPr>
          </w:p>
          <w:p w:rsidR="00464CFF" w:rsidRPr="006D7FAD" w:rsidRDefault="00464CFF" w:rsidP="008934DD">
            <w:pPr>
              <w:spacing w:after="0" w:line="240" w:lineRule="auto"/>
              <w:ind w:left="360" w:firstLine="36"/>
              <w:jc w:val="center"/>
              <w:rPr>
                <w:rFonts w:ascii="Arial" w:eastAsia="Arial Unicode MS" w:hAnsi="Arial" w:cs="Arial"/>
                <w:b/>
                <w:color w:val="2E74B5" w:themeColor="accent1" w:themeShade="BF"/>
                <w:sz w:val="24"/>
                <w:szCs w:val="24"/>
              </w:rPr>
            </w:pPr>
          </w:p>
          <w:p w:rsidR="00464CFF" w:rsidRPr="006D7FAD" w:rsidRDefault="00464CFF" w:rsidP="008934DD">
            <w:pPr>
              <w:spacing w:after="0" w:line="240" w:lineRule="auto"/>
              <w:ind w:left="360" w:firstLine="36"/>
              <w:jc w:val="center"/>
              <w:rPr>
                <w:rFonts w:ascii="Arial" w:eastAsia="Arial Unicode MS" w:hAnsi="Arial" w:cs="Arial"/>
                <w:b/>
                <w:color w:val="2E74B5" w:themeColor="accent1" w:themeShade="BF"/>
                <w:sz w:val="24"/>
                <w:szCs w:val="24"/>
              </w:rPr>
            </w:pPr>
          </w:p>
        </w:tc>
        <w:tc>
          <w:tcPr>
            <w:tcW w:w="319" w:type="dxa"/>
            <w:gridSpan w:val="2"/>
          </w:tcPr>
          <w:p w:rsidR="00464CFF" w:rsidRPr="006D7FAD" w:rsidRDefault="00464CFF" w:rsidP="008934DD">
            <w:pPr>
              <w:spacing w:after="0" w:line="240" w:lineRule="auto"/>
              <w:ind w:left="360" w:firstLine="708"/>
              <w:jc w:val="center"/>
              <w:rPr>
                <w:rFonts w:ascii="Arial" w:eastAsia="Arial Unicode MS" w:hAnsi="Arial" w:cs="Arial"/>
                <w:b/>
                <w:color w:val="2E74B5" w:themeColor="accent1" w:themeShade="BF"/>
                <w:sz w:val="24"/>
                <w:szCs w:val="24"/>
              </w:rPr>
            </w:pPr>
          </w:p>
        </w:tc>
        <w:tc>
          <w:tcPr>
            <w:tcW w:w="4793" w:type="dxa"/>
          </w:tcPr>
          <w:p w:rsidR="00464CFF" w:rsidRPr="006D7FAD" w:rsidRDefault="00464CFF" w:rsidP="008934DD">
            <w:pPr>
              <w:spacing w:after="0" w:line="240" w:lineRule="auto"/>
              <w:ind w:left="360" w:firstLine="708"/>
              <w:rPr>
                <w:rFonts w:ascii="Arial" w:eastAsia="Arial Unicode MS" w:hAnsi="Arial" w:cs="Arial"/>
                <w:b/>
                <w:color w:val="2E74B5" w:themeColor="accent1" w:themeShade="BF"/>
                <w:sz w:val="24"/>
                <w:szCs w:val="24"/>
              </w:rPr>
            </w:pPr>
            <w:r w:rsidRPr="006D7FAD">
              <w:rPr>
                <w:rFonts w:ascii="Arial" w:eastAsia="Arial Unicode MS" w:hAnsi="Arial" w:cs="Arial"/>
                <w:b/>
                <w:color w:val="2E74B5" w:themeColor="accent1" w:themeShade="BF"/>
                <w:sz w:val="24"/>
                <w:szCs w:val="24"/>
              </w:rPr>
              <w:t>SECRETARIA DE PLENO</w:t>
            </w:r>
          </w:p>
          <w:p w:rsidR="00464CFF" w:rsidRPr="006D7FAD" w:rsidRDefault="00464CFF" w:rsidP="008934DD">
            <w:pPr>
              <w:spacing w:after="0" w:line="240" w:lineRule="auto"/>
              <w:ind w:left="360" w:firstLine="708"/>
              <w:jc w:val="center"/>
              <w:rPr>
                <w:rFonts w:ascii="Arial" w:eastAsia="Arial Unicode MS" w:hAnsi="Arial" w:cs="Arial"/>
                <w:b/>
                <w:color w:val="2E74B5" w:themeColor="accent1" w:themeShade="BF"/>
                <w:sz w:val="24"/>
                <w:szCs w:val="24"/>
              </w:rPr>
            </w:pPr>
          </w:p>
          <w:p w:rsidR="00464CFF" w:rsidRPr="006D7FAD" w:rsidRDefault="00464CFF" w:rsidP="008934DD">
            <w:pPr>
              <w:spacing w:after="0" w:line="240" w:lineRule="auto"/>
              <w:ind w:left="360" w:firstLine="708"/>
              <w:jc w:val="center"/>
              <w:rPr>
                <w:rFonts w:ascii="Arial" w:eastAsia="Arial Unicode MS" w:hAnsi="Arial" w:cs="Arial"/>
                <w:b/>
                <w:color w:val="2E74B5" w:themeColor="accent1" w:themeShade="BF"/>
                <w:sz w:val="24"/>
                <w:szCs w:val="24"/>
              </w:rPr>
            </w:pPr>
          </w:p>
          <w:p w:rsidR="00464CFF" w:rsidRPr="006D7FAD" w:rsidRDefault="00464CFF" w:rsidP="008934DD">
            <w:pPr>
              <w:spacing w:after="0" w:line="240" w:lineRule="auto"/>
              <w:ind w:left="360" w:hanging="360"/>
              <w:jc w:val="center"/>
              <w:rPr>
                <w:rFonts w:ascii="Arial" w:eastAsia="Arial Unicode MS" w:hAnsi="Arial" w:cs="Arial"/>
                <w:b/>
                <w:color w:val="2E74B5" w:themeColor="accent1" w:themeShade="BF"/>
                <w:sz w:val="24"/>
                <w:szCs w:val="24"/>
              </w:rPr>
            </w:pPr>
            <w:r w:rsidRPr="006D7FAD">
              <w:rPr>
                <w:rFonts w:ascii="Arial" w:eastAsia="Arial Unicode MS" w:hAnsi="Arial" w:cs="Arial"/>
                <w:b/>
                <w:color w:val="2E74B5" w:themeColor="accent1" w:themeShade="BF"/>
                <w:sz w:val="24"/>
                <w:szCs w:val="24"/>
              </w:rPr>
              <w:t xml:space="preserve">LIC. ROSA MARÍA MOTILLA GARCÍA </w:t>
            </w:r>
          </w:p>
        </w:tc>
      </w:tr>
    </w:tbl>
    <w:p w:rsidR="00464CFF" w:rsidRPr="008E0659" w:rsidRDefault="00057A8F" w:rsidP="008934DD">
      <w:pPr>
        <w:pStyle w:val="corte4fondo"/>
        <w:tabs>
          <w:tab w:val="left" w:pos="567"/>
        </w:tabs>
        <w:spacing w:line="240" w:lineRule="auto"/>
        <w:ind w:firstLine="0"/>
        <w:rPr>
          <w:rFonts w:cs="Arial"/>
          <w:color w:val="2E74B5" w:themeColor="accent1" w:themeShade="BF"/>
          <w:sz w:val="14"/>
          <w:szCs w:val="14"/>
        </w:rPr>
      </w:pPr>
      <w:r w:rsidRPr="006D7FAD">
        <w:rPr>
          <w:rFonts w:cs="Arial"/>
          <w:color w:val="2E74B5" w:themeColor="accent1" w:themeShade="BF"/>
          <w:sz w:val="14"/>
          <w:szCs w:val="14"/>
        </w:rPr>
        <w:t>Elaboro MSR/ Reviso DRL</w:t>
      </w:r>
    </w:p>
    <w:p w:rsidR="00464CFF" w:rsidRPr="008E0659" w:rsidRDefault="00464CFF" w:rsidP="008934DD">
      <w:pPr>
        <w:spacing w:after="0" w:line="240" w:lineRule="auto"/>
        <w:rPr>
          <w:rFonts w:ascii="Arial" w:hAnsi="Arial" w:cs="Arial"/>
          <w:color w:val="2E74B5" w:themeColor="accent1" w:themeShade="BF"/>
          <w:sz w:val="24"/>
          <w:szCs w:val="24"/>
        </w:rPr>
      </w:pPr>
    </w:p>
    <w:sectPr w:rsidR="00464CFF" w:rsidRPr="008E0659" w:rsidSect="000057A7">
      <w:headerReference w:type="default" r:id="rId11"/>
      <w:pgSz w:w="12242" w:h="20163" w:code="5"/>
      <w:pgMar w:top="2835" w:right="851" w:bottom="2268"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3968" w:rsidRDefault="00D73968" w:rsidP="00464CFF">
      <w:pPr>
        <w:spacing w:after="0" w:line="240" w:lineRule="auto"/>
      </w:pPr>
      <w:r>
        <w:separator/>
      </w:r>
    </w:p>
  </w:endnote>
  <w:endnote w:type="continuationSeparator" w:id="0">
    <w:p w:rsidR="00D73968" w:rsidRDefault="00D73968" w:rsidP="00464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3968" w:rsidRDefault="00D73968" w:rsidP="00464CFF">
      <w:pPr>
        <w:spacing w:after="0" w:line="240" w:lineRule="auto"/>
      </w:pPr>
      <w:r>
        <w:separator/>
      </w:r>
    </w:p>
  </w:footnote>
  <w:footnote w:type="continuationSeparator" w:id="0">
    <w:p w:rsidR="00D73968" w:rsidRDefault="00D73968" w:rsidP="00464CFF">
      <w:pPr>
        <w:spacing w:after="0" w:line="240" w:lineRule="auto"/>
      </w:pPr>
      <w:r>
        <w:continuationSeparator/>
      </w:r>
    </w:p>
  </w:footnote>
  <w:footnote w:id="1">
    <w:p w:rsidR="00464CFF" w:rsidRPr="00357B42" w:rsidRDefault="00464CFF" w:rsidP="00464CFF">
      <w:pPr>
        <w:pStyle w:val="Textonotapie"/>
        <w:jc w:val="both"/>
        <w:rPr>
          <w:rFonts w:ascii="Arial" w:hAnsi="Arial" w:cs="Arial"/>
          <w:sz w:val="16"/>
          <w:szCs w:val="16"/>
        </w:rPr>
      </w:pPr>
      <w:r w:rsidRPr="00357B42">
        <w:rPr>
          <w:rStyle w:val="Refdenotaalpie"/>
          <w:rFonts w:ascii="Arial" w:hAnsi="Arial" w:cs="Arial"/>
          <w:color w:val="2E74B5" w:themeColor="accent1" w:themeShade="BF"/>
          <w:sz w:val="16"/>
          <w:szCs w:val="16"/>
        </w:rPr>
        <w:footnoteRef/>
      </w:r>
      <w:r w:rsidRPr="00357B42">
        <w:rPr>
          <w:rFonts w:ascii="Arial" w:hAnsi="Arial" w:cs="Arial"/>
          <w:color w:val="2E74B5" w:themeColor="accent1" w:themeShade="BF"/>
          <w:sz w:val="16"/>
          <w:szCs w:val="16"/>
        </w:rPr>
        <w:t xml:space="preserve"> Visible en la foja 1 de autos. </w:t>
      </w:r>
    </w:p>
  </w:footnote>
  <w:footnote w:id="2">
    <w:p w:rsidR="00464CFF" w:rsidRPr="00357B42" w:rsidRDefault="00464CFF" w:rsidP="00464CFF">
      <w:pPr>
        <w:pStyle w:val="Textonotapie"/>
      </w:pPr>
      <w:r w:rsidRPr="00357B42">
        <w:rPr>
          <w:rStyle w:val="Refdenotaalpie"/>
          <w:color w:val="2E74B5" w:themeColor="accent1" w:themeShade="BF"/>
        </w:rPr>
        <w:footnoteRef/>
      </w:r>
      <w:r w:rsidRPr="00357B42">
        <w:rPr>
          <w:color w:val="2E74B5" w:themeColor="accent1" w:themeShade="BF"/>
        </w:rPr>
        <w:t xml:space="preserve"> </w:t>
      </w:r>
      <w:r w:rsidRPr="00357B42">
        <w:rPr>
          <w:rFonts w:ascii="Arial" w:hAnsi="Arial" w:cs="Arial"/>
          <w:color w:val="2E74B5" w:themeColor="accent1" w:themeShade="BF"/>
          <w:sz w:val="16"/>
          <w:szCs w:val="16"/>
        </w:rPr>
        <w:t xml:space="preserve">Visible a fojas 4 y 6 de autos. </w:t>
      </w:r>
    </w:p>
  </w:footnote>
  <w:footnote w:id="3">
    <w:p w:rsidR="003F605B" w:rsidRPr="00492664" w:rsidRDefault="003F605B" w:rsidP="003F605B">
      <w:pPr>
        <w:pStyle w:val="Textonotapie"/>
        <w:spacing w:line="240" w:lineRule="auto"/>
        <w:jc w:val="both"/>
        <w:rPr>
          <w:rFonts w:ascii="Arial" w:hAnsi="Arial" w:cs="Arial"/>
          <w:sz w:val="18"/>
          <w:szCs w:val="18"/>
          <w:lang w:val="es-ES"/>
        </w:rPr>
      </w:pPr>
      <w:r w:rsidRPr="00357B42">
        <w:rPr>
          <w:rStyle w:val="Refdenotaalpie"/>
          <w:rFonts w:ascii="Arial" w:hAnsi="Arial" w:cs="Arial"/>
          <w:color w:val="2E74B5" w:themeColor="accent1" w:themeShade="BF"/>
          <w:sz w:val="18"/>
          <w:szCs w:val="18"/>
        </w:rPr>
        <w:footnoteRef/>
      </w:r>
      <w:r w:rsidRPr="00357B42">
        <w:rPr>
          <w:rFonts w:ascii="Arial" w:hAnsi="Arial" w:cs="Arial"/>
          <w:color w:val="2E74B5" w:themeColor="accent1" w:themeShade="BF"/>
          <w:sz w:val="18"/>
          <w:szCs w:val="18"/>
        </w:rPr>
        <w:t xml:space="preserve"> ARTÍCULO 170. La CEGAIP resolverá el recurso de revisión en un plazo que no podrá exceder de treinta días, contados a partir de la admisión del mismo, en los términos que establezca la ley respectiva, plazo que podrá ampliarse por una sola vez y hasta por un periodo de veinte días.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21DD" w:rsidRDefault="00E221DD" w:rsidP="00E221DD">
    <w:pPr>
      <w:pStyle w:val="Encabezado"/>
      <w:tabs>
        <w:tab w:val="left" w:pos="3969"/>
      </w:tabs>
      <w:jc w:val="center"/>
      <w:rPr>
        <w:rFonts w:ascii="Arial" w:hAnsi="Arial" w:cs="Arial"/>
        <w:sz w:val="20"/>
        <w:szCs w:val="20"/>
      </w:rPr>
    </w:pPr>
  </w:p>
  <w:p w:rsidR="00E221DD" w:rsidRDefault="00017418" w:rsidP="00E221DD">
    <w:pPr>
      <w:pStyle w:val="Encabezado"/>
      <w:tabs>
        <w:tab w:val="left" w:pos="3969"/>
      </w:tabs>
      <w:jc w:val="center"/>
      <w:rPr>
        <w:rFonts w:ascii="Arial" w:hAnsi="Arial" w:cs="Arial"/>
        <w:sz w:val="20"/>
        <w:szCs w:val="20"/>
      </w:rPr>
    </w:pPr>
    <w:r w:rsidRPr="007A3D2F">
      <w:rPr>
        <w:rFonts w:ascii="Arial" w:hAnsi="Arial" w:cs="Arial"/>
        <w:sz w:val="20"/>
        <w:szCs w:val="20"/>
      </w:rPr>
      <w:fldChar w:fldCharType="begin"/>
    </w:r>
    <w:r w:rsidR="00C93856" w:rsidRPr="007A3D2F">
      <w:rPr>
        <w:rFonts w:ascii="Arial" w:hAnsi="Arial" w:cs="Arial"/>
        <w:sz w:val="20"/>
        <w:szCs w:val="20"/>
      </w:rPr>
      <w:instrText xml:space="preserve"> PAGE   \* MERGEFORMAT </w:instrText>
    </w:r>
    <w:r w:rsidRPr="007A3D2F">
      <w:rPr>
        <w:rFonts w:ascii="Arial" w:hAnsi="Arial" w:cs="Arial"/>
        <w:sz w:val="20"/>
        <w:szCs w:val="20"/>
      </w:rPr>
      <w:fldChar w:fldCharType="separate"/>
    </w:r>
    <w:r w:rsidR="00061060">
      <w:rPr>
        <w:rFonts w:ascii="Arial" w:hAnsi="Arial" w:cs="Arial"/>
        <w:noProof/>
        <w:sz w:val="20"/>
        <w:szCs w:val="20"/>
      </w:rPr>
      <w:t>9</w:t>
    </w:r>
    <w:r w:rsidRPr="007A3D2F">
      <w:rPr>
        <w:rFonts w:ascii="Arial" w:hAnsi="Arial" w:cs="Arial"/>
        <w:sz w:val="20"/>
        <w:szCs w:val="20"/>
      </w:rPr>
      <w:fldChar w:fldCharType="end"/>
    </w:r>
  </w:p>
  <w:p w:rsidR="00E221DD" w:rsidRDefault="00E221DD" w:rsidP="000E7C87">
    <w:pPr>
      <w:pStyle w:val="Encabezado"/>
      <w:tabs>
        <w:tab w:val="left" w:pos="3969"/>
      </w:tabs>
      <w:jc w:val="right"/>
      <w:rPr>
        <w:rFonts w:ascii="Arial" w:hAnsi="Arial" w:cs="Arial"/>
        <w:sz w:val="20"/>
        <w:szCs w:val="20"/>
      </w:rPr>
    </w:pPr>
  </w:p>
  <w:p w:rsidR="00F94AE8" w:rsidRDefault="00C93856" w:rsidP="000E7C87">
    <w:pPr>
      <w:pStyle w:val="Encabezado"/>
      <w:tabs>
        <w:tab w:val="left" w:pos="3969"/>
      </w:tabs>
      <w:jc w:val="right"/>
      <w:rPr>
        <w:rFonts w:ascii="Arial" w:hAnsi="Arial" w:cs="Arial"/>
        <w:b/>
        <w:color w:val="2E74B5" w:themeColor="accent1" w:themeShade="BF"/>
        <w:sz w:val="20"/>
        <w:szCs w:val="20"/>
      </w:rPr>
    </w:pPr>
    <w:r w:rsidRPr="007A3D2F">
      <w:rPr>
        <w:rFonts w:ascii="Arial" w:hAnsi="Arial" w:cs="Arial"/>
        <w:sz w:val="20"/>
        <w:szCs w:val="20"/>
      </w:rPr>
      <w:t xml:space="preserve">  </w:t>
    </w:r>
    <w:r w:rsidRPr="007A3D2F">
      <w:rPr>
        <w:rFonts w:ascii="Arial" w:hAnsi="Arial" w:cs="Arial"/>
        <w:b/>
        <w:color w:val="2E74B5" w:themeColor="accent1" w:themeShade="BF"/>
        <w:sz w:val="20"/>
        <w:szCs w:val="20"/>
      </w:rPr>
      <w:t xml:space="preserve">RECURSO DE REVISIÓN  </w:t>
    </w:r>
    <w:r w:rsidR="00C0114C">
      <w:rPr>
        <w:rFonts w:ascii="Arial" w:hAnsi="Arial" w:cs="Arial"/>
        <w:b/>
        <w:color w:val="2E74B5" w:themeColor="accent1" w:themeShade="BF"/>
        <w:sz w:val="20"/>
        <w:szCs w:val="20"/>
      </w:rPr>
      <w:t>2</w:t>
    </w:r>
    <w:r w:rsidR="005452E1">
      <w:rPr>
        <w:rFonts w:ascii="Arial" w:hAnsi="Arial" w:cs="Arial"/>
        <w:b/>
        <w:color w:val="2E74B5" w:themeColor="accent1" w:themeShade="BF"/>
        <w:sz w:val="20"/>
        <w:szCs w:val="20"/>
      </w:rPr>
      <w:t>881</w:t>
    </w:r>
    <w:r w:rsidRPr="007A3D2F">
      <w:rPr>
        <w:rFonts w:ascii="Arial" w:hAnsi="Arial" w:cs="Arial"/>
        <w:b/>
        <w:color w:val="2E74B5" w:themeColor="accent1" w:themeShade="BF"/>
        <w:sz w:val="20"/>
        <w:szCs w:val="20"/>
      </w:rPr>
      <w:t>/201</w:t>
    </w:r>
    <w:r w:rsidR="00464CFF" w:rsidRPr="007A3D2F">
      <w:rPr>
        <w:rFonts w:ascii="Arial" w:hAnsi="Arial" w:cs="Arial"/>
        <w:b/>
        <w:color w:val="2E74B5" w:themeColor="accent1" w:themeShade="BF"/>
        <w:sz w:val="20"/>
        <w:szCs w:val="20"/>
      </w:rPr>
      <w:t>9</w:t>
    </w:r>
    <w:r w:rsidRPr="007A3D2F">
      <w:rPr>
        <w:rFonts w:ascii="Arial" w:hAnsi="Arial" w:cs="Arial"/>
        <w:b/>
        <w:color w:val="2E74B5" w:themeColor="accent1" w:themeShade="BF"/>
        <w:sz w:val="20"/>
        <w:szCs w:val="20"/>
      </w:rPr>
      <w:t>-2</w:t>
    </w:r>
    <w:r w:rsidR="005409D2">
      <w:rPr>
        <w:rFonts w:ascii="Arial" w:hAnsi="Arial" w:cs="Arial"/>
        <w:b/>
        <w:color w:val="2E74B5" w:themeColor="accent1" w:themeShade="BF"/>
        <w:sz w:val="20"/>
        <w:szCs w:val="20"/>
      </w:rPr>
      <w:t xml:space="preserve"> </w:t>
    </w:r>
  </w:p>
  <w:p w:rsidR="002D4D06" w:rsidRPr="007A3D2F" w:rsidRDefault="005409D2" w:rsidP="000E7C87">
    <w:pPr>
      <w:pStyle w:val="Encabezado"/>
      <w:tabs>
        <w:tab w:val="left" w:pos="3969"/>
      </w:tabs>
      <w:jc w:val="right"/>
      <w:rPr>
        <w:rFonts w:ascii="Arial" w:hAnsi="Arial" w:cs="Arial"/>
        <w:sz w:val="20"/>
        <w:szCs w:val="20"/>
      </w:rPr>
    </w:pPr>
    <w:r>
      <w:rPr>
        <w:rFonts w:ascii="Arial" w:hAnsi="Arial" w:cs="Arial"/>
        <w:b/>
        <w:color w:val="2E74B5" w:themeColor="accent1" w:themeShade="BF"/>
        <w:sz w:val="20"/>
        <w:szCs w:val="20"/>
      </w:rPr>
      <w:t>SICOM</w:t>
    </w:r>
  </w:p>
  <w:p w:rsidR="002D4D06" w:rsidRDefault="00061060">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464CFF"/>
    <w:rsid w:val="000057A7"/>
    <w:rsid w:val="00012C6D"/>
    <w:rsid w:val="00017418"/>
    <w:rsid w:val="000314A6"/>
    <w:rsid w:val="00057A8F"/>
    <w:rsid w:val="00061060"/>
    <w:rsid w:val="000674D4"/>
    <w:rsid w:val="0008363B"/>
    <w:rsid w:val="000A6E97"/>
    <w:rsid w:val="000C0B35"/>
    <w:rsid w:val="0012597B"/>
    <w:rsid w:val="0016033C"/>
    <w:rsid w:val="00186D81"/>
    <w:rsid w:val="00190144"/>
    <w:rsid w:val="002A3DCE"/>
    <w:rsid w:val="002C0E19"/>
    <w:rsid w:val="002E583B"/>
    <w:rsid w:val="003019F6"/>
    <w:rsid w:val="00340AC3"/>
    <w:rsid w:val="00345035"/>
    <w:rsid w:val="003506F9"/>
    <w:rsid w:val="003533B4"/>
    <w:rsid w:val="00357B42"/>
    <w:rsid w:val="00374CE0"/>
    <w:rsid w:val="003D4D66"/>
    <w:rsid w:val="003E3105"/>
    <w:rsid w:val="003F605B"/>
    <w:rsid w:val="00406B0E"/>
    <w:rsid w:val="00464CFF"/>
    <w:rsid w:val="0046571B"/>
    <w:rsid w:val="00465EC0"/>
    <w:rsid w:val="0046646B"/>
    <w:rsid w:val="00492664"/>
    <w:rsid w:val="00496A9E"/>
    <w:rsid w:val="004C574B"/>
    <w:rsid w:val="00506CEC"/>
    <w:rsid w:val="005409D2"/>
    <w:rsid w:val="005452E1"/>
    <w:rsid w:val="005627A6"/>
    <w:rsid w:val="00564934"/>
    <w:rsid w:val="00590617"/>
    <w:rsid w:val="005A517A"/>
    <w:rsid w:val="005C5E20"/>
    <w:rsid w:val="005F309C"/>
    <w:rsid w:val="00617679"/>
    <w:rsid w:val="00693C53"/>
    <w:rsid w:val="006A759B"/>
    <w:rsid w:val="006D7FAD"/>
    <w:rsid w:val="00710654"/>
    <w:rsid w:val="007512CB"/>
    <w:rsid w:val="00767CFB"/>
    <w:rsid w:val="00797537"/>
    <w:rsid w:val="007A3D2F"/>
    <w:rsid w:val="007A5895"/>
    <w:rsid w:val="007D12F3"/>
    <w:rsid w:val="007D30FE"/>
    <w:rsid w:val="00857F0B"/>
    <w:rsid w:val="008934DD"/>
    <w:rsid w:val="008A6B1D"/>
    <w:rsid w:val="008A7416"/>
    <w:rsid w:val="008E0659"/>
    <w:rsid w:val="008E5710"/>
    <w:rsid w:val="00910DCB"/>
    <w:rsid w:val="00917D16"/>
    <w:rsid w:val="00965DCD"/>
    <w:rsid w:val="00986A9E"/>
    <w:rsid w:val="00992C6A"/>
    <w:rsid w:val="00995B21"/>
    <w:rsid w:val="009B4ECC"/>
    <w:rsid w:val="009C3E44"/>
    <w:rsid w:val="009C6C05"/>
    <w:rsid w:val="009D12EE"/>
    <w:rsid w:val="009D1E5E"/>
    <w:rsid w:val="00A57D46"/>
    <w:rsid w:val="00A624A2"/>
    <w:rsid w:val="00A754AB"/>
    <w:rsid w:val="00A80956"/>
    <w:rsid w:val="00AB296A"/>
    <w:rsid w:val="00B6317E"/>
    <w:rsid w:val="00B93857"/>
    <w:rsid w:val="00BA7D2E"/>
    <w:rsid w:val="00BF36B4"/>
    <w:rsid w:val="00BF7A01"/>
    <w:rsid w:val="00C0114C"/>
    <w:rsid w:val="00C35954"/>
    <w:rsid w:val="00C93856"/>
    <w:rsid w:val="00CC6DA3"/>
    <w:rsid w:val="00CE192D"/>
    <w:rsid w:val="00CE21E9"/>
    <w:rsid w:val="00CE254C"/>
    <w:rsid w:val="00CF5457"/>
    <w:rsid w:val="00D2407B"/>
    <w:rsid w:val="00D31410"/>
    <w:rsid w:val="00D62CEB"/>
    <w:rsid w:val="00D63F82"/>
    <w:rsid w:val="00D73968"/>
    <w:rsid w:val="00D866D0"/>
    <w:rsid w:val="00DD0D2A"/>
    <w:rsid w:val="00DF2283"/>
    <w:rsid w:val="00E220EC"/>
    <w:rsid w:val="00E221DD"/>
    <w:rsid w:val="00E53004"/>
    <w:rsid w:val="00E83142"/>
    <w:rsid w:val="00EF4402"/>
    <w:rsid w:val="00F00707"/>
    <w:rsid w:val="00F00CAC"/>
    <w:rsid w:val="00F94AE8"/>
    <w:rsid w:val="00FA0ABD"/>
    <w:rsid w:val="00FA2BF7"/>
    <w:rsid w:val="00FB1A19"/>
    <w:rsid w:val="00FB563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19771"/>
  <w15:docId w15:val="{AC548A1C-BCC8-4972-9E34-497B72F55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4CFF"/>
    <w:pPr>
      <w:spacing w:after="200" w:line="276" w:lineRule="auto"/>
    </w:pPr>
    <w:rPr>
      <w:rFonts w:ascii="Calibri" w:eastAsia="Calibri" w:hAnsi="Calibri" w:cs="Times New Roman"/>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464CFF"/>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464CFF"/>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464CFF"/>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464CFF"/>
    <w:rPr>
      <w:rFonts w:ascii="Arial" w:eastAsia="Times New Roman" w:hAnsi="Arial" w:cs="Times New Roman"/>
      <w:b/>
      <w:caps/>
      <w:sz w:val="30"/>
      <w:szCs w:val="20"/>
      <w:lang w:eastAsia="es-MX"/>
    </w:rPr>
  </w:style>
  <w:style w:type="character" w:customStyle="1" w:styleId="corte4fondoCar1">
    <w:name w:val="corte4 fondo Car1"/>
    <w:link w:val="corte4fondo"/>
    <w:rsid w:val="00464CFF"/>
    <w:rPr>
      <w:rFonts w:ascii="Arial" w:eastAsia="Times New Roman" w:hAnsi="Arial" w:cs="Times New Roman"/>
      <w:sz w:val="30"/>
      <w:szCs w:val="20"/>
      <w:lang w:eastAsia="es-MX"/>
    </w:rPr>
  </w:style>
  <w:style w:type="character" w:customStyle="1" w:styleId="corte1datosCar">
    <w:name w:val="corte1 datos Car"/>
    <w:link w:val="corte1datos"/>
    <w:rsid w:val="00464CFF"/>
    <w:rPr>
      <w:rFonts w:ascii="Arial" w:eastAsia="Times New Roman" w:hAnsi="Arial" w:cs="Times New Roman"/>
      <w:b/>
      <w:caps/>
      <w:sz w:val="30"/>
      <w:szCs w:val="20"/>
      <w:lang w:eastAsia="es-MX"/>
    </w:rPr>
  </w:style>
  <w:style w:type="paragraph" w:styleId="Encabezado">
    <w:name w:val="header"/>
    <w:basedOn w:val="Normal"/>
    <w:link w:val="EncabezadoCar"/>
    <w:unhideWhenUsed/>
    <w:rsid w:val="00464CFF"/>
    <w:pPr>
      <w:tabs>
        <w:tab w:val="center" w:pos="4419"/>
        <w:tab w:val="right" w:pos="8838"/>
      </w:tabs>
      <w:spacing w:after="0" w:line="240" w:lineRule="auto"/>
    </w:pPr>
  </w:style>
  <w:style w:type="character" w:customStyle="1" w:styleId="EncabezadoCar">
    <w:name w:val="Encabezado Car"/>
    <w:basedOn w:val="Fuentedeprrafopredeter"/>
    <w:link w:val="Encabezado"/>
    <w:rsid w:val="00464CFF"/>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64CFF"/>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64CFF"/>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64CFF"/>
    <w:rPr>
      <w:rFonts w:ascii="Calibri" w:eastAsia="Calibri" w:hAnsi="Calibri" w:cs="Times New Roman"/>
      <w:sz w:val="20"/>
      <w:szCs w:val="20"/>
    </w:rPr>
  </w:style>
  <w:style w:type="paragraph" w:styleId="NormalWeb">
    <w:name w:val="Normal (Web)"/>
    <w:basedOn w:val="Normal"/>
    <w:uiPriority w:val="99"/>
    <w:rsid w:val="00464CFF"/>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464CF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4CFF"/>
    <w:rPr>
      <w:rFonts w:ascii="Calibri" w:eastAsia="Calibri" w:hAnsi="Calibri" w:cs="Times New Roman"/>
    </w:rPr>
  </w:style>
  <w:style w:type="character" w:styleId="Hipervnculo">
    <w:name w:val="Hyperlink"/>
    <w:basedOn w:val="Fuentedeprrafopredeter"/>
    <w:uiPriority w:val="99"/>
    <w:semiHidden/>
    <w:unhideWhenUsed/>
    <w:rsid w:val="004C574B"/>
    <w:rPr>
      <w:color w:val="0000FF"/>
      <w:u w:val="single"/>
    </w:rPr>
  </w:style>
  <w:style w:type="paragraph" w:styleId="Textodeglobo">
    <w:name w:val="Balloon Text"/>
    <w:basedOn w:val="Normal"/>
    <w:link w:val="TextodegloboCar"/>
    <w:uiPriority w:val="99"/>
    <w:semiHidden/>
    <w:unhideWhenUsed/>
    <w:rsid w:val="00E220E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220EC"/>
    <w:rPr>
      <w:rFonts w:ascii="Tahoma" w:eastAsia="Calibri" w:hAnsi="Tahoma" w:cs="Tahoma"/>
      <w:sz w:val="16"/>
      <w:szCs w:val="16"/>
    </w:rPr>
  </w:style>
  <w:style w:type="paragraph" w:customStyle="1" w:styleId="Default">
    <w:name w:val="Default"/>
    <w:rsid w:val="00BF7A0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632271">
      <w:bodyDiv w:val="1"/>
      <w:marLeft w:val="0"/>
      <w:marRight w:val="0"/>
      <w:marTop w:val="0"/>
      <w:marBottom w:val="0"/>
      <w:divBdr>
        <w:top w:val="none" w:sz="0" w:space="0" w:color="auto"/>
        <w:left w:val="none" w:sz="0" w:space="0" w:color="auto"/>
        <w:bottom w:val="none" w:sz="0" w:space="0" w:color="auto"/>
        <w:right w:val="none" w:sz="0" w:space="0" w:color="auto"/>
      </w:divBdr>
    </w:div>
    <w:div w:id="1028028283">
      <w:bodyDiv w:val="1"/>
      <w:marLeft w:val="0"/>
      <w:marRight w:val="0"/>
      <w:marTop w:val="0"/>
      <w:marBottom w:val="0"/>
      <w:divBdr>
        <w:top w:val="none" w:sz="0" w:space="0" w:color="auto"/>
        <w:left w:val="none" w:sz="0" w:space="0" w:color="auto"/>
        <w:bottom w:val="none" w:sz="0" w:space="0" w:color="auto"/>
        <w:right w:val="none" w:sz="0" w:space="0" w:color="auto"/>
      </w:divBdr>
    </w:div>
    <w:div w:id="1872188406">
      <w:bodyDiv w:val="1"/>
      <w:marLeft w:val="0"/>
      <w:marRight w:val="0"/>
      <w:marTop w:val="0"/>
      <w:marBottom w:val="0"/>
      <w:divBdr>
        <w:top w:val="none" w:sz="0" w:space="0" w:color="auto"/>
        <w:left w:val="none" w:sz="0" w:space="0" w:color="auto"/>
        <w:bottom w:val="none" w:sz="0" w:space="0" w:color="auto"/>
        <w:right w:val="none" w:sz="0" w:space="0" w:color="auto"/>
      </w:divBdr>
    </w:div>
    <w:div w:id="2048286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054FDA-76CE-4982-8184-21FD67209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9</Pages>
  <Words>2959</Words>
  <Characters>16277</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dc:creator>
  <cp:lastModifiedBy>cegaip</cp:lastModifiedBy>
  <cp:revision>6</cp:revision>
  <cp:lastPrinted>2020-07-16T18:03:00Z</cp:lastPrinted>
  <dcterms:created xsi:type="dcterms:W3CDTF">2020-07-08T19:50:00Z</dcterms:created>
  <dcterms:modified xsi:type="dcterms:W3CDTF">2020-07-16T18:03:00Z</dcterms:modified>
</cp:coreProperties>
</file>