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17BAB339"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76E6E">
        <w:rPr>
          <w:rFonts w:ascii="AvantGarde Bk BT" w:hAnsi="AvantGarde Bk BT" w:cs="Arial"/>
          <w:b/>
          <w:color w:val="000000" w:themeColor="text1"/>
          <w:sz w:val="24"/>
          <w:szCs w:val="24"/>
        </w:rPr>
        <w:t>7</w:t>
      </w:r>
      <w:r w:rsidR="00EB5F75">
        <w:rPr>
          <w:rFonts w:ascii="AvantGarde Bk BT" w:hAnsi="AvantGarde Bk BT" w:cs="Arial"/>
          <w:b/>
          <w:color w:val="000000" w:themeColor="text1"/>
          <w:sz w:val="24"/>
          <w:szCs w:val="24"/>
        </w:rPr>
        <w:t>3</w:t>
      </w:r>
      <w:r w:rsidR="00676E6E">
        <w:rPr>
          <w:rFonts w:ascii="AvantGarde Bk BT" w:hAnsi="AvantGarde Bk BT" w:cs="Arial"/>
          <w:b/>
          <w:color w:val="000000" w:themeColor="text1"/>
          <w:sz w:val="24"/>
          <w:szCs w:val="24"/>
        </w:rPr>
        <w:t>0</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CD30F1">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680967A9" w:rsidR="00946007" w:rsidRPr="007C5605" w:rsidRDefault="00D2749A"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SAN LUIS POTOSÍ</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9821DF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D96013">
        <w:rPr>
          <w:rFonts w:ascii="AvantGarde Bk BT" w:hAnsi="AvantGarde Bk BT" w:cs="Arial"/>
          <w:color w:val="000000" w:themeColor="text1"/>
          <w:sz w:val="24"/>
          <w:szCs w:val="24"/>
        </w:rPr>
        <w:t>15 quince</w:t>
      </w:r>
      <w:r w:rsidR="00D2749A">
        <w:rPr>
          <w:rFonts w:ascii="AvantGarde Bk BT" w:hAnsi="AvantGarde Bk BT" w:cs="Arial"/>
          <w:color w:val="000000" w:themeColor="text1"/>
          <w:sz w:val="24"/>
          <w:szCs w:val="24"/>
        </w:rPr>
        <w:t xml:space="preserve"> de agosto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542ACC97"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676E6E">
        <w:rPr>
          <w:rFonts w:ascii="AvantGarde Bk BT" w:hAnsi="AvantGarde Bk BT" w:cs="Arial"/>
          <w:color w:val="000000" w:themeColor="text1"/>
          <w:sz w:val="24"/>
          <w:szCs w:val="24"/>
        </w:rPr>
        <w:t>09 nueve</w:t>
      </w:r>
      <w:r w:rsidR="00EB5F75">
        <w:rPr>
          <w:rFonts w:ascii="AvantGarde Bk BT" w:hAnsi="AvantGarde Bk BT" w:cs="Arial"/>
          <w:color w:val="000000" w:themeColor="text1"/>
          <w:sz w:val="24"/>
          <w:szCs w:val="24"/>
        </w:rPr>
        <w:t xml:space="preserve"> de abril</w:t>
      </w:r>
      <w:r>
        <w:rPr>
          <w:rFonts w:ascii="AvantGarde Bk BT" w:hAnsi="AvantGarde Bk BT" w:cs="Arial"/>
          <w:color w:val="000000" w:themeColor="text1"/>
          <w:sz w:val="24"/>
          <w:szCs w:val="24"/>
        </w:rPr>
        <w:t xml:space="preserve"> de 2019 dos mil diecinueve </w:t>
      </w:r>
      <w:r w:rsidR="00CD30F1">
        <w:rPr>
          <w:rFonts w:ascii="AvantGarde Bk BT" w:hAnsi="AvantGarde Bk BT" w:cs="Arial"/>
          <w:color w:val="000000" w:themeColor="text1"/>
          <w:sz w:val="24"/>
          <w:szCs w:val="24"/>
        </w:rPr>
        <w:t>l</w:t>
      </w:r>
      <w:r w:rsidR="00A23B27">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D2749A">
        <w:rPr>
          <w:rFonts w:ascii="AvantGarde Bk BT" w:hAnsi="AvantGarde Bk BT" w:cs="Arial"/>
          <w:b/>
          <w:color w:val="000000" w:themeColor="text1"/>
          <w:sz w:val="24"/>
          <w:szCs w:val="24"/>
        </w:rPr>
        <w:t>MUNICIPIO 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egistrada con número de folio 0</w:t>
      </w:r>
      <w:r w:rsidR="00CD30F1">
        <w:rPr>
          <w:rFonts w:ascii="AvantGarde Bk BT" w:hAnsi="AvantGarde Bk BT" w:cs="Arial"/>
          <w:color w:val="000000" w:themeColor="text1"/>
          <w:sz w:val="24"/>
          <w:szCs w:val="24"/>
        </w:rPr>
        <w:t>0</w:t>
      </w:r>
      <w:r w:rsidR="00676E6E">
        <w:rPr>
          <w:rFonts w:ascii="AvantGarde Bk BT" w:hAnsi="AvantGarde Bk BT" w:cs="Arial"/>
          <w:color w:val="000000" w:themeColor="text1"/>
          <w:sz w:val="24"/>
          <w:szCs w:val="24"/>
        </w:rPr>
        <w:t>4677</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3933E554"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676E6E">
        <w:rPr>
          <w:rFonts w:ascii="AvantGarde Bk BT" w:hAnsi="AvantGarde Bk BT" w:cs="Arial"/>
          <w:color w:val="000000" w:themeColor="text1"/>
          <w:sz w:val="24"/>
          <w:szCs w:val="24"/>
        </w:rPr>
        <w:t>09 nueve</w:t>
      </w:r>
      <w:r w:rsidR="003859D6">
        <w:rPr>
          <w:rFonts w:ascii="AvantGarde Bk BT" w:hAnsi="AvantGarde Bk BT" w:cs="Arial"/>
          <w:color w:val="000000" w:themeColor="text1"/>
          <w:sz w:val="24"/>
          <w:szCs w:val="24"/>
        </w:rPr>
        <w:t xml:space="preserve"> de abril </w:t>
      </w:r>
      <w:r>
        <w:rPr>
          <w:rFonts w:ascii="AvantGarde Bk BT" w:hAnsi="AvantGarde Bk BT" w:cs="Arial"/>
          <w:color w:val="000000" w:themeColor="text1"/>
          <w:sz w:val="24"/>
          <w:szCs w:val="24"/>
        </w:rPr>
        <w:t>de 2019 dos mil diecinueve el sujeto obligado otorgó contestación a la solicitud de acceso.</w:t>
      </w:r>
    </w:p>
    <w:p w14:paraId="5D640CBF" w14:textId="3DA1CCAB"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676E6E">
        <w:rPr>
          <w:rFonts w:ascii="AvantGarde Bk BT" w:hAnsi="AvantGarde Bk BT" w:cs="Arial"/>
          <w:color w:val="000000" w:themeColor="text1"/>
          <w:sz w:val="24"/>
          <w:szCs w:val="24"/>
        </w:rPr>
        <w:t>22 veintidós</w:t>
      </w:r>
      <w:r w:rsidR="00D96013">
        <w:rPr>
          <w:rFonts w:ascii="AvantGarde Bk BT" w:hAnsi="AvantGarde Bk BT" w:cs="Arial"/>
          <w:color w:val="000000" w:themeColor="text1"/>
          <w:sz w:val="24"/>
          <w:szCs w:val="24"/>
        </w:rPr>
        <w:t xml:space="preserve"> de abril</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434D52D0"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676E6E">
        <w:rPr>
          <w:rFonts w:ascii="AvantGarde Bk BT" w:hAnsi="AvantGarde Bk BT" w:cs="Arial"/>
          <w:color w:val="000000" w:themeColor="text1"/>
          <w:sz w:val="24"/>
          <w:szCs w:val="24"/>
        </w:rPr>
        <w:t>24 veinticuatro</w:t>
      </w:r>
      <w:r w:rsidR="00D96013">
        <w:rPr>
          <w:rFonts w:ascii="AvantGarde Bk BT" w:hAnsi="AvantGarde Bk BT" w:cs="Arial"/>
          <w:color w:val="000000" w:themeColor="text1"/>
          <w:sz w:val="24"/>
          <w:szCs w:val="24"/>
        </w:rPr>
        <w:t xml:space="preserve"> de abril</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1B37C873" w:rsidR="00946007" w:rsidRPr="007C5605" w:rsidRDefault="00946007" w:rsidP="00CD2EA8">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D96013">
        <w:rPr>
          <w:rFonts w:ascii="AvantGarde Bk BT" w:hAnsi="AvantGarde Bk BT" w:cs="Arial"/>
          <w:color w:val="000000" w:themeColor="text1"/>
          <w:sz w:val="24"/>
          <w:szCs w:val="24"/>
        </w:rPr>
        <w:t>21 veintiuno de mayo</w:t>
      </w:r>
      <w:r w:rsidR="006B727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5CBF441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w:t>
      </w:r>
      <w:r w:rsidR="00273FB2">
        <w:rPr>
          <w:rFonts w:ascii="AvantGarde Bk BT" w:hAnsi="AvantGarde Bk BT" w:cs="Arial"/>
          <w:color w:val="000000" w:themeColor="text1"/>
          <w:sz w:val="24"/>
          <w:szCs w:val="24"/>
        </w:rPr>
        <w:t xml:space="preserve"> en la</w:t>
      </w:r>
      <w:r w:rsidR="00A23B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fracci</w:t>
      </w:r>
      <w:r w:rsidR="00273FB2">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676E6E">
        <w:rPr>
          <w:rFonts w:ascii="AvantGarde Bk BT" w:hAnsi="AvantGarde Bk BT" w:cs="Arial"/>
          <w:color w:val="000000" w:themeColor="text1"/>
          <w:sz w:val="24"/>
          <w:szCs w:val="24"/>
        </w:rPr>
        <w:t>I</w:t>
      </w:r>
      <w:r w:rsidR="00EB5F75">
        <w:rPr>
          <w:rFonts w:ascii="AvantGarde Bk BT" w:hAnsi="AvantGarde Bk BT" w:cs="Arial"/>
          <w:color w:val="000000" w:themeColor="text1"/>
          <w:sz w:val="24"/>
          <w:szCs w:val="24"/>
        </w:rPr>
        <w:t>I</w:t>
      </w:r>
      <w:r w:rsidR="00EB5F75">
        <w:rPr>
          <w:rFonts w:ascii="AvantGarde Bk BT" w:hAnsi="AvantGarde Bk BT" w:cs="Arial"/>
          <w:color w:val="000000" w:themeColor="text1"/>
          <w:sz w:val="24"/>
          <w:szCs w:val="24"/>
        </w:rPr>
        <w:t>I</w:t>
      </w:r>
      <w:r w:rsidR="00EB5F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192A0658"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76E6E">
        <w:rPr>
          <w:rFonts w:ascii="AvantGarde Bk BT" w:hAnsi="AvantGarde Bk BT" w:cs="Arial"/>
          <w:b/>
          <w:color w:val="000000" w:themeColor="text1"/>
          <w:sz w:val="24"/>
          <w:szCs w:val="24"/>
        </w:rPr>
        <w:t>7</w:t>
      </w:r>
      <w:r w:rsidR="00EB5F75">
        <w:rPr>
          <w:rFonts w:ascii="AvantGarde Bk BT" w:hAnsi="AvantGarde Bk BT" w:cs="Arial"/>
          <w:b/>
          <w:color w:val="000000" w:themeColor="text1"/>
          <w:sz w:val="24"/>
          <w:szCs w:val="24"/>
        </w:rPr>
        <w:t>3</w:t>
      </w:r>
      <w:r w:rsidR="00676E6E">
        <w:rPr>
          <w:rFonts w:ascii="AvantGarde Bk BT" w:hAnsi="AvantGarde Bk BT" w:cs="Arial"/>
          <w:b/>
          <w:color w:val="000000" w:themeColor="text1"/>
          <w:sz w:val="24"/>
          <w:szCs w:val="24"/>
        </w:rPr>
        <w:t>0</w:t>
      </w:r>
      <w:r>
        <w:rPr>
          <w:rFonts w:ascii="AvantGarde Bk BT" w:hAnsi="AvantGarde Bk BT" w:cs="Arial"/>
          <w:b/>
          <w:color w:val="000000" w:themeColor="text1"/>
          <w:sz w:val="24"/>
          <w:szCs w:val="24"/>
        </w:rPr>
        <w:t xml:space="preserve">/2019-1 </w:t>
      </w:r>
      <w:r w:rsidR="00CD2EA8">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7C839E3F"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A23B27">
        <w:rPr>
          <w:rFonts w:ascii="AvantGarde Bk BT" w:hAnsi="AvantGarde Bk BT" w:cs="Arial"/>
          <w:color w:val="000000" w:themeColor="text1"/>
          <w:sz w:val="24"/>
          <w:szCs w:val="24"/>
        </w:rPr>
        <w:t xml:space="preserve"> </w:t>
      </w:r>
      <w:r w:rsidR="006B727F">
        <w:rPr>
          <w:rFonts w:ascii="AvantGarde Bk BT" w:hAnsi="AvantGarde Bk BT" w:cs="Arial"/>
          <w:color w:val="000000" w:themeColor="text1"/>
          <w:sz w:val="24"/>
          <w:szCs w:val="24"/>
        </w:rPr>
        <w:t>l</w:t>
      </w:r>
      <w:r w:rsidR="00A23B27">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 </w:t>
      </w:r>
      <w:r w:rsidR="00D2749A">
        <w:rPr>
          <w:rFonts w:ascii="AvantGarde Bk BT" w:hAnsi="AvantGarde Bk BT" w:cs="Arial"/>
          <w:b/>
          <w:color w:val="000000" w:themeColor="text1"/>
          <w:sz w:val="24"/>
          <w:szCs w:val="24"/>
        </w:rPr>
        <w:t>MUNICIPIO 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230F3781" w14:textId="56DA9A4B" w:rsidR="00946007" w:rsidRDefault="00946007" w:rsidP="00CD2EA8">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76E6E">
        <w:rPr>
          <w:rFonts w:ascii="AvantGarde Bk BT" w:hAnsi="AvantGarde Bk BT" w:cs="Arial"/>
          <w:color w:val="000000" w:themeColor="text1"/>
          <w:sz w:val="24"/>
          <w:szCs w:val="24"/>
        </w:rPr>
        <w:t>05 cinco</w:t>
      </w:r>
      <w:r w:rsidR="003859D6">
        <w:rPr>
          <w:rFonts w:ascii="AvantGarde Bk BT" w:hAnsi="AvantGarde Bk BT" w:cs="Arial"/>
          <w:color w:val="000000" w:themeColor="text1"/>
          <w:sz w:val="24"/>
          <w:szCs w:val="24"/>
        </w:rPr>
        <w:t xml:space="preserve"> </w:t>
      </w:r>
      <w:r w:rsidR="00D2749A">
        <w:rPr>
          <w:rFonts w:ascii="AvantGarde Bk BT" w:hAnsi="AvantGarde Bk BT" w:cs="Arial"/>
          <w:color w:val="000000" w:themeColor="text1"/>
          <w:sz w:val="24"/>
          <w:szCs w:val="24"/>
        </w:rPr>
        <w:t>de junio</w:t>
      </w:r>
      <w:r>
        <w:rPr>
          <w:rFonts w:ascii="AvantGarde Bk BT" w:hAnsi="AvantGarde Bk BT" w:cs="Arial"/>
          <w:color w:val="000000" w:themeColor="text1"/>
          <w:sz w:val="24"/>
          <w:szCs w:val="24"/>
        </w:rPr>
        <w:t xml:space="preserve"> de 2019 dos mil diecinueve el ponente:</w:t>
      </w:r>
    </w:p>
    <w:p w14:paraId="19D12330" w14:textId="1DDADA79" w:rsidR="00946007" w:rsidRPr="004A708B" w:rsidRDefault="00946007" w:rsidP="003859D6">
      <w:pPr>
        <w:pStyle w:val="corte4fondo"/>
        <w:numPr>
          <w:ilvl w:val="0"/>
          <w:numId w:val="2"/>
        </w:numPr>
        <w:tabs>
          <w:tab w:val="left" w:pos="567"/>
        </w:tabs>
        <w:ind w:left="1416" w:hanging="736"/>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sidR="00A23B27">
        <w:rPr>
          <w:rFonts w:ascii="AvantGarde Bk BT" w:hAnsi="AvantGarde Bk BT" w:cs="Arial"/>
          <w:color w:val="000000" w:themeColor="text1"/>
          <w:sz w:val="24"/>
          <w:szCs w:val="24"/>
        </w:rPr>
        <w:t xml:space="preserve">s </w:t>
      </w:r>
      <w:r>
        <w:rPr>
          <w:rFonts w:ascii="AvantGarde Bk BT" w:hAnsi="AvantGarde Bk BT" w:cs="Arial"/>
          <w:color w:val="000000" w:themeColor="text1"/>
          <w:sz w:val="24"/>
          <w:szCs w:val="24"/>
        </w:rPr>
        <w:t>oficio</w:t>
      </w:r>
      <w:r w:rsidR="00A23B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número </w:t>
      </w:r>
      <w:r w:rsidR="003859D6">
        <w:rPr>
          <w:rFonts w:ascii="AvantGarde Bk BT" w:hAnsi="AvantGarde Bk BT" w:cs="Arial"/>
          <w:color w:val="000000" w:themeColor="text1"/>
          <w:sz w:val="24"/>
          <w:szCs w:val="24"/>
        </w:rPr>
        <w:t>U.T.23</w:t>
      </w:r>
      <w:r w:rsidR="00676E6E">
        <w:rPr>
          <w:rFonts w:ascii="AvantGarde Bk BT" w:hAnsi="AvantGarde Bk BT" w:cs="Arial"/>
          <w:color w:val="000000" w:themeColor="text1"/>
          <w:sz w:val="24"/>
          <w:szCs w:val="24"/>
        </w:rPr>
        <w:t>48</w:t>
      </w:r>
      <w:r w:rsidR="003859D6">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proofErr w:type="spellStart"/>
      <w:r w:rsidR="00D2749A">
        <w:rPr>
          <w:rFonts w:ascii="AvantGarde Bk BT" w:hAnsi="AvantGarde Bk BT" w:cs="Arial"/>
          <w:sz w:val="24"/>
          <w:szCs w:val="24"/>
        </w:rPr>
        <w:t>Pammela</w:t>
      </w:r>
      <w:proofErr w:type="spellEnd"/>
      <w:r w:rsidR="00D2749A">
        <w:rPr>
          <w:rFonts w:ascii="AvantGarde Bk BT" w:hAnsi="AvantGarde Bk BT" w:cs="Arial"/>
          <w:sz w:val="24"/>
          <w:szCs w:val="24"/>
        </w:rPr>
        <w:t xml:space="preserve"> Méndez Cuevas</w:t>
      </w:r>
      <w:r w:rsidR="00645312">
        <w:rPr>
          <w:rFonts w:ascii="AvantGarde Bk BT" w:hAnsi="AvantGarde Bk BT" w:cs="Arial"/>
          <w:sz w:val="24"/>
          <w:szCs w:val="24"/>
        </w:rPr>
        <w:t xml:space="preserve">, </w:t>
      </w:r>
      <w:r w:rsidR="00CD2EA8">
        <w:rPr>
          <w:rFonts w:ascii="AvantGarde Bk BT" w:hAnsi="AvantGarde Bk BT" w:cs="Arial"/>
          <w:sz w:val="24"/>
          <w:szCs w:val="24"/>
        </w:rPr>
        <w:t>Titular</w:t>
      </w:r>
      <w:r w:rsidR="00645312">
        <w:rPr>
          <w:rFonts w:ascii="AvantGarde Bk BT" w:hAnsi="AvantGarde Bk BT" w:cs="Arial"/>
          <w:sz w:val="24"/>
          <w:szCs w:val="24"/>
        </w:rPr>
        <w:t xml:space="preserve">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676E6E">
        <w:rPr>
          <w:rFonts w:ascii="AvantGarde Bk BT" w:hAnsi="AvantGarde Bk BT" w:cs="Arial"/>
          <w:sz w:val="24"/>
          <w:szCs w:val="24"/>
        </w:rPr>
        <w:t>con 02</w:t>
      </w:r>
      <w:r w:rsidR="003859D6">
        <w:rPr>
          <w:rFonts w:ascii="AvantGarde Bk BT" w:hAnsi="AvantGarde Bk BT" w:cs="Arial"/>
          <w:sz w:val="24"/>
          <w:szCs w:val="24"/>
        </w:rPr>
        <w:t xml:space="preserve"> </w:t>
      </w:r>
      <w:r w:rsidR="00676E6E">
        <w:rPr>
          <w:rFonts w:ascii="AvantGarde Bk BT" w:hAnsi="AvantGarde Bk BT" w:cs="Arial"/>
          <w:sz w:val="24"/>
          <w:szCs w:val="24"/>
        </w:rPr>
        <w:t>dos</w:t>
      </w:r>
      <w:r w:rsidR="00D96013">
        <w:rPr>
          <w:rFonts w:ascii="AvantGarde Bk BT" w:hAnsi="AvantGarde Bk BT" w:cs="Arial"/>
          <w:sz w:val="24"/>
          <w:szCs w:val="24"/>
        </w:rPr>
        <w:t xml:space="preserve"> </w:t>
      </w:r>
      <w:r w:rsidR="00D2749A">
        <w:rPr>
          <w:rFonts w:ascii="AvantGarde Bk BT" w:hAnsi="AvantGarde Bk BT" w:cs="Arial"/>
          <w:sz w:val="24"/>
          <w:szCs w:val="24"/>
        </w:rPr>
        <w:t>anexo</w:t>
      </w:r>
      <w:r w:rsidR="00D96013">
        <w:rPr>
          <w:rFonts w:ascii="AvantGarde Bk BT" w:hAnsi="AvantGarde Bk BT" w:cs="Arial"/>
          <w:sz w:val="24"/>
          <w:szCs w:val="24"/>
        </w:rPr>
        <w:t>s</w:t>
      </w:r>
      <w:r w:rsidR="002B1D98">
        <w:rPr>
          <w:rFonts w:ascii="AvantGarde Bk BT" w:hAnsi="AvantGarde Bk BT" w:cs="Arial"/>
          <w:sz w:val="24"/>
          <w:szCs w:val="24"/>
        </w:rPr>
        <w:t xml:space="preserve">, </w:t>
      </w:r>
      <w:r w:rsidRPr="000028AA">
        <w:rPr>
          <w:rFonts w:ascii="AvantGarde Bk BT" w:hAnsi="AvantGarde Bk BT" w:cs="Arial"/>
          <w:sz w:val="24"/>
          <w:szCs w:val="24"/>
        </w:rPr>
        <w:t xml:space="preserve">recibido en este organismo el </w:t>
      </w:r>
      <w:r w:rsidR="003859D6">
        <w:rPr>
          <w:rFonts w:ascii="AvantGarde Bk BT" w:hAnsi="AvantGarde Bk BT" w:cs="Arial"/>
          <w:sz w:val="24"/>
          <w:szCs w:val="24"/>
        </w:rPr>
        <w:t>04 cuatro de junio</w:t>
      </w:r>
      <w:r w:rsidR="003E04E5">
        <w:rPr>
          <w:rFonts w:ascii="AvantGarde Bk BT" w:hAnsi="AvantGarde Bk BT" w:cs="Arial"/>
          <w:sz w:val="24"/>
          <w:szCs w:val="24"/>
        </w:rPr>
        <w:t xml:space="preserve"> </w:t>
      </w:r>
      <w:r w:rsidRPr="000028AA">
        <w:rPr>
          <w:rFonts w:ascii="AvantGarde Bk BT" w:hAnsi="AvantGarde Bk BT" w:cs="Arial"/>
          <w:sz w:val="24"/>
          <w:szCs w:val="24"/>
        </w:rPr>
        <w:t>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37554BD1" w:rsidR="00946007" w:rsidRDefault="006B71F8" w:rsidP="003E04E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5E4A6FB5" w14:textId="570E0FF7" w:rsidR="003E04E5" w:rsidRDefault="00D2749A" w:rsidP="00927822">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Finalmente,</w:t>
      </w:r>
      <w:r w:rsidR="003E04E5">
        <w:rPr>
          <w:rFonts w:ascii="AvantGarde Bk BT" w:hAnsi="AvantGarde Bk BT" w:cs="Arial"/>
          <w:sz w:val="24"/>
          <w:szCs w:val="24"/>
        </w:rPr>
        <w:t xml:space="preserve"> el ponente decretó el cierre del periodo de instrucción con fundamento en lo previsto por </w:t>
      </w:r>
      <w:r w:rsidR="00CF0AF6">
        <w:rPr>
          <w:rFonts w:ascii="AvantGarde Bk BT" w:hAnsi="AvantGarde Bk BT" w:cs="Arial"/>
          <w:sz w:val="24"/>
          <w:szCs w:val="24"/>
        </w:rPr>
        <w:t>las fracciones</w:t>
      </w:r>
      <w:r w:rsidR="003E04E5">
        <w:rPr>
          <w:rFonts w:ascii="AvantGarde Bk BT" w:hAnsi="AvantGarde Bk BT" w:cs="Arial"/>
          <w:sz w:val="24"/>
          <w:szCs w:val="24"/>
        </w:rPr>
        <w:t xml:space="preserve"> IV y V del artículo 174 de la ley de la materia.</w:t>
      </w:r>
    </w:p>
    <w:p w14:paraId="541708EF" w14:textId="77510CF5" w:rsidR="002B1D98" w:rsidRPr="002B1D98" w:rsidRDefault="002B1D98" w:rsidP="002B1D9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Ampliación del plazo para resolver el recurso de revisión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Mediante </w:t>
      </w:r>
      <w:r>
        <w:rPr>
          <w:rFonts w:ascii="AvantGarde Bk BT" w:hAnsi="AvantGarde Bk BT" w:cs="Arial"/>
          <w:color w:val="000000" w:themeColor="text1"/>
          <w:sz w:val="24"/>
          <w:szCs w:val="24"/>
        </w:rPr>
        <w:t xml:space="preserve">proveído de </w:t>
      </w:r>
      <w:r w:rsidR="00D96013">
        <w:rPr>
          <w:rFonts w:ascii="AvantGarde Bk BT" w:hAnsi="AvantGarde Bk BT" w:cs="Arial"/>
          <w:color w:val="000000" w:themeColor="text1"/>
          <w:sz w:val="24"/>
          <w:szCs w:val="24"/>
        </w:rPr>
        <w:t xml:space="preserve">17 </w:t>
      </w:r>
      <w:r w:rsidR="00CF0AF6">
        <w:rPr>
          <w:rFonts w:ascii="AvantGarde Bk BT" w:hAnsi="AvantGarde Bk BT" w:cs="Arial"/>
          <w:color w:val="000000" w:themeColor="text1"/>
          <w:sz w:val="24"/>
          <w:szCs w:val="24"/>
        </w:rPr>
        <w:t>diecisiete de</w:t>
      </w:r>
      <w:r w:rsidR="00D2749A">
        <w:rPr>
          <w:rFonts w:ascii="AvantGarde Bk BT" w:hAnsi="AvantGarde Bk BT" w:cs="Arial"/>
          <w:color w:val="000000" w:themeColor="text1"/>
          <w:sz w:val="24"/>
          <w:szCs w:val="24"/>
        </w:rPr>
        <w:t xml:space="preserve"> </w:t>
      </w:r>
      <w:r w:rsidR="00D96013">
        <w:rPr>
          <w:rFonts w:ascii="AvantGarde Bk BT" w:hAnsi="AvantGarde Bk BT" w:cs="Arial"/>
          <w:color w:val="000000" w:themeColor="text1"/>
          <w:sz w:val="24"/>
          <w:szCs w:val="24"/>
        </w:rPr>
        <w:t>jun</w:t>
      </w:r>
      <w:r w:rsidR="00D2749A">
        <w:rPr>
          <w:rFonts w:ascii="AvantGarde Bk BT" w:hAnsi="AvantGarde Bk BT" w:cs="Arial"/>
          <w:color w:val="000000" w:themeColor="text1"/>
          <w:sz w:val="24"/>
          <w:szCs w:val="24"/>
        </w:rPr>
        <w:t>io</w:t>
      </w:r>
      <w:r>
        <w:rPr>
          <w:rFonts w:ascii="AvantGarde Bk BT" w:hAnsi="AvantGarde Bk BT" w:cs="Arial"/>
          <w:color w:val="000000" w:themeColor="text1"/>
          <w:sz w:val="24"/>
          <w:szCs w:val="24"/>
        </w:rPr>
        <w:t xml:space="preserve"> de 2019 dos mil diecinueve el ponente decretó la ampliación del plazo prevista en el artículo 170 de la ley de la materia, esto en razón de la complejidad del estudio del expediente en cuestión</w:t>
      </w:r>
      <w:r w:rsidRPr="007C5605">
        <w:rPr>
          <w:rFonts w:ascii="AvantGarde Bk BT" w:hAnsi="AvantGarde Bk BT" w:cs="Arial"/>
          <w:color w:val="000000" w:themeColor="text1"/>
          <w:sz w:val="24"/>
          <w:szCs w:val="24"/>
        </w:rPr>
        <w:t>.</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2B7561">
        <w:rPr>
          <w:rFonts w:ascii="AvantGarde Bk BT" w:hAnsi="AvantGarde Bk BT" w:cs="Arial"/>
          <w:sz w:val="24"/>
          <w:szCs w:val="24"/>
        </w:rPr>
        <w:lastRenderedPageBreak/>
        <w:t xml:space="preserve">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B1D98">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50E9AA16"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676E6E">
        <w:rPr>
          <w:rFonts w:ascii="AvantGarde Bk BT" w:hAnsi="AvantGarde Bk BT" w:cs="Arial"/>
          <w:sz w:val="24"/>
          <w:szCs w:val="24"/>
        </w:rPr>
        <w:t>09 nueve</w:t>
      </w:r>
      <w:r w:rsidR="00D2749A">
        <w:rPr>
          <w:rFonts w:ascii="AvantGarde Bk BT" w:hAnsi="AvantGarde Bk BT" w:cs="Arial"/>
          <w:sz w:val="24"/>
          <w:szCs w:val="24"/>
        </w:rPr>
        <w:t xml:space="preserve"> de abril</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3D70A8EA"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676E6E">
        <w:rPr>
          <w:rFonts w:ascii="AvantGarde Bk BT" w:hAnsi="AvantGarde Bk BT" w:cs="Arial"/>
          <w:sz w:val="24"/>
          <w:szCs w:val="24"/>
        </w:rPr>
        <w:t>10 diez</w:t>
      </w:r>
      <w:r w:rsidR="006564DE">
        <w:rPr>
          <w:rFonts w:ascii="AvantGarde Bk BT" w:hAnsi="AvantGarde Bk BT" w:cs="Arial"/>
          <w:sz w:val="24"/>
          <w:szCs w:val="24"/>
        </w:rPr>
        <w:t xml:space="preserve"> de abril al </w:t>
      </w:r>
      <w:r w:rsidR="00676E6E">
        <w:rPr>
          <w:rFonts w:ascii="AvantGarde Bk BT" w:hAnsi="AvantGarde Bk BT" w:cs="Arial"/>
          <w:sz w:val="24"/>
          <w:szCs w:val="24"/>
        </w:rPr>
        <w:t>08 ocho</w:t>
      </w:r>
      <w:r w:rsidR="006564DE">
        <w:rPr>
          <w:rFonts w:ascii="AvantGarde Bk BT" w:hAnsi="AvantGarde Bk BT" w:cs="Arial"/>
          <w:sz w:val="24"/>
          <w:szCs w:val="24"/>
        </w:rPr>
        <w:t xml:space="preserve"> de mayo</w:t>
      </w:r>
      <w:r w:rsidR="00753EDD">
        <w:rPr>
          <w:rFonts w:ascii="AvantGarde Bk BT" w:hAnsi="AvantGarde Bk BT" w:cs="Arial"/>
          <w:sz w:val="24"/>
          <w:szCs w:val="24"/>
        </w:rPr>
        <w:t xml:space="preserve"> </w:t>
      </w:r>
      <w:r w:rsidRPr="00E965A2">
        <w:rPr>
          <w:rFonts w:ascii="AvantGarde Bk BT" w:hAnsi="AvantGarde Bk BT" w:cs="Arial"/>
          <w:sz w:val="24"/>
          <w:szCs w:val="24"/>
        </w:rPr>
        <w:t>de 2019 dos mil diecinueve.</w:t>
      </w:r>
    </w:p>
    <w:p w14:paraId="650490BE" w14:textId="6B92CE88"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00676E6E" w:rsidRPr="00E965A2">
        <w:rPr>
          <w:rFonts w:ascii="AvantGarde Bk BT" w:hAnsi="AvantGarde Bk BT" w:cs="Arial"/>
          <w:sz w:val="24"/>
          <w:szCs w:val="24"/>
        </w:rPr>
        <w:t xml:space="preserve">Sin tomar en cuenta los días </w:t>
      </w:r>
      <w:r w:rsidR="00676E6E">
        <w:rPr>
          <w:rFonts w:ascii="AvantGarde Bk BT" w:hAnsi="AvantGarde Bk BT" w:cs="Arial"/>
          <w:sz w:val="24"/>
          <w:szCs w:val="24"/>
        </w:rPr>
        <w:t>13 trece, 14 catorce, 15 quince, 16 dieciséis, 17 diecisiete, 18 dieciocho, 19 diecinueve, 20 veinte, 21 veintiuno, 27 veintisiete y 28 veintiocho de abril, así como el 01 uno, 04 cuatro</w:t>
      </w:r>
      <w:r w:rsidR="00676E6E">
        <w:rPr>
          <w:rFonts w:ascii="AvantGarde Bk BT" w:hAnsi="AvantGarde Bk BT" w:cs="Arial"/>
          <w:sz w:val="24"/>
          <w:szCs w:val="24"/>
        </w:rPr>
        <w:t xml:space="preserve"> y</w:t>
      </w:r>
      <w:r w:rsidR="00676E6E">
        <w:rPr>
          <w:rFonts w:ascii="AvantGarde Bk BT" w:hAnsi="AvantGarde Bk BT" w:cs="Arial"/>
          <w:sz w:val="24"/>
          <w:szCs w:val="24"/>
        </w:rPr>
        <w:t xml:space="preserve"> 05 cinco de mayo de 2019 dos mil diecinueve </w:t>
      </w:r>
      <w:r w:rsidR="00676E6E">
        <w:rPr>
          <w:rFonts w:ascii="AvantGarde Bk BT" w:hAnsi="AvantGarde Bk BT" w:cs="Arial"/>
          <w:sz w:val="24"/>
          <w:szCs w:val="24"/>
        </w:rPr>
        <w:t>por ser inhábiles</w:t>
      </w:r>
      <w:r w:rsidRPr="00E965A2">
        <w:rPr>
          <w:rFonts w:ascii="AvantGarde Bk BT" w:hAnsi="AvantGarde Bk BT" w:cs="Arial"/>
          <w:sz w:val="24"/>
          <w:szCs w:val="24"/>
        </w:rPr>
        <w:t>.</w:t>
      </w:r>
    </w:p>
    <w:p w14:paraId="3D35C7F2" w14:textId="07103CC9"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1F1511">
        <w:rPr>
          <w:rFonts w:ascii="AvantGarde Bk BT" w:hAnsi="AvantGarde Bk BT" w:cs="Arial"/>
          <w:sz w:val="24"/>
          <w:szCs w:val="24"/>
        </w:rPr>
        <w:t>22 veintidós</w:t>
      </w:r>
      <w:r w:rsidR="008E74AF">
        <w:rPr>
          <w:rFonts w:ascii="AvantGarde Bk BT" w:hAnsi="AvantGarde Bk BT" w:cs="Arial"/>
          <w:sz w:val="24"/>
          <w:szCs w:val="24"/>
        </w:rPr>
        <w:t xml:space="preserve"> de abril</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w:t>
      </w:r>
      <w:r w:rsidRPr="00D70BF2">
        <w:rPr>
          <w:rFonts w:ascii="AvantGarde Bk BT" w:hAnsi="AvantGarde Bk BT" w:cs="Arial"/>
          <w:sz w:val="24"/>
          <w:szCs w:val="24"/>
        </w:rPr>
        <w:lastRenderedPageBreak/>
        <w:t>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81A71">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46140FC5" w14:textId="7F005C30" w:rsidR="00946007" w:rsidRPr="00E0750B" w:rsidRDefault="00946007" w:rsidP="008E74AF">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1F1511" w:rsidRPr="001F1511">
        <w:rPr>
          <w:rFonts w:ascii="AvantGarde Bk BT" w:hAnsi="AvantGarde Bk BT" w:cs="Arial"/>
          <w:i/>
          <w:sz w:val="20"/>
          <w:szCs w:val="22"/>
        </w:rPr>
        <w:t xml:space="preserve">Solicito el proyecto de la </w:t>
      </w:r>
      <w:proofErr w:type="spellStart"/>
      <w:proofErr w:type="gramStart"/>
      <w:r w:rsidR="001F1511" w:rsidRPr="001F1511">
        <w:rPr>
          <w:rFonts w:ascii="AvantGarde Bk BT" w:hAnsi="AvantGarde Bk BT" w:cs="Arial"/>
          <w:i/>
          <w:sz w:val="20"/>
          <w:szCs w:val="22"/>
        </w:rPr>
        <w:t>ciclovia</w:t>
      </w:r>
      <w:proofErr w:type="spellEnd"/>
      <w:r w:rsidR="001F1511" w:rsidRPr="001F1511">
        <w:rPr>
          <w:rFonts w:ascii="AvantGarde Bk BT" w:hAnsi="AvantGarde Bk BT" w:cs="Arial"/>
          <w:i/>
          <w:sz w:val="20"/>
          <w:szCs w:val="22"/>
        </w:rPr>
        <w:t xml:space="preserve">  para</w:t>
      </w:r>
      <w:proofErr w:type="gramEnd"/>
      <w:r w:rsidR="001F1511" w:rsidRPr="001F1511">
        <w:rPr>
          <w:rFonts w:ascii="AvantGarde Bk BT" w:hAnsi="AvantGarde Bk BT" w:cs="Arial"/>
          <w:i/>
          <w:sz w:val="20"/>
          <w:szCs w:val="22"/>
        </w:rPr>
        <w:t xml:space="preserve"> mejorar la movilidad, solicito el proyecto en documento, todo el expediente que obre en sus archivos, así como costos porque no creo que se pongan a hacer proyectos sin saber costos, así mismo solicito,  saber de dónde saldrá el presupuesto</w:t>
      </w:r>
      <w:r w:rsidR="00FC26EA" w:rsidRPr="00FC26EA">
        <w:rPr>
          <w:rFonts w:ascii="AvantGarde Bk BT" w:hAnsi="AvantGarde Bk BT" w:cs="Arial"/>
          <w:i/>
          <w:sz w:val="22"/>
          <w:szCs w:val="22"/>
        </w:rPr>
        <w:t>.</w:t>
      </w:r>
      <w:r w:rsidR="00281A71">
        <w:rPr>
          <w:rFonts w:ascii="AvantGarde Bk BT" w:hAnsi="AvantGarde Bk BT" w:cs="Arial"/>
          <w:sz w:val="24"/>
          <w:szCs w:val="24"/>
        </w:rPr>
        <w:t>”</w:t>
      </w:r>
      <w:r w:rsidRPr="00E0750B">
        <w:rPr>
          <w:rFonts w:ascii="AvantGarde Bk BT" w:hAnsi="AvantGarde Bk BT" w:cs="Arial"/>
          <w:sz w:val="24"/>
          <w:szCs w:val="24"/>
        </w:rPr>
        <w:t xml:space="preserve"> </w:t>
      </w:r>
      <w:r w:rsidR="00155F42">
        <w:rPr>
          <w:rFonts w:ascii="AvantGarde Bk BT" w:hAnsi="AvantGarde Bk BT" w:cs="Arial"/>
          <w:b/>
          <w:sz w:val="24"/>
          <w:szCs w:val="24"/>
        </w:rPr>
        <w:t xml:space="preserve"> </w:t>
      </w:r>
      <w:r w:rsidRPr="00E0750B">
        <w:rPr>
          <w:rFonts w:ascii="AvantGarde Bk BT" w:hAnsi="AvantGarde Bk BT" w:cs="Arial"/>
          <w:sz w:val="24"/>
          <w:szCs w:val="24"/>
        </w:rPr>
        <w:t xml:space="preserve">(Visible a foja </w:t>
      </w:r>
      <w:r w:rsidR="00EB5F75">
        <w:rPr>
          <w:rFonts w:ascii="AvantGarde Bk BT" w:hAnsi="AvantGarde Bk BT" w:cs="Arial"/>
          <w:sz w:val="24"/>
          <w:szCs w:val="24"/>
        </w:rPr>
        <w:t>02</w:t>
      </w:r>
      <w:r w:rsidRPr="00E0750B">
        <w:rPr>
          <w:rFonts w:ascii="AvantGarde Bk BT" w:hAnsi="AvantGarde Bk BT" w:cs="Arial"/>
          <w:sz w:val="24"/>
          <w:szCs w:val="24"/>
        </w:rPr>
        <w:t xml:space="preserve"> de autos).</w:t>
      </w:r>
    </w:p>
    <w:p w14:paraId="1F02B8E0" w14:textId="5FCE793E" w:rsidR="00EB5F75" w:rsidRPr="001F1511" w:rsidRDefault="00946007" w:rsidP="001F1511">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5A5DF855" w14:textId="5E25435A" w:rsidR="001F1511" w:rsidRPr="001F1511" w:rsidRDefault="001F1511" w:rsidP="001F1511">
      <w:pPr>
        <w:tabs>
          <w:tab w:val="left" w:pos="690"/>
          <w:tab w:val="left" w:pos="1515"/>
        </w:tabs>
        <w:spacing w:after="0"/>
        <w:ind w:left="709" w:firstLine="709"/>
        <w:jc w:val="both"/>
        <w:rPr>
          <w:sz w:val="20"/>
        </w:rPr>
      </w:pPr>
      <w:r>
        <w:t>“</w:t>
      </w:r>
      <w:r>
        <w:rPr>
          <w:sz w:val="20"/>
        </w:rPr>
        <w:t>[…].</w:t>
      </w:r>
    </w:p>
    <w:p w14:paraId="620CB529" w14:textId="77777777" w:rsidR="001F1511" w:rsidRPr="001F1511" w:rsidRDefault="001F1511" w:rsidP="001F1511">
      <w:pPr>
        <w:tabs>
          <w:tab w:val="left" w:pos="690"/>
          <w:tab w:val="left" w:pos="1515"/>
        </w:tabs>
        <w:spacing w:after="0"/>
        <w:ind w:left="709" w:firstLine="709"/>
        <w:jc w:val="both"/>
        <w:rPr>
          <w:sz w:val="20"/>
        </w:rPr>
      </w:pPr>
      <w:r w:rsidRPr="001F1511">
        <w:rPr>
          <w:sz w:val="20"/>
        </w:rPr>
        <w:t>En respuesta a su solicitud de información con número de folio UT-SI-634/2019-00467719-</w:t>
      </w:r>
      <w:proofErr w:type="gramStart"/>
      <w:r w:rsidRPr="001F1511">
        <w:rPr>
          <w:sz w:val="20"/>
        </w:rPr>
        <w:t>PNT,  presentada</w:t>
      </w:r>
      <w:proofErr w:type="gramEnd"/>
      <w:r w:rsidRPr="001F1511">
        <w:rPr>
          <w:sz w:val="20"/>
        </w:rPr>
        <w:t xml:space="preserve"> mediante la  Plataforma de Transparencia San Luis Potosí y de conformidad con lo dispuesto en el artículo 158 de la Ley  de Transparencia y Acceso a la Información Pública del Estado de San Luis Potosí, nos permitimos hacer de su conocimiento que, la información por usted solicitada, no es competencia de este Municipio.</w:t>
      </w:r>
    </w:p>
    <w:p w14:paraId="2DB725F1" w14:textId="1943D4B3" w:rsidR="001F1511" w:rsidRPr="001F1511" w:rsidRDefault="001F1511" w:rsidP="001F1511">
      <w:pPr>
        <w:tabs>
          <w:tab w:val="left" w:pos="690"/>
          <w:tab w:val="left" w:pos="1515"/>
        </w:tabs>
        <w:spacing w:after="0"/>
        <w:ind w:left="709" w:firstLine="709"/>
        <w:jc w:val="both"/>
        <w:rPr>
          <w:sz w:val="20"/>
        </w:rPr>
      </w:pPr>
      <w:r w:rsidRPr="001F1511">
        <w:rPr>
          <w:sz w:val="20"/>
        </w:rPr>
        <w:t>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w:t>
      </w:r>
      <w:r>
        <w:rPr>
          <w:sz w:val="20"/>
        </w:rPr>
        <w:t xml:space="preserve"> sujetos obligados competentes.</w:t>
      </w:r>
    </w:p>
    <w:p w14:paraId="663756A1" w14:textId="77777777" w:rsidR="001F1511" w:rsidRPr="001F1511" w:rsidRDefault="001F1511" w:rsidP="001F1511">
      <w:pPr>
        <w:tabs>
          <w:tab w:val="left" w:pos="690"/>
          <w:tab w:val="left" w:pos="1515"/>
        </w:tabs>
        <w:spacing w:after="0"/>
        <w:ind w:left="709" w:firstLine="709"/>
        <w:jc w:val="both"/>
        <w:rPr>
          <w:sz w:val="20"/>
        </w:rPr>
      </w:pPr>
      <w:r w:rsidRPr="001F1511">
        <w:rPr>
          <w:sz w:val="20"/>
        </w:rPr>
        <w:t xml:space="preserve">Por lo anterior, de conformidad con lo dispuesto en el citado artículo, nos permitimos sugerir solicitar la información al Instituto Nacional de Planeación (IMPLAN), en la siguiente dirección: </w:t>
      </w:r>
    </w:p>
    <w:p w14:paraId="740354A6" w14:textId="77777777" w:rsidR="001F1511" w:rsidRPr="001F1511" w:rsidRDefault="001F1511" w:rsidP="001F1511">
      <w:pPr>
        <w:tabs>
          <w:tab w:val="left" w:pos="690"/>
          <w:tab w:val="left" w:pos="1515"/>
        </w:tabs>
        <w:spacing w:after="0"/>
        <w:ind w:left="709" w:firstLine="709"/>
        <w:jc w:val="both"/>
        <w:rPr>
          <w:sz w:val="20"/>
        </w:rPr>
      </w:pPr>
      <w:r w:rsidRPr="001F1511">
        <w:rPr>
          <w:sz w:val="20"/>
        </w:rPr>
        <w:t>•</w:t>
      </w:r>
      <w:r w:rsidRPr="001F1511">
        <w:rPr>
          <w:sz w:val="20"/>
        </w:rPr>
        <w:tab/>
        <w:t xml:space="preserve">Camino a la Presa #1555, Lomas 3a. Sección, 78216 San Luis, </w:t>
      </w:r>
      <w:proofErr w:type="gramStart"/>
      <w:r w:rsidRPr="001F1511">
        <w:rPr>
          <w:sz w:val="20"/>
        </w:rPr>
        <w:t>S.L.P..</w:t>
      </w:r>
      <w:proofErr w:type="gramEnd"/>
    </w:p>
    <w:p w14:paraId="4B96257F" w14:textId="44E1204D" w:rsidR="001F1511" w:rsidRPr="001F1511" w:rsidRDefault="001F1511" w:rsidP="001F1511">
      <w:pPr>
        <w:tabs>
          <w:tab w:val="left" w:pos="690"/>
          <w:tab w:val="left" w:pos="1515"/>
        </w:tabs>
        <w:spacing w:after="0"/>
        <w:ind w:left="709" w:firstLine="709"/>
        <w:jc w:val="both"/>
        <w:rPr>
          <w:sz w:val="20"/>
        </w:rPr>
      </w:pPr>
      <w:r>
        <w:rPr>
          <w:sz w:val="20"/>
        </w:rPr>
        <w:t>•</w:t>
      </w:r>
      <w:r>
        <w:rPr>
          <w:sz w:val="20"/>
        </w:rPr>
        <w:tab/>
        <w:t>Tel. (444) 814 1397.</w:t>
      </w:r>
    </w:p>
    <w:p w14:paraId="009D18C3" w14:textId="69CE4DB8" w:rsidR="001F1511" w:rsidRPr="001F1511" w:rsidRDefault="001F1511" w:rsidP="001F1511">
      <w:pPr>
        <w:tabs>
          <w:tab w:val="left" w:pos="690"/>
          <w:tab w:val="left" w:pos="1515"/>
        </w:tabs>
        <w:spacing w:after="0"/>
        <w:ind w:left="709" w:firstLine="709"/>
        <w:jc w:val="both"/>
        <w:rPr>
          <w:sz w:val="20"/>
        </w:rPr>
      </w:pPr>
      <w:r w:rsidRPr="001F1511">
        <w:rPr>
          <w:sz w:val="20"/>
        </w:rPr>
        <w:t xml:space="preserve">Esta respuesta encuentra sus fundamentos en los artículos 3° fracción XVIII, 15°, 54° fracciones II y IV, 143° y 154° de la Ley de </w:t>
      </w:r>
      <w:proofErr w:type="gramStart"/>
      <w:r w:rsidRPr="001F1511">
        <w:rPr>
          <w:sz w:val="20"/>
        </w:rPr>
        <w:t>Transparencia  y</w:t>
      </w:r>
      <w:proofErr w:type="gramEnd"/>
      <w:r w:rsidRPr="001F1511">
        <w:rPr>
          <w:sz w:val="20"/>
        </w:rPr>
        <w:t xml:space="preserve"> Acceso a la Información Pública del Esta</w:t>
      </w:r>
      <w:r>
        <w:rPr>
          <w:sz w:val="20"/>
        </w:rPr>
        <w:t>do de San Luis Potosí en vigor.</w:t>
      </w:r>
    </w:p>
    <w:p w14:paraId="4FBB18BB" w14:textId="16F185EA" w:rsidR="001F1511" w:rsidRPr="001F1511" w:rsidRDefault="001F1511" w:rsidP="001F1511">
      <w:pPr>
        <w:tabs>
          <w:tab w:val="left" w:pos="690"/>
          <w:tab w:val="left" w:pos="1515"/>
        </w:tabs>
        <w:spacing w:after="0"/>
        <w:ind w:left="709" w:firstLine="709"/>
        <w:jc w:val="both"/>
        <w:rPr>
          <w:sz w:val="20"/>
        </w:rPr>
      </w:pPr>
      <w:r w:rsidRPr="001F1511">
        <w:rPr>
          <w:sz w:val="20"/>
        </w:rPr>
        <w:t xml:space="preserve">De forma adicional, le indico que tiene a salvo su derecho para inconformarse con la respuesta otorgada a su solicitud, conforme a lo establecido en los artículos 154 último párrafo, 166, 167 y 168 de la Ley de </w:t>
      </w:r>
      <w:proofErr w:type="gramStart"/>
      <w:r w:rsidRPr="001F1511">
        <w:rPr>
          <w:sz w:val="20"/>
        </w:rPr>
        <w:t>Transparencia  y</w:t>
      </w:r>
      <w:proofErr w:type="gramEnd"/>
      <w:r w:rsidRPr="001F1511">
        <w:rPr>
          <w:sz w:val="20"/>
        </w:rPr>
        <w:t xml:space="preserve"> Acceso  a la Información  Pública  </w:t>
      </w:r>
      <w:r>
        <w:rPr>
          <w:sz w:val="20"/>
        </w:rPr>
        <w:t>del Estado  de San Luis Potosí.</w:t>
      </w:r>
    </w:p>
    <w:p w14:paraId="1EB14799" w14:textId="7C25B54C" w:rsidR="00BE1710" w:rsidRPr="001F1511" w:rsidRDefault="001F1511" w:rsidP="001F1511">
      <w:pPr>
        <w:tabs>
          <w:tab w:val="left" w:pos="690"/>
          <w:tab w:val="left" w:pos="1515"/>
        </w:tabs>
        <w:ind w:left="709" w:firstLine="709"/>
      </w:pPr>
      <w:r>
        <w:rPr>
          <w:sz w:val="20"/>
        </w:rPr>
        <w:t>[…]</w:t>
      </w:r>
      <w:r>
        <w:t>.</w:t>
      </w:r>
      <w:r>
        <w:t>”</w:t>
      </w:r>
      <w:r>
        <w:tab/>
      </w:r>
    </w:p>
    <w:p w14:paraId="505F0041" w14:textId="45927578" w:rsidR="00946007" w:rsidRPr="00E0750B" w:rsidRDefault="00946007" w:rsidP="00281A71">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A6B0DC8" w14:textId="53609117" w:rsidR="00946007" w:rsidRPr="001F1511" w:rsidRDefault="00946007" w:rsidP="001F1511">
      <w:pPr>
        <w:pStyle w:val="corte4fondo"/>
        <w:spacing w:after="240"/>
        <w:ind w:left="709"/>
        <w:rPr>
          <w:rFonts w:ascii="AvantGarde Bk BT" w:hAnsi="AvantGarde Bk BT" w:cs="Arial"/>
          <w:i/>
          <w:sz w:val="20"/>
          <w:szCs w:val="22"/>
        </w:rPr>
      </w:pPr>
      <w:r w:rsidRPr="00E0750B">
        <w:rPr>
          <w:rFonts w:ascii="AvantGarde Bk BT" w:hAnsi="AvantGarde Bk BT" w:cs="Arial"/>
          <w:sz w:val="24"/>
          <w:szCs w:val="24"/>
        </w:rPr>
        <w:lastRenderedPageBreak/>
        <w:t>“</w:t>
      </w:r>
      <w:r w:rsidR="001F1511" w:rsidRPr="001F1511">
        <w:rPr>
          <w:rFonts w:ascii="AvantGarde Bk BT" w:hAnsi="AvantGarde Bk BT" w:cs="Arial"/>
          <w:i/>
          <w:sz w:val="20"/>
          <w:szCs w:val="22"/>
        </w:rPr>
        <w:t>se me niega la información. argumentando que no son competentes, sin embargo la ley establece que Información pública: la que es creada, administra</w:t>
      </w:r>
      <w:r w:rsidR="001F1511">
        <w:rPr>
          <w:rFonts w:ascii="AvantGarde Bk BT" w:hAnsi="AvantGarde Bk BT" w:cs="Arial"/>
          <w:i/>
          <w:sz w:val="20"/>
          <w:szCs w:val="22"/>
        </w:rPr>
        <w:t xml:space="preserve">da o en posesión de los sujetos </w:t>
      </w:r>
      <w:r w:rsidR="001F1511" w:rsidRPr="001F1511">
        <w:rPr>
          <w:rFonts w:ascii="AvantGarde Bk BT" w:hAnsi="AvantGarde Bk BT" w:cs="Arial"/>
          <w:i/>
          <w:sz w:val="20"/>
          <w:szCs w:val="22"/>
        </w:rPr>
        <w:t xml:space="preserve">obligados, exceptuando la clasificada como reservada o confidencial, por lo tanto al contar con la información (posesión) deben de brindarme acceso ya que en multicitadas notas se ha hablado de este tema por lo tanto debe primero la unidad de agotar los medios de investigación entre sus áreas para saber si cuenta o no con la información, sin embargo ni siquiera obra un solo oficio en el que haya realizado gestiones internas para hacerse de información de mi interés. en estas notas vera la Comisión como si tienen </w:t>
      </w:r>
      <w:proofErr w:type="spellStart"/>
      <w:r w:rsidR="001F1511" w:rsidRPr="001F1511">
        <w:rPr>
          <w:rFonts w:ascii="AvantGarde Bk BT" w:hAnsi="AvantGarde Bk BT" w:cs="Arial"/>
          <w:i/>
          <w:sz w:val="20"/>
          <w:szCs w:val="22"/>
        </w:rPr>
        <w:t>informacion</w:t>
      </w:r>
      <w:proofErr w:type="spellEnd"/>
      <w:r w:rsidR="001F1511" w:rsidRPr="001F1511">
        <w:rPr>
          <w:rFonts w:ascii="AvantGarde Bk BT" w:hAnsi="AvantGarde Bk BT" w:cs="Arial"/>
          <w:i/>
          <w:sz w:val="20"/>
          <w:szCs w:val="22"/>
        </w:rPr>
        <w:t xml:space="preserve"> </w:t>
      </w:r>
      <w:hyperlink r:id="rId8" w:history="1">
        <w:r w:rsidR="001F1511" w:rsidRPr="009C443A">
          <w:rPr>
            <w:rStyle w:val="Hipervnculo"/>
            <w:rFonts w:ascii="AvantGarde Bk BT" w:hAnsi="AvantGarde Bk BT" w:cs="Arial"/>
            <w:i/>
            <w:sz w:val="20"/>
            <w:szCs w:val="22"/>
          </w:rPr>
          <w:t>https://sanluis.gob.mx/firme-proyecto-de-ciclovia</w:t>
        </w:r>
        <w:r w:rsidR="001F1511" w:rsidRPr="009C443A">
          <w:rPr>
            <w:rStyle w:val="Hipervnculo"/>
            <w:rFonts w:ascii="AvantGarde Bk BT" w:hAnsi="AvantGarde Bk BT" w:cs="Arial"/>
            <w:i/>
            <w:sz w:val="20"/>
            <w:szCs w:val="22"/>
          </w:rPr>
          <w:t>s</w:t>
        </w:r>
        <w:r w:rsidR="001F1511" w:rsidRPr="009C443A">
          <w:rPr>
            <w:rStyle w:val="Hipervnculo"/>
            <w:rFonts w:ascii="AvantGarde Bk BT" w:hAnsi="AvantGarde Bk BT" w:cs="Arial"/>
            <w:i/>
            <w:sz w:val="20"/>
            <w:szCs w:val="22"/>
          </w:rPr>
          <w:t>-para-mejorar-movilidad-en-la-capital/</w:t>
        </w:r>
      </w:hyperlink>
      <w:r w:rsidR="001F1511">
        <w:rPr>
          <w:rFonts w:ascii="AvantGarde Bk BT" w:hAnsi="AvantGarde Bk BT" w:cs="Arial"/>
          <w:i/>
          <w:sz w:val="20"/>
          <w:szCs w:val="22"/>
        </w:rPr>
        <w:t xml:space="preserve"> </w:t>
      </w:r>
      <w:hyperlink r:id="rId9" w:history="1">
        <w:r w:rsidR="001F1511" w:rsidRPr="009C443A">
          <w:rPr>
            <w:rStyle w:val="Hipervnculo"/>
            <w:rFonts w:ascii="AvantGarde Bk BT" w:hAnsi="AvantGarde Bk BT" w:cs="Arial"/>
            <w:i/>
            <w:sz w:val="20"/>
            <w:szCs w:val="22"/>
          </w:rPr>
          <w:t>https://sanluis.gob.mx/confirma-nava-palacios-ciclov</w:t>
        </w:r>
        <w:r w:rsidR="001F1511" w:rsidRPr="009C443A">
          <w:rPr>
            <w:rStyle w:val="Hipervnculo"/>
            <w:rFonts w:ascii="AvantGarde Bk BT" w:hAnsi="AvantGarde Bk BT" w:cs="Arial"/>
            <w:i/>
            <w:sz w:val="20"/>
            <w:szCs w:val="22"/>
          </w:rPr>
          <w:t>i</w:t>
        </w:r>
        <w:r w:rsidR="001F1511" w:rsidRPr="009C443A">
          <w:rPr>
            <w:rStyle w:val="Hipervnculo"/>
            <w:rFonts w:ascii="AvantGarde Bk BT" w:hAnsi="AvantGarde Bk BT" w:cs="Arial"/>
            <w:i/>
            <w:sz w:val="20"/>
            <w:szCs w:val="22"/>
          </w:rPr>
          <w:t>a-ruta-universitaria/</w:t>
        </w:r>
      </w:hyperlink>
      <w:r w:rsidR="001F1511">
        <w:rPr>
          <w:rFonts w:ascii="AvantGarde Bk BT" w:hAnsi="AvantGarde Bk BT" w:cs="Arial"/>
          <w:i/>
          <w:sz w:val="20"/>
          <w:szCs w:val="22"/>
        </w:rPr>
        <w:t xml:space="preserve"> </w:t>
      </w:r>
      <w:r w:rsidR="001F1511" w:rsidRPr="001F1511">
        <w:rPr>
          <w:rFonts w:ascii="AvantGarde Bk BT" w:hAnsi="AvantGarde Bk BT" w:cs="Arial"/>
          <w:i/>
          <w:sz w:val="20"/>
          <w:szCs w:val="22"/>
        </w:rPr>
        <w:t>entonces si no es un proyecto del municipio por que presumen con sombrero ajeno, algo no cuadra.</w:t>
      </w:r>
      <w:r w:rsidR="00C44B12">
        <w:rPr>
          <w:rFonts w:ascii="AvantGarde Bk BT" w:hAnsi="AvantGarde Bk BT" w:cs="Arial"/>
          <w:sz w:val="24"/>
          <w:szCs w:val="24"/>
        </w:rPr>
        <w:t>”</w:t>
      </w:r>
      <w:r w:rsidRPr="0037595A">
        <w:rPr>
          <w:rFonts w:ascii="AvantGarde Bk BT" w:hAnsi="AvantGarde Bk BT" w:cs="Arial"/>
          <w:sz w:val="24"/>
          <w:szCs w:val="24"/>
        </w:rPr>
        <w:t xml:space="preserve"> </w:t>
      </w:r>
      <w:r w:rsidR="00822A54">
        <w:rPr>
          <w:rFonts w:ascii="AvantGarde Bk BT" w:hAnsi="AvantGarde Bk BT" w:cs="Arial"/>
          <w:b/>
          <w:sz w:val="24"/>
          <w:szCs w:val="24"/>
        </w:rPr>
        <w:t xml:space="preserve">SIC </w:t>
      </w:r>
      <w:r w:rsidRPr="0037595A">
        <w:rPr>
          <w:rFonts w:ascii="AvantGarde Bk BT" w:hAnsi="AvantGarde Bk BT" w:cs="Arial"/>
          <w:sz w:val="24"/>
          <w:szCs w:val="24"/>
        </w:rPr>
        <w:t xml:space="preserve">(Visible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01</w:t>
      </w:r>
      <w:r w:rsidR="00EE75F1" w:rsidRPr="0037595A">
        <w:rPr>
          <w:rFonts w:ascii="AvantGarde Bk BT" w:hAnsi="AvantGarde Bk BT" w:cs="Arial"/>
          <w:sz w:val="24"/>
          <w:szCs w:val="24"/>
        </w:rPr>
        <w:t xml:space="preserve"> </w:t>
      </w:r>
      <w:r w:rsidRPr="0037595A">
        <w:rPr>
          <w:rFonts w:ascii="AvantGarde Bk BT" w:hAnsi="AvantGarde Bk BT" w:cs="Arial"/>
          <w:sz w:val="24"/>
          <w:szCs w:val="24"/>
        </w:rPr>
        <w:t>de autos).</w:t>
      </w:r>
    </w:p>
    <w:p w14:paraId="7BBE9277" w14:textId="61C1D1AC" w:rsidR="00E2583F" w:rsidRDefault="00946007" w:rsidP="00CB35DC">
      <w:pPr>
        <w:pStyle w:val="corte4fondo"/>
        <w:tabs>
          <w:tab w:val="left" w:pos="567"/>
        </w:tabs>
        <w:spacing w:after="240"/>
        <w:ind w:firstLine="680"/>
        <w:rPr>
          <w:rFonts w:ascii="AvantGarde Bk BT" w:hAnsi="AvantGarde Bk BT" w:cs="Arial"/>
          <w:sz w:val="24"/>
          <w:szCs w:val="24"/>
        </w:rPr>
      </w:pPr>
      <w:r w:rsidRPr="00DE6A39">
        <w:rPr>
          <w:rFonts w:ascii="AvantGarde Bk BT" w:hAnsi="AvantGarde Bk BT" w:cs="Arial"/>
          <w:sz w:val="24"/>
          <w:szCs w:val="24"/>
        </w:rPr>
        <w:t xml:space="preserve">Al respecto, en el informe que el sujeto obligado rindió ante este organismo, </w:t>
      </w:r>
      <w:r w:rsidR="00D4006E" w:rsidRPr="00DE6A39">
        <w:rPr>
          <w:rFonts w:ascii="AvantGarde Bk BT" w:hAnsi="AvantGarde Bk BT" w:cs="Arial"/>
          <w:sz w:val="24"/>
          <w:szCs w:val="24"/>
        </w:rPr>
        <w:t xml:space="preserve">y que </w:t>
      </w:r>
      <w:r w:rsidR="00395037" w:rsidRPr="00DE6A39">
        <w:rPr>
          <w:rFonts w:ascii="AvantGarde Bk BT" w:hAnsi="AvantGarde Bk BT" w:cs="Arial"/>
          <w:sz w:val="24"/>
          <w:szCs w:val="24"/>
        </w:rPr>
        <w:t xml:space="preserve">se encuentra </w:t>
      </w:r>
      <w:r w:rsidR="00D4006E" w:rsidRPr="00DE6A39">
        <w:rPr>
          <w:rFonts w:ascii="AvantGarde Bk BT" w:hAnsi="AvantGarde Bk BT" w:cs="Arial"/>
          <w:sz w:val="24"/>
          <w:szCs w:val="24"/>
        </w:rPr>
        <w:t xml:space="preserve">visible de foja </w:t>
      </w:r>
      <w:r w:rsidR="00BE1710">
        <w:rPr>
          <w:rFonts w:ascii="AvantGarde Bk BT" w:hAnsi="AvantGarde Bk BT" w:cs="Arial"/>
          <w:sz w:val="24"/>
          <w:szCs w:val="24"/>
        </w:rPr>
        <w:t>21 a 40</w:t>
      </w:r>
      <w:r w:rsidR="00C44B12" w:rsidRPr="00DE6A39">
        <w:rPr>
          <w:rFonts w:ascii="AvantGarde Bk BT" w:hAnsi="AvantGarde Bk BT" w:cs="Arial"/>
          <w:sz w:val="24"/>
          <w:szCs w:val="24"/>
        </w:rPr>
        <w:t xml:space="preserve"> de autos</w:t>
      </w:r>
      <w:r w:rsidR="00D4006E" w:rsidRPr="00DE6A39">
        <w:rPr>
          <w:rFonts w:ascii="AvantGarde Bk BT" w:hAnsi="AvantGarde Bk BT" w:cs="Arial"/>
          <w:sz w:val="24"/>
          <w:szCs w:val="24"/>
        </w:rPr>
        <w:t xml:space="preserve">, </w:t>
      </w:r>
      <w:r w:rsidR="00050D73" w:rsidRPr="00DE6A39">
        <w:rPr>
          <w:rFonts w:ascii="AvantGarde Bk BT" w:hAnsi="AvantGarde Bk BT" w:cs="Arial"/>
          <w:sz w:val="24"/>
          <w:szCs w:val="24"/>
        </w:rPr>
        <w:t xml:space="preserve">reiteró su respuesta e </w:t>
      </w:r>
      <w:r w:rsidR="008D713E" w:rsidRPr="00DE6A39">
        <w:rPr>
          <w:rFonts w:ascii="AvantGarde Bk BT" w:hAnsi="AvantGarde Bk BT" w:cs="Arial"/>
          <w:sz w:val="24"/>
          <w:szCs w:val="24"/>
        </w:rPr>
        <w:t xml:space="preserve">hizo hincapié </w:t>
      </w:r>
      <w:r w:rsidR="00BE1710">
        <w:rPr>
          <w:rFonts w:ascii="AvantGarde Bk BT" w:hAnsi="AvantGarde Bk BT" w:cs="Arial"/>
          <w:sz w:val="24"/>
          <w:szCs w:val="24"/>
        </w:rPr>
        <w:t xml:space="preserve">en </w:t>
      </w:r>
      <w:r w:rsidR="002F4CEB">
        <w:rPr>
          <w:rFonts w:ascii="AvantGarde Bk BT" w:hAnsi="AvantGarde Bk BT" w:cs="Arial"/>
          <w:sz w:val="24"/>
          <w:szCs w:val="24"/>
        </w:rPr>
        <w:t>que el sujeto obligado correcto es el Instituto Municipal</w:t>
      </w:r>
      <w:r w:rsidR="002F4CEB" w:rsidRPr="002F4CEB">
        <w:rPr>
          <w:rFonts w:ascii="AvantGarde Bk BT" w:hAnsi="AvantGarde Bk BT" w:cs="Arial"/>
          <w:sz w:val="24"/>
          <w:szCs w:val="24"/>
        </w:rPr>
        <w:t xml:space="preserve"> de Planeación</w:t>
      </w:r>
      <w:r w:rsidR="002F4CEB">
        <w:rPr>
          <w:rFonts w:ascii="AvantGarde Bk BT" w:hAnsi="AvantGarde Bk BT" w:cs="Arial"/>
          <w:sz w:val="24"/>
          <w:szCs w:val="24"/>
        </w:rPr>
        <w:t xml:space="preserve"> (IMPLAN)</w:t>
      </w:r>
      <w:r w:rsidR="00BE1710" w:rsidRPr="002F4CEB">
        <w:rPr>
          <w:rFonts w:ascii="AvantGarde Bk BT" w:hAnsi="AvantGarde Bk BT" w:cs="Arial"/>
          <w:sz w:val="24"/>
          <w:szCs w:val="24"/>
        </w:rPr>
        <w:t>.</w:t>
      </w:r>
    </w:p>
    <w:p w14:paraId="41EB23A4" w14:textId="77777777" w:rsidR="009B651B" w:rsidRDefault="002F24D0" w:rsidP="001555B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w:t>
      </w:r>
      <w:r w:rsidR="001555B9">
        <w:rPr>
          <w:rFonts w:ascii="AvantGarde Bk BT" w:hAnsi="AvantGarde Bk BT" w:cs="Arial"/>
          <w:sz w:val="24"/>
          <w:szCs w:val="24"/>
        </w:rPr>
        <w:t>, este cuerpo colegiado estima que los agravios vertidos por el particular resultan</w:t>
      </w:r>
      <w:r w:rsidR="001555B9" w:rsidRPr="00F02A2C">
        <w:rPr>
          <w:rFonts w:ascii="AvantGarde Bk BT" w:hAnsi="AvantGarde Bk BT" w:cs="Arial"/>
          <w:sz w:val="24"/>
          <w:szCs w:val="24"/>
        </w:rPr>
        <w:t xml:space="preserve"> </w:t>
      </w:r>
      <w:r w:rsidR="00DE6A39">
        <w:rPr>
          <w:rFonts w:ascii="AvantGarde Bk BT" w:hAnsi="AvantGarde Bk BT" w:cs="Arial"/>
          <w:sz w:val="24"/>
          <w:szCs w:val="24"/>
        </w:rPr>
        <w:t>operantes en parte</w:t>
      </w:r>
      <w:r w:rsidR="009B651B">
        <w:rPr>
          <w:rFonts w:ascii="AvantGarde Bk BT" w:hAnsi="AvantGarde Bk BT" w:cs="Arial"/>
          <w:sz w:val="24"/>
          <w:szCs w:val="24"/>
        </w:rPr>
        <w:t xml:space="preserve"> en razón de las siguientes consideraciones:</w:t>
      </w:r>
    </w:p>
    <w:p w14:paraId="5F8483A8" w14:textId="77777777" w:rsidR="002F4CEB" w:rsidRDefault="002F4CEB" w:rsidP="002F4CE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9BBC08F" w14:textId="77777777" w:rsidR="002F4CEB" w:rsidRDefault="002F4CEB" w:rsidP="002F4CEB">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otro lado, puede darse la hipótesis de que el sujeto obligado no sea competente para atender una solicitud de información, es decir, que exista una situación de derecho que implique la ausencia de atribuciones por parte del sujeto obligado para poseer, generar o resguardar la información solicitada; por lo que la propia Ley de Transparencia señala el procedimiento para poder declararse incompetente, mismo que a continuación se detalla:</w:t>
      </w:r>
    </w:p>
    <w:p w14:paraId="32D729CF" w14:textId="77777777" w:rsidR="002F4CEB" w:rsidRDefault="002F4CEB" w:rsidP="002F4CEB">
      <w:pPr>
        <w:pStyle w:val="corte4fondo"/>
        <w:numPr>
          <w:ilvl w:val="0"/>
          <w:numId w:val="5"/>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La Unida de Transparencia al recibir una solicitud de información debe realizar un estudio de las áreas administrativas que puedan poseer, generar o resguardar la información solicitada.</w:t>
      </w:r>
      <w:r>
        <w:rPr>
          <w:rStyle w:val="Refdenotaalpie"/>
          <w:rFonts w:ascii="AvantGarde Bk BT" w:hAnsi="AvantGarde Bk BT" w:cs="Arial"/>
          <w:color w:val="000000" w:themeColor="text1"/>
          <w:sz w:val="24"/>
          <w:szCs w:val="24"/>
        </w:rPr>
        <w:footnoteReference w:id="3"/>
      </w:r>
    </w:p>
    <w:p w14:paraId="036BA76B" w14:textId="77777777" w:rsidR="002F4CEB" w:rsidRDefault="002F4CEB" w:rsidP="002F4CEB">
      <w:pPr>
        <w:pStyle w:val="corte4fondo"/>
        <w:numPr>
          <w:ilvl w:val="0"/>
          <w:numId w:val="5"/>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Si la Unidad de Transparencia determina la notoria incompetencia deberá declararla (de manera fundada y motivada) y someter su calificación al Comité de Transparencia.</w:t>
      </w:r>
      <w:r>
        <w:rPr>
          <w:rStyle w:val="Refdenotaalpie"/>
          <w:rFonts w:ascii="AvantGarde Bk BT" w:hAnsi="AvantGarde Bk BT" w:cs="Arial"/>
          <w:color w:val="000000" w:themeColor="text1"/>
          <w:sz w:val="24"/>
          <w:szCs w:val="24"/>
        </w:rPr>
        <w:footnoteReference w:id="4"/>
      </w:r>
    </w:p>
    <w:p w14:paraId="540276B5" w14:textId="77777777" w:rsidR="002F4CEB" w:rsidRDefault="002F4CEB" w:rsidP="002F4CEB">
      <w:pPr>
        <w:pStyle w:val="corte4fondo"/>
        <w:numPr>
          <w:ilvl w:val="0"/>
          <w:numId w:val="5"/>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El Comité de Transparencia, si así lo considera, confirmará la determinación de la Unidad de Transparencia.</w:t>
      </w:r>
      <w:r>
        <w:rPr>
          <w:rStyle w:val="Refdenotaalpie"/>
          <w:rFonts w:ascii="AvantGarde Bk BT" w:hAnsi="AvantGarde Bk BT" w:cs="Arial"/>
          <w:color w:val="000000" w:themeColor="text1"/>
          <w:sz w:val="24"/>
          <w:szCs w:val="24"/>
        </w:rPr>
        <w:footnoteReference w:id="5"/>
      </w:r>
    </w:p>
    <w:p w14:paraId="7D90D87D" w14:textId="77777777" w:rsidR="002F4CEB" w:rsidRPr="00D47D45" w:rsidRDefault="002F4CEB" w:rsidP="002F4CEB">
      <w:pPr>
        <w:pStyle w:val="corte4fondo"/>
        <w:numPr>
          <w:ilvl w:val="0"/>
          <w:numId w:val="5"/>
        </w:numPr>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La Unidad de Transparencia notificará dicha determinación al particular y de ser posible orientará al peticionario para que presente su solicitud de información al sujeto obligado correspondiente.</w:t>
      </w:r>
      <w:r>
        <w:rPr>
          <w:rStyle w:val="Refdenotaalpie"/>
          <w:rFonts w:ascii="AvantGarde Bk BT" w:hAnsi="AvantGarde Bk BT" w:cs="Arial"/>
          <w:color w:val="000000" w:themeColor="text1"/>
          <w:sz w:val="24"/>
          <w:szCs w:val="24"/>
        </w:rPr>
        <w:footnoteReference w:id="6"/>
      </w:r>
    </w:p>
    <w:p w14:paraId="38CE3257" w14:textId="595634B6" w:rsidR="002F4CEB" w:rsidRDefault="002F4CEB" w:rsidP="002F4CEB">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en el caso concreto y de la lectura de las constancias que integran el recurso de revisión en estudio, se puede advertir que el sujeto obligado no se apegó </w:t>
      </w:r>
      <w:r>
        <w:rPr>
          <w:rFonts w:ascii="AvantGarde Bk BT" w:hAnsi="AvantGarde Bk BT" w:cs="Arial"/>
          <w:color w:val="000000" w:themeColor="text1"/>
          <w:sz w:val="24"/>
          <w:szCs w:val="24"/>
        </w:rPr>
        <w:lastRenderedPageBreak/>
        <w:t>al procedimiento previsto en la ley de la materia, puesto que no obra constancia alguna que demuestre que la determinación de la Unidad de Transparencia haya sido confirmada por el Comité de Transparencia.</w:t>
      </w:r>
    </w:p>
    <w:p w14:paraId="5B311C9B" w14:textId="0D23EE8A" w:rsidR="002F4CEB" w:rsidRDefault="002F4CEB" w:rsidP="002F4CEB">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es menester señalar que si bien es cierto la Ley de Transparencia prevé los casos de incompetencia por parte de los sujetos obligados, también lo es que el segundo párrafo del artículo 158 de la ley en comento prevé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en el caso de competencia parcial por parte del sujeto obligado, se deberá atender la solicitud en lo que a su competencia corresponda.</w:t>
      </w:r>
    </w:p>
    <w:p w14:paraId="2BC4DDD1" w14:textId="548DA6C4" w:rsidR="002F4CEB" w:rsidRDefault="002F4CEB" w:rsidP="002F4CEB">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lo anterior y derivado de las notas informativas que acompañ</w:t>
      </w:r>
      <w:r w:rsidR="00DA7708">
        <w:rPr>
          <w:rFonts w:ascii="AvantGarde Bk BT" w:hAnsi="AvantGarde Bk BT" w:cs="Arial"/>
          <w:color w:val="000000" w:themeColor="text1"/>
          <w:sz w:val="24"/>
          <w:szCs w:val="24"/>
        </w:rPr>
        <w:t>ó el recurrente -</w:t>
      </w:r>
      <w:r>
        <w:rPr>
          <w:rFonts w:ascii="AvantGarde Bk BT" w:hAnsi="AvantGarde Bk BT" w:cs="Arial"/>
          <w:color w:val="000000" w:themeColor="text1"/>
          <w:sz w:val="24"/>
          <w:szCs w:val="24"/>
        </w:rPr>
        <w:t>mismas que son publicadas en la página electr</w:t>
      </w:r>
      <w:r w:rsidR="00DA7708">
        <w:rPr>
          <w:rFonts w:ascii="AvantGarde Bk BT" w:hAnsi="AvantGarde Bk BT" w:cs="Arial"/>
          <w:color w:val="000000" w:themeColor="text1"/>
          <w:sz w:val="24"/>
          <w:szCs w:val="24"/>
        </w:rPr>
        <w:t>ónica del sujeto obligado-</w:t>
      </w:r>
      <w:r>
        <w:rPr>
          <w:rFonts w:ascii="AvantGarde Bk BT" w:hAnsi="AvantGarde Bk BT" w:cs="Arial"/>
          <w:color w:val="000000" w:themeColor="text1"/>
          <w:sz w:val="24"/>
          <w:szCs w:val="24"/>
        </w:rPr>
        <w:t xml:space="preserve"> el </w:t>
      </w:r>
      <w:r w:rsidR="00223F9B">
        <w:rPr>
          <w:rFonts w:ascii="AvantGarde Bk BT" w:hAnsi="AvantGarde Bk BT" w:cs="Arial"/>
          <w:color w:val="000000" w:themeColor="text1"/>
          <w:sz w:val="24"/>
          <w:szCs w:val="24"/>
        </w:rPr>
        <w:t xml:space="preserve">Titular de la Unidad de Transparencia deberá turnar la solicitud de información a las áreas competentes para que, de conformidad con sus funciones respondan la solicitud de información y únicamente se declare la incompetencia respecto de la parte que </w:t>
      </w:r>
      <w:r w:rsidR="00DA7708">
        <w:rPr>
          <w:rFonts w:ascii="AvantGarde Bk BT" w:hAnsi="AvantGarde Bk BT" w:cs="Arial"/>
          <w:color w:val="000000" w:themeColor="text1"/>
          <w:sz w:val="24"/>
          <w:szCs w:val="24"/>
        </w:rPr>
        <w:t>corresponda</w:t>
      </w:r>
      <w:r w:rsidR="00223F9B">
        <w:rPr>
          <w:rFonts w:ascii="AvantGarde Bk BT" w:hAnsi="AvantGarde Bk BT" w:cs="Arial"/>
          <w:color w:val="000000" w:themeColor="text1"/>
          <w:sz w:val="24"/>
          <w:szCs w:val="24"/>
        </w:rPr>
        <w:t>.</w:t>
      </w:r>
    </w:p>
    <w:p w14:paraId="596E020E" w14:textId="77777777" w:rsidR="002F4CEB" w:rsidRPr="00201693" w:rsidRDefault="002F4CEB" w:rsidP="002F4CE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estima pertinente puntualizar que los sujetos obligados </w:t>
      </w:r>
      <w:r>
        <w:rPr>
          <w:rFonts w:ascii="AvantGarde Bk BT" w:hAnsi="AvantGarde Bk BT" w:cs="Arial"/>
          <w:color w:val="000000" w:themeColor="text1"/>
          <w:sz w:val="24"/>
          <w:szCs w:val="24"/>
        </w:rPr>
        <w:t>deben</w:t>
      </w:r>
      <w:r w:rsidRPr="00CB2002">
        <w:rPr>
          <w:rFonts w:ascii="AvantGarde Bk BT" w:hAnsi="AvantGarde Bk BT" w:cs="Arial"/>
          <w:color w:val="000000" w:themeColor="text1"/>
          <w:sz w:val="24"/>
          <w:szCs w:val="24"/>
        </w:rPr>
        <w:t xml:space="preserve">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7"/>
      </w:r>
      <w:r w:rsidRPr="00CB2002">
        <w:rPr>
          <w:rFonts w:ascii="AvantGarde Bk BT" w:hAnsi="AvantGarde Bk BT" w:cs="Arial"/>
          <w:color w:val="000000" w:themeColor="text1"/>
          <w:sz w:val="24"/>
          <w:szCs w:val="24"/>
        </w:rPr>
        <w:t>.</w:t>
      </w:r>
      <w:r>
        <w:rPr>
          <w:rFonts w:ascii="AvantGarde Bk BT" w:hAnsi="AvantGarde Bk BT" w:cs="Arial"/>
          <w:sz w:val="24"/>
          <w:szCs w:val="24"/>
        </w:rPr>
        <w:t xml:space="preserve"> </w:t>
      </w:r>
    </w:p>
    <w:p w14:paraId="1666F017" w14:textId="77777777" w:rsidR="009874DC" w:rsidRPr="00873D15" w:rsidRDefault="009874DC" w:rsidP="009874D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06155D1A" w14:textId="7F54ED2A" w:rsidR="009874DC" w:rsidRDefault="009874DC" w:rsidP="009874DC">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CF0AF6">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7CA17181" w14:textId="2DF29B87" w:rsidR="009874DC" w:rsidRPr="00223F9B" w:rsidRDefault="00223F9B" w:rsidP="00223F9B">
      <w:pPr>
        <w:pStyle w:val="corte4fondo"/>
        <w:numPr>
          <w:ilvl w:val="3"/>
          <w:numId w:val="4"/>
        </w:numPr>
        <w:tabs>
          <w:tab w:val="left" w:pos="567"/>
        </w:tabs>
        <w:spacing w:after="240"/>
        <w:ind w:left="993" w:hanging="284"/>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Emita una nueva respuesta mediante la cual, </w:t>
      </w:r>
      <w:r w:rsidRPr="00223F9B">
        <w:rPr>
          <w:rFonts w:ascii="AvantGarde Bk BT" w:hAnsi="AvantGarde Bk BT" w:cs="Arial"/>
          <w:color w:val="000000" w:themeColor="text1"/>
          <w:sz w:val="24"/>
          <w:szCs w:val="24"/>
        </w:rPr>
        <w:t xml:space="preserve">el Titular de la Unidad de Transparencia </w:t>
      </w:r>
      <w:r>
        <w:rPr>
          <w:rFonts w:ascii="AvantGarde Bk BT" w:hAnsi="AvantGarde Bk BT" w:cs="Arial"/>
          <w:color w:val="000000" w:themeColor="text1"/>
          <w:sz w:val="24"/>
          <w:szCs w:val="24"/>
        </w:rPr>
        <w:t>turne</w:t>
      </w:r>
      <w:r w:rsidRPr="00223F9B">
        <w:rPr>
          <w:rFonts w:ascii="AvantGarde Bk BT" w:hAnsi="AvantGarde Bk BT" w:cs="Arial"/>
          <w:color w:val="000000" w:themeColor="text1"/>
          <w:sz w:val="24"/>
          <w:szCs w:val="24"/>
        </w:rPr>
        <w:t xml:space="preserve"> la solicitud de información a las áreas competentes para que, de conformidad con sus funciones respondan la solicitud de información y únicamente se declare la incompetencia respecto de la parte </w:t>
      </w:r>
      <w:r w:rsidR="00DA7708">
        <w:rPr>
          <w:rFonts w:ascii="AvantGarde Bk BT" w:hAnsi="AvantGarde Bk BT" w:cs="Arial"/>
          <w:color w:val="000000" w:themeColor="text1"/>
          <w:sz w:val="24"/>
          <w:szCs w:val="24"/>
        </w:rPr>
        <w:t>que corresponda</w:t>
      </w:r>
      <w:r w:rsidRPr="00223F9B">
        <w:rPr>
          <w:rFonts w:ascii="AvantGarde Bk BT" w:hAnsi="AvantGarde Bk BT" w:cs="Arial"/>
          <w:color w:val="000000" w:themeColor="text1"/>
          <w:sz w:val="24"/>
          <w:szCs w:val="24"/>
        </w:rPr>
        <w:t>.</w:t>
      </w:r>
      <w:bookmarkStart w:id="0" w:name="_GoBack"/>
      <w:bookmarkEnd w:id="0"/>
    </w:p>
    <w:p w14:paraId="6872A0A6" w14:textId="103F9C38" w:rsidR="00002DE6" w:rsidRPr="007C5605" w:rsidRDefault="006601D9" w:rsidP="006601D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00002DE6" w:rsidRPr="007C5605">
        <w:rPr>
          <w:rFonts w:ascii="AvantGarde Bk BT" w:hAnsi="AvantGarde Bk BT" w:cs="Arial"/>
          <w:b/>
          <w:color w:val="000000" w:themeColor="text1"/>
          <w:sz w:val="24"/>
          <w:szCs w:val="24"/>
        </w:rPr>
        <w:t>Modalidad de la información.</w:t>
      </w:r>
    </w:p>
    <w:p w14:paraId="172E84D4" w14:textId="4291F46E"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6EAA672B" w14:textId="741AF591" w:rsidR="00002DE6" w:rsidRPr="00831D47"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002DE6"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5E3763A4" w14:textId="72216F5A"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863555">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DF66B8A" w14:textId="18403AD1" w:rsidR="00002DE6" w:rsidRPr="004C15C0" w:rsidRDefault="00002DE6" w:rsidP="00002DE6">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6601D9">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362AF80" w14:textId="40DA06F2"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w:t>
      </w:r>
      <w:r w:rsidRPr="00FE1468">
        <w:rPr>
          <w:rFonts w:ascii="AvantGarde Bk BT" w:hAnsi="AvantGarde Bk BT" w:cs="Arial"/>
          <w:color w:val="000000" w:themeColor="text1"/>
          <w:sz w:val="24"/>
          <w:szCs w:val="24"/>
        </w:rPr>
        <w:lastRenderedPageBreak/>
        <w:t>este órgano colegiado debe garantizar el debido cumplimiento al derecho humano de acceso a la información pública.</w:t>
      </w:r>
    </w:p>
    <w:p w14:paraId="1BF38CF5" w14:textId="7B4350D2" w:rsidR="00002DE6" w:rsidRPr="00684218"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00002DE6" w:rsidRPr="008E469A">
        <w:rPr>
          <w:rFonts w:ascii="AvantGarde Bk BT" w:hAnsi="AvantGarde Bk BT" w:cs="Arial"/>
          <w:b/>
          <w:color w:val="000000" w:themeColor="text1"/>
          <w:sz w:val="24"/>
          <w:szCs w:val="24"/>
        </w:rPr>
        <w:t>. Medio de impugnación.</w:t>
      </w:r>
    </w:p>
    <w:p w14:paraId="05E2542E" w14:textId="450238F6" w:rsidR="00002DE6" w:rsidRPr="003358EE" w:rsidRDefault="00002DE6" w:rsidP="00CB35D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B749AE1" w14:textId="35F73E55" w:rsidR="00002DE6" w:rsidRPr="00E215D2" w:rsidRDefault="00002DE6" w:rsidP="00002DE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D76C617" w14:textId="329C3901" w:rsidR="00002DE6" w:rsidRPr="007C5605"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E384F5" w14:textId="52D48178" w:rsidR="00002DE6" w:rsidRPr="007C5605" w:rsidRDefault="00002DE6" w:rsidP="006601D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CB35DC">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5F06A569" w14:textId="7390CED8" w:rsidR="00946007"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75B0E8B6" w14:textId="2BE26315" w:rsidR="00863555" w:rsidRDefault="00863555" w:rsidP="00863555">
      <w:pPr>
        <w:pStyle w:val="corte4fondo"/>
        <w:tabs>
          <w:tab w:val="left" w:pos="567"/>
        </w:tabs>
        <w:spacing w:after="240"/>
        <w:rPr>
          <w:rFonts w:ascii="AvantGarde Bk BT" w:hAnsi="AvantGarde Bk BT"/>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Pr>
          <w:rFonts w:ascii="AvantGarde Bk BT" w:hAnsi="AvantGarde Bk BT"/>
          <w:sz w:val="24"/>
          <w:szCs w:val="24"/>
        </w:rPr>
        <w:t>15 quince de agosto</w:t>
      </w:r>
      <w:r w:rsidRPr="00E0750B">
        <w:rPr>
          <w:rFonts w:ascii="AvantGarde Bk BT" w:hAnsi="AvantGarde Bk BT"/>
          <w:sz w:val="24"/>
          <w:szCs w:val="24"/>
        </w:rPr>
        <w:t xml:space="preserve"> de 2019 dos mil diecinueve,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w:t>
      </w:r>
      <w:proofErr w:type="spellStart"/>
      <w:r>
        <w:rPr>
          <w:rFonts w:ascii="AvantGarde Bk BT" w:hAnsi="AvantGarde Bk BT" w:cs="Arial"/>
          <w:color w:val="000000" w:themeColor="text1"/>
          <w:sz w:val="24"/>
          <w:szCs w:val="24"/>
        </w:rPr>
        <w:t>Mariajosé</w:t>
      </w:r>
      <w:proofErr w:type="spellEnd"/>
      <w:r>
        <w:rPr>
          <w:rFonts w:ascii="AvantGarde Bk BT" w:hAnsi="AvantGarde Bk BT" w:cs="Arial"/>
          <w:color w:val="000000" w:themeColor="text1"/>
          <w:sz w:val="24"/>
          <w:szCs w:val="24"/>
        </w:rPr>
        <w:t xml:space="preserve"> González Zarzosa,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1EDC8CF9" w14:textId="77777777" w:rsidR="00863555" w:rsidRDefault="00863555" w:rsidP="00863555">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COMISIONADO                                        COMISIONADA PRESIDENTE</w:t>
      </w:r>
    </w:p>
    <w:p w14:paraId="0E18F3DE" w14:textId="77777777" w:rsidR="00863555" w:rsidRPr="003358EE" w:rsidRDefault="00863555" w:rsidP="00863555">
      <w:pPr>
        <w:pStyle w:val="NormalWeb"/>
        <w:rPr>
          <w:rFonts w:ascii="AvantGarde Bk BT" w:hAnsi="AvantGarde Bk BT" w:cs="Arial"/>
          <w:b/>
          <w:color w:val="000000" w:themeColor="text1"/>
          <w:lang w:val="es-MX"/>
        </w:rPr>
      </w:pPr>
    </w:p>
    <w:p w14:paraId="182AD972" w14:textId="23C962CF" w:rsidR="00863555" w:rsidRDefault="00863555" w:rsidP="00863555">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LIC. PAULINA SÁNCHEZ PÉREZ DEL POZO.</w:t>
      </w:r>
    </w:p>
    <w:p w14:paraId="3EE4A947" w14:textId="77777777" w:rsidR="00863555" w:rsidRPr="003358EE" w:rsidRDefault="00863555" w:rsidP="00863555">
      <w:pPr>
        <w:pStyle w:val="NormalWeb"/>
        <w:jc w:val="center"/>
        <w:rPr>
          <w:rFonts w:ascii="AvantGarde Bk BT" w:hAnsi="AvantGarde Bk BT" w:cs="Arial"/>
          <w:b/>
          <w:color w:val="000000" w:themeColor="text1"/>
          <w:lang w:val="es-MX"/>
        </w:rPr>
      </w:pPr>
    </w:p>
    <w:p w14:paraId="653EF1D7" w14:textId="77777777" w:rsidR="00863555" w:rsidRPr="003358EE" w:rsidRDefault="00863555" w:rsidP="00863555">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AD0B845" w14:textId="77777777" w:rsidR="00863555" w:rsidRPr="003358EE" w:rsidRDefault="00863555" w:rsidP="00863555">
      <w:pPr>
        <w:pStyle w:val="NormalWeb"/>
        <w:rPr>
          <w:rFonts w:ascii="AvantGarde Bk BT" w:hAnsi="AvantGarde Bk BT" w:cs="Arial"/>
          <w:b/>
          <w:color w:val="000000" w:themeColor="text1"/>
          <w:lang w:val="es-MX"/>
        </w:rPr>
      </w:pPr>
    </w:p>
    <w:p w14:paraId="743A0FDF" w14:textId="77777777" w:rsidR="00863555" w:rsidRPr="003358EE" w:rsidRDefault="00863555" w:rsidP="00863555">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727FD1EC" w14:textId="77777777" w:rsidR="00863555" w:rsidRPr="001314EC" w:rsidRDefault="00863555" w:rsidP="00863555">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2CA54AF0" w14:textId="1535D4B6" w:rsidR="00863555" w:rsidRPr="004C15C0" w:rsidRDefault="00863555" w:rsidP="00863555">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w:t>
      </w:r>
      <w:r w:rsidRPr="007E3491">
        <w:rPr>
          <w:rFonts w:ascii="AvantGarde Bk BT" w:hAnsi="AvantGarde Bk BT" w:cs="Arial"/>
          <w:color w:val="000000" w:themeColor="text1"/>
          <w:sz w:val="14"/>
          <w:szCs w:val="14"/>
        </w:rPr>
        <w:t xml:space="preserve">ordinaria de </w:t>
      </w:r>
      <w:r>
        <w:rPr>
          <w:rFonts w:ascii="AvantGarde Bk BT" w:hAnsi="AvantGarde Bk BT" w:cs="Arial"/>
          <w:color w:val="000000" w:themeColor="text1"/>
          <w:sz w:val="14"/>
          <w:szCs w:val="14"/>
        </w:rPr>
        <w:t>15 quince de agosto de 2019 dos mil diecinueve, dentro de los auto</w:t>
      </w:r>
      <w:r w:rsidR="00223F9B">
        <w:rPr>
          <w:rFonts w:ascii="AvantGarde Bk BT" w:hAnsi="AvantGarde Bk BT" w:cs="Arial"/>
          <w:color w:val="000000" w:themeColor="text1"/>
          <w:sz w:val="14"/>
          <w:szCs w:val="14"/>
        </w:rPr>
        <w:t>s del recurso de revisión RR-730</w:t>
      </w:r>
      <w:r>
        <w:rPr>
          <w:rFonts w:ascii="AvantGarde Bk BT" w:hAnsi="AvantGarde Bk BT" w:cs="Arial"/>
          <w:color w:val="000000" w:themeColor="text1"/>
          <w:sz w:val="14"/>
          <w:szCs w:val="14"/>
        </w:rPr>
        <w:t xml:space="preserve">/2019-1 </w:t>
      </w:r>
      <w:r>
        <w:rPr>
          <w:rFonts w:ascii="AvantGarde Bk BT" w:hAnsi="AvantGarde Bk BT" w:cs="Arial"/>
          <w:color w:val="000000" w:themeColor="text1"/>
          <w:sz w:val="14"/>
          <w:szCs w:val="14"/>
        </w:rPr>
        <w:t>PLATAFORMA</w:t>
      </w:r>
      <w:r>
        <w:rPr>
          <w:rFonts w:ascii="AvantGarde Bk BT" w:hAnsi="AvantGarde Bk BT" w:cs="Arial"/>
          <w:color w:val="000000" w:themeColor="text1"/>
          <w:sz w:val="14"/>
          <w:szCs w:val="14"/>
        </w:rPr>
        <w:t>.)</w:t>
      </w:r>
    </w:p>
    <w:p w14:paraId="0D4DF0CB" w14:textId="2DEA3184" w:rsidR="00946007" w:rsidRPr="00E63940" w:rsidRDefault="00946007" w:rsidP="00863555">
      <w:pPr>
        <w:pStyle w:val="corte4fondo"/>
        <w:tabs>
          <w:tab w:val="left" w:pos="567"/>
        </w:tabs>
        <w:spacing w:after="240"/>
        <w:rPr>
          <w:rFonts w:ascii="AvantGarde Bk BT" w:hAnsi="AvantGarde Bk BT" w:cs="Arial"/>
          <w:color w:val="000000" w:themeColor="text1"/>
          <w:sz w:val="14"/>
          <w:szCs w:val="14"/>
        </w:rPr>
      </w:pPr>
    </w:p>
    <w:sectPr w:rsidR="00946007" w:rsidRPr="00E63940"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49976D" w14:textId="77777777" w:rsidR="00070944" w:rsidRDefault="00070944">
      <w:pPr>
        <w:spacing w:after="0" w:line="240" w:lineRule="auto"/>
      </w:pPr>
      <w:r>
        <w:separator/>
      </w:r>
    </w:p>
  </w:endnote>
  <w:endnote w:type="continuationSeparator" w:id="0">
    <w:p w14:paraId="1F8CC104" w14:textId="77777777" w:rsidR="00070944" w:rsidRDefault="00070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EF3CBB" w14:textId="77777777" w:rsidR="00070944" w:rsidRDefault="00070944">
      <w:pPr>
        <w:spacing w:after="0" w:line="240" w:lineRule="auto"/>
      </w:pPr>
      <w:r>
        <w:separator/>
      </w:r>
    </w:p>
  </w:footnote>
  <w:footnote w:type="continuationSeparator" w:id="0">
    <w:p w14:paraId="69A4BA9A" w14:textId="77777777" w:rsidR="00070944" w:rsidRDefault="00070944">
      <w:pPr>
        <w:spacing w:after="0" w:line="240" w:lineRule="auto"/>
      </w:pPr>
      <w:r>
        <w:continuationSeparator/>
      </w:r>
    </w:p>
  </w:footnote>
  <w:footnote w:id="1">
    <w:p w14:paraId="6C51B3BE" w14:textId="77777777" w:rsidR="002F4CEB" w:rsidRPr="00223F9B" w:rsidRDefault="002F4CEB" w:rsidP="002F4CEB">
      <w:pPr>
        <w:pStyle w:val="Textonotapie"/>
        <w:jc w:val="both"/>
        <w:rPr>
          <w:sz w:val="16"/>
          <w:szCs w:val="18"/>
          <w:lang w:val="es-ES_tradnl"/>
        </w:rPr>
      </w:pPr>
      <w:r w:rsidRPr="00223F9B">
        <w:rPr>
          <w:rStyle w:val="Refdenotaalpie"/>
          <w:sz w:val="16"/>
          <w:szCs w:val="18"/>
        </w:rPr>
        <w:footnoteRef/>
      </w:r>
      <w:r w:rsidRPr="00223F9B">
        <w:rPr>
          <w:sz w:val="16"/>
          <w:szCs w:val="18"/>
        </w:rPr>
        <w:t xml:space="preserve"> </w:t>
      </w:r>
      <w:r w:rsidRPr="00223F9B">
        <w:rPr>
          <w:bCs/>
          <w:sz w:val="16"/>
          <w:szCs w:val="18"/>
          <w:lang w:val="es-ES_tradnl"/>
        </w:rPr>
        <w:t xml:space="preserve">ARTÍCULO 61. </w:t>
      </w:r>
      <w:r w:rsidRPr="00223F9B">
        <w:rPr>
          <w:sz w:val="16"/>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5696601" w14:textId="77777777" w:rsidR="002F4CEB" w:rsidRPr="00223F9B" w:rsidRDefault="002F4CEB" w:rsidP="002F4CEB">
      <w:pPr>
        <w:pStyle w:val="Textonotapie"/>
        <w:jc w:val="both"/>
        <w:rPr>
          <w:sz w:val="16"/>
          <w:szCs w:val="18"/>
          <w:lang w:val="es-ES_tradnl"/>
        </w:rPr>
      </w:pPr>
      <w:r w:rsidRPr="00223F9B">
        <w:rPr>
          <w:sz w:val="16"/>
          <w:szCs w:val="18"/>
          <w:lang w:val="es-ES_tradnl"/>
        </w:rPr>
        <w:t xml:space="preserve">La obligación de los sujetos obligados de proporcionar información no comprende el procesamiento de la misma, ni el presentarla conforme al interés del solicitante. </w:t>
      </w:r>
    </w:p>
  </w:footnote>
  <w:footnote w:id="2">
    <w:p w14:paraId="077AF016" w14:textId="77777777" w:rsidR="002F4CEB" w:rsidRPr="00223F9B" w:rsidRDefault="002F4CEB" w:rsidP="002F4CEB">
      <w:pPr>
        <w:pStyle w:val="Textonotapie"/>
        <w:jc w:val="both"/>
        <w:rPr>
          <w:sz w:val="16"/>
          <w:szCs w:val="18"/>
        </w:rPr>
      </w:pPr>
      <w:r w:rsidRPr="00223F9B">
        <w:rPr>
          <w:rStyle w:val="Refdenotaalpie"/>
          <w:sz w:val="16"/>
          <w:szCs w:val="18"/>
        </w:rPr>
        <w:footnoteRef/>
      </w:r>
      <w:r w:rsidRPr="00223F9B">
        <w:rPr>
          <w:sz w:val="16"/>
          <w:szCs w:val="18"/>
        </w:rPr>
        <w:t xml:space="preserve"> ARTÍCULO 18. Los sujetos obligados deberán documentar todo acto que derive del ejercicio de sus facultades, competencias o funciones.</w:t>
      </w:r>
    </w:p>
    <w:p w14:paraId="1259268E" w14:textId="77777777" w:rsidR="002F4CEB" w:rsidRPr="00223F9B" w:rsidRDefault="002F4CEB" w:rsidP="002F4CEB">
      <w:pPr>
        <w:pStyle w:val="Textonotapie"/>
        <w:jc w:val="both"/>
        <w:rPr>
          <w:sz w:val="16"/>
          <w:szCs w:val="18"/>
        </w:rPr>
      </w:pPr>
      <w:r w:rsidRPr="00223F9B">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128CFA9" w14:textId="77777777" w:rsidR="002F4CEB" w:rsidRPr="00223F9B" w:rsidRDefault="002F4CEB" w:rsidP="002F4CEB">
      <w:pPr>
        <w:pStyle w:val="Textonotapie"/>
        <w:jc w:val="both"/>
        <w:rPr>
          <w:sz w:val="16"/>
          <w:szCs w:val="18"/>
        </w:rPr>
      </w:pPr>
      <w:r w:rsidRPr="00223F9B">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5B3311B" w14:textId="77777777" w:rsidR="002F4CEB" w:rsidRPr="00223F9B" w:rsidRDefault="002F4CEB" w:rsidP="002F4CEB">
      <w:pPr>
        <w:pStyle w:val="Textonotapie"/>
        <w:jc w:val="both"/>
        <w:rPr>
          <w:sz w:val="16"/>
        </w:rPr>
      </w:pPr>
      <w:r w:rsidRPr="00223F9B">
        <w:rPr>
          <w:sz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66FA0D2" w14:textId="77777777" w:rsidR="002F4CEB" w:rsidRPr="00223F9B" w:rsidRDefault="002F4CEB" w:rsidP="002F4CEB">
      <w:pPr>
        <w:pStyle w:val="Textonotapie"/>
        <w:jc w:val="both"/>
        <w:rPr>
          <w:sz w:val="16"/>
        </w:rPr>
      </w:pPr>
      <w:r w:rsidRPr="00223F9B">
        <w:rPr>
          <w:sz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3794642" w14:textId="77777777" w:rsidR="002F4CEB" w:rsidRPr="00223F9B" w:rsidRDefault="002F4CEB" w:rsidP="002F4CEB">
      <w:pPr>
        <w:pStyle w:val="Textonotapie"/>
        <w:jc w:val="both"/>
        <w:rPr>
          <w:sz w:val="16"/>
        </w:rPr>
      </w:pPr>
      <w:r w:rsidRPr="00223F9B">
        <w:rPr>
          <w:sz w:val="16"/>
        </w:rPr>
        <w:t>La obligación de los sujetos obligados de proporcionar información no comprende el procesamiento de la misma, ni el presentarla conforme al interés del solicitante.</w:t>
      </w:r>
    </w:p>
    <w:p w14:paraId="6E892961" w14:textId="77777777" w:rsidR="002F4CEB" w:rsidRPr="00223F9B" w:rsidRDefault="002F4CEB" w:rsidP="002F4CEB">
      <w:pPr>
        <w:pStyle w:val="Textonotapie"/>
        <w:jc w:val="both"/>
        <w:rPr>
          <w:sz w:val="16"/>
        </w:rPr>
      </w:pPr>
      <w:r w:rsidRPr="00223F9B">
        <w:rPr>
          <w:sz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1F0556D7" w14:textId="77777777" w:rsidR="002F4CEB" w:rsidRPr="00223F9B" w:rsidRDefault="002F4CEB" w:rsidP="002F4CEB">
      <w:pPr>
        <w:pStyle w:val="Textonotapie"/>
        <w:jc w:val="both"/>
      </w:pPr>
      <w:r w:rsidRPr="00223F9B">
        <w:rPr>
          <w:rStyle w:val="Refdenotaalpie"/>
          <w:sz w:val="16"/>
        </w:rPr>
        <w:footnoteRef/>
      </w:r>
      <w:r w:rsidRPr="00223F9B">
        <w:rPr>
          <w:sz w:val="16"/>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4">
    <w:p w14:paraId="2AE13F76" w14:textId="77777777" w:rsidR="002F4CEB" w:rsidRPr="00223F9B" w:rsidRDefault="002F4CEB" w:rsidP="002F4CEB">
      <w:pPr>
        <w:pStyle w:val="Textonotapie"/>
        <w:jc w:val="both"/>
        <w:rPr>
          <w:sz w:val="16"/>
        </w:rPr>
      </w:pPr>
      <w:r w:rsidRPr="00223F9B">
        <w:rPr>
          <w:rStyle w:val="Refdenotaalpie"/>
          <w:sz w:val="16"/>
        </w:rPr>
        <w:footnoteRef/>
      </w:r>
      <w:r w:rsidRPr="00223F9B">
        <w:rPr>
          <w:sz w:val="16"/>
        </w:rPr>
        <w:t xml:space="preserve"> 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w:t>
      </w:r>
    </w:p>
    <w:p w14:paraId="1E4C650A" w14:textId="77777777" w:rsidR="002F4CEB" w:rsidRPr="00223F9B" w:rsidRDefault="002F4CEB" w:rsidP="002F4CEB">
      <w:pPr>
        <w:pStyle w:val="Textonotapie"/>
        <w:jc w:val="both"/>
      </w:pPr>
      <w:r w:rsidRPr="00223F9B">
        <w:rPr>
          <w:sz w:val="16"/>
        </w:rPr>
        <w:t>Si los sujetos obligados son competentes para atender parcialmente la solicitud de acceso a la información, deberá dar respuesta respecto de dicha parte. Respecto de la información sobre la cual es incompetente se procederá conforme lo señala el párrafo anterior.</w:t>
      </w:r>
    </w:p>
  </w:footnote>
  <w:footnote w:id="5">
    <w:p w14:paraId="73CCFBEF" w14:textId="77777777" w:rsidR="002F4CEB" w:rsidRPr="00223F9B" w:rsidRDefault="002F4CEB" w:rsidP="002F4CEB">
      <w:pPr>
        <w:pStyle w:val="Textonotapie"/>
        <w:rPr>
          <w:sz w:val="16"/>
        </w:rPr>
      </w:pPr>
      <w:r w:rsidRPr="00223F9B">
        <w:rPr>
          <w:rStyle w:val="Refdenotaalpie"/>
          <w:sz w:val="16"/>
        </w:rPr>
        <w:footnoteRef/>
      </w:r>
      <w:r w:rsidRPr="00223F9B">
        <w:rPr>
          <w:sz w:val="16"/>
        </w:rPr>
        <w:t xml:space="preserve"> ARTÍCULO 52. Cada Comité de Transparencia tendrá las siguientes funciones:</w:t>
      </w:r>
    </w:p>
    <w:p w14:paraId="19E9EEB9" w14:textId="77777777" w:rsidR="002F4CEB" w:rsidRPr="00223F9B" w:rsidRDefault="002F4CEB" w:rsidP="002F4CEB">
      <w:pPr>
        <w:pStyle w:val="Textonotapie"/>
        <w:rPr>
          <w:sz w:val="16"/>
        </w:rPr>
      </w:pPr>
      <w:r w:rsidRPr="00223F9B">
        <w:rPr>
          <w:sz w:val="16"/>
        </w:rPr>
        <w:t>[…]</w:t>
      </w:r>
    </w:p>
    <w:p w14:paraId="3E77DC17" w14:textId="77777777" w:rsidR="002F4CEB" w:rsidRPr="00223F9B" w:rsidRDefault="002F4CEB" w:rsidP="002F4CEB">
      <w:pPr>
        <w:pStyle w:val="Textonotapie"/>
        <w:rPr>
          <w:sz w:val="16"/>
        </w:rPr>
      </w:pPr>
      <w:r w:rsidRPr="00223F9B">
        <w:rPr>
          <w:sz w:val="16"/>
        </w:rPr>
        <w:t xml:space="preserve">II. Confirmar, modificar o revocar las determinaciones </w:t>
      </w:r>
      <w:proofErr w:type="gramStart"/>
      <w:r w:rsidRPr="00223F9B">
        <w:rPr>
          <w:sz w:val="16"/>
        </w:rPr>
        <w:t>que</w:t>
      </w:r>
      <w:proofErr w:type="gramEnd"/>
      <w:r w:rsidRPr="00223F9B">
        <w:rPr>
          <w:sz w:val="16"/>
        </w:rPr>
        <w:t xml:space="preserve"> en materia de ampliación del plazo de respuesta, clasificación de la información y declaración de inexistencia o de incompetencia realicen los titulares de las áreas de los sujetos obligados;</w:t>
      </w:r>
    </w:p>
    <w:p w14:paraId="174330A1" w14:textId="77777777" w:rsidR="002F4CEB" w:rsidRPr="00223F9B" w:rsidRDefault="002F4CEB" w:rsidP="002F4CEB">
      <w:pPr>
        <w:pStyle w:val="Textonotapie"/>
      </w:pPr>
      <w:r w:rsidRPr="00223F9B">
        <w:rPr>
          <w:sz w:val="16"/>
        </w:rPr>
        <w:t>[…].</w:t>
      </w:r>
    </w:p>
  </w:footnote>
  <w:footnote w:id="6">
    <w:p w14:paraId="07AD54E7" w14:textId="77777777" w:rsidR="002F4CEB" w:rsidRPr="00223F9B" w:rsidRDefault="002F4CEB" w:rsidP="002F4CEB">
      <w:pPr>
        <w:pStyle w:val="Textonotapie"/>
        <w:rPr>
          <w:sz w:val="16"/>
          <w:szCs w:val="16"/>
        </w:rPr>
      </w:pPr>
      <w:r w:rsidRPr="00223F9B">
        <w:rPr>
          <w:rStyle w:val="Refdenotaalpie"/>
          <w:sz w:val="16"/>
          <w:szCs w:val="16"/>
        </w:rPr>
        <w:footnoteRef/>
      </w:r>
      <w:r w:rsidRPr="00223F9B">
        <w:rPr>
          <w:sz w:val="16"/>
          <w:szCs w:val="16"/>
        </w:rPr>
        <w:t xml:space="preserve"> ARTÍCULO 158.</w:t>
      </w:r>
    </w:p>
  </w:footnote>
  <w:footnote w:id="7">
    <w:p w14:paraId="1F9ECF2D" w14:textId="77777777" w:rsidR="002F4CEB" w:rsidRPr="00223F9B" w:rsidRDefault="002F4CEB" w:rsidP="002F4CEB">
      <w:pPr>
        <w:pStyle w:val="Textonotapie"/>
        <w:jc w:val="both"/>
        <w:rPr>
          <w:sz w:val="16"/>
          <w:szCs w:val="16"/>
        </w:rPr>
      </w:pPr>
      <w:r w:rsidRPr="00223F9B">
        <w:rPr>
          <w:rStyle w:val="Refdenotaalpie"/>
          <w:sz w:val="16"/>
          <w:szCs w:val="16"/>
        </w:rPr>
        <w:footnoteRef/>
      </w:r>
      <w:r w:rsidRPr="00223F9B">
        <w:rPr>
          <w:sz w:val="16"/>
          <w:szCs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2A7EC019" w14:textId="77777777" w:rsidR="002F4CEB" w:rsidRPr="001C32EC" w:rsidRDefault="002F4CEB" w:rsidP="002F4CEB">
      <w:pPr>
        <w:pStyle w:val="Textonotapie"/>
        <w:jc w:val="both"/>
        <w:rPr>
          <w:szCs w:val="16"/>
        </w:rPr>
      </w:pPr>
      <w:r w:rsidRPr="00223F9B">
        <w:rPr>
          <w:sz w:val="16"/>
          <w:szCs w:val="16"/>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7280C8F0" w:rsidR="00A66405" w:rsidRDefault="00946007" w:rsidP="007E5F3A">
        <w:pPr>
          <w:pStyle w:val="Encabezado"/>
          <w:jc w:val="center"/>
        </w:pPr>
        <w:r>
          <w:fldChar w:fldCharType="begin"/>
        </w:r>
        <w:r>
          <w:instrText>PAGE   \* MERGEFORMAT</w:instrText>
        </w:r>
        <w:r>
          <w:fldChar w:fldCharType="separate"/>
        </w:r>
        <w:r w:rsidR="00E15C59" w:rsidRPr="00E15C59">
          <w:rPr>
            <w:noProof/>
            <w:lang w:val="es-ES"/>
          </w:rPr>
          <w:t>11</w:t>
        </w:r>
        <w:r>
          <w:fldChar w:fldCharType="end"/>
        </w:r>
        <w:r>
          <w:t xml:space="preserve">                                  </w:t>
        </w:r>
      </w:p>
      <w:p w14:paraId="748FB0B7" w14:textId="6D622FF6" w:rsidR="00A66405" w:rsidRDefault="00946007" w:rsidP="007F1CA7">
        <w:pPr>
          <w:pStyle w:val="Encabezado"/>
          <w:jc w:val="right"/>
        </w:pPr>
        <w:r>
          <w:t xml:space="preserve">RECURSO DE REVISIÓN </w:t>
        </w:r>
        <w:r w:rsidR="00676E6E">
          <w:t>7</w:t>
        </w:r>
        <w:r w:rsidR="00EB5F75">
          <w:t>3</w:t>
        </w:r>
        <w:r w:rsidR="00676E6E">
          <w:t>0</w:t>
        </w:r>
        <w:r>
          <w:t xml:space="preserve">/2019-1 </w:t>
        </w:r>
        <w:r w:rsidR="00CD30F1">
          <w:t>PLATAFORMA</w:t>
        </w:r>
      </w:p>
    </w:sdtContent>
  </w:sdt>
  <w:p w14:paraId="477B550A" w14:textId="77777777" w:rsidR="00A66405" w:rsidRDefault="00E15C5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2186849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4B34"/>
    <w:rsid w:val="00037E62"/>
    <w:rsid w:val="00050D73"/>
    <w:rsid w:val="0006485A"/>
    <w:rsid w:val="00070944"/>
    <w:rsid w:val="000715ED"/>
    <w:rsid w:val="0007543D"/>
    <w:rsid w:val="00086E9D"/>
    <w:rsid w:val="000D3510"/>
    <w:rsid w:val="000D64A6"/>
    <w:rsid w:val="000F4A27"/>
    <w:rsid w:val="00105D91"/>
    <w:rsid w:val="00120248"/>
    <w:rsid w:val="00131D6F"/>
    <w:rsid w:val="00133088"/>
    <w:rsid w:val="0014482F"/>
    <w:rsid w:val="001555B9"/>
    <w:rsid w:val="00155F42"/>
    <w:rsid w:val="00174E4F"/>
    <w:rsid w:val="00176185"/>
    <w:rsid w:val="00193E6A"/>
    <w:rsid w:val="001D2649"/>
    <w:rsid w:val="001F1511"/>
    <w:rsid w:val="00220A33"/>
    <w:rsid w:val="00223F9B"/>
    <w:rsid w:val="00225214"/>
    <w:rsid w:val="002510C5"/>
    <w:rsid w:val="00264834"/>
    <w:rsid w:val="00267D27"/>
    <w:rsid w:val="0027039E"/>
    <w:rsid w:val="00273FB2"/>
    <w:rsid w:val="00281A71"/>
    <w:rsid w:val="00285161"/>
    <w:rsid w:val="002A220D"/>
    <w:rsid w:val="002A4FEE"/>
    <w:rsid w:val="002B1D98"/>
    <w:rsid w:val="002C6A82"/>
    <w:rsid w:val="002D58FF"/>
    <w:rsid w:val="002E5565"/>
    <w:rsid w:val="002E6C7E"/>
    <w:rsid w:val="002F24D0"/>
    <w:rsid w:val="002F4CEB"/>
    <w:rsid w:val="00304A77"/>
    <w:rsid w:val="0031791F"/>
    <w:rsid w:val="003273CB"/>
    <w:rsid w:val="003351A0"/>
    <w:rsid w:val="0037595A"/>
    <w:rsid w:val="003859D6"/>
    <w:rsid w:val="00395037"/>
    <w:rsid w:val="003A10C4"/>
    <w:rsid w:val="003B22E6"/>
    <w:rsid w:val="003E04E5"/>
    <w:rsid w:val="004175C1"/>
    <w:rsid w:val="00430D59"/>
    <w:rsid w:val="004644DA"/>
    <w:rsid w:val="00474953"/>
    <w:rsid w:val="0049034C"/>
    <w:rsid w:val="00496C19"/>
    <w:rsid w:val="004A0584"/>
    <w:rsid w:val="004A2293"/>
    <w:rsid w:val="004B16DE"/>
    <w:rsid w:val="004E0EC1"/>
    <w:rsid w:val="004E11BB"/>
    <w:rsid w:val="00507495"/>
    <w:rsid w:val="00511272"/>
    <w:rsid w:val="00524500"/>
    <w:rsid w:val="00524E08"/>
    <w:rsid w:val="0056021A"/>
    <w:rsid w:val="005B11BB"/>
    <w:rsid w:val="005C74E5"/>
    <w:rsid w:val="005F108B"/>
    <w:rsid w:val="005F1966"/>
    <w:rsid w:val="005F1B0A"/>
    <w:rsid w:val="00637894"/>
    <w:rsid w:val="00645312"/>
    <w:rsid w:val="006564DE"/>
    <w:rsid w:val="006601D9"/>
    <w:rsid w:val="00665524"/>
    <w:rsid w:val="00676793"/>
    <w:rsid w:val="00676E6E"/>
    <w:rsid w:val="00682312"/>
    <w:rsid w:val="006A0CC0"/>
    <w:rsid w:val="006A0D11"/>
    <w:rsid w:val="006B71F8"/>
    <w:rsid w:val="006B727F"/>
    <w:rsid w:val="006C057E"/>
    <w:rsid w:val="006D773C"/>
    <w:rsid w:val="006E1D2F"/>
    <w:rsid w:val="00704551"/>
    <w:rsid w:val="00713979"/>
    <w:rsid w:val="00717913"/>
    <w:rsid w:val="007318FA"/>
    <w:rsid w:val="00742AFD"/>
    <w:rsid w:val="00751174"/>
    <w:rsid w:val="00753EDD"/>
    <w:rsid w:val="00757C55"/>
    <w:rsid w:val="007639B2"/>
    <w:rsid w:val="007A6AA8"/>
    <w:rsid w:val="007D2F86"/>
    <w:rsid w:val="007D7B73"/>
    <w:rsid w:val="007F3502"/>
    <w:rsid w:val="00813197"/>
    <w:rsid w:val="008216DF"/>
    <w:rsid w:val="00822A54"/>
    <w:rsid w:val="00843990"/>
    <w:rsid w:val="00863555"/>
    <w:rsid w:val="00864989"/>
    <w:rsid w:val="00865A36"/>
    <w:rsid w:val="008840C7"/>
    <w:rsid w:val="008A6D72"/>
    <w:rsid w:val="008B0264"/>
    <w:rsid w:val="008B5533"/>
    <w:rsid w:val="008B5E35"/>
    <w:rsid w:val="008D713E"/>
    <w:rsid w:val="008E136F"/>
    <w:rsid w:val="008E6A2E"/>
    <w:rsid w:val="008E74AF"/>
    <w:rsid w:val="00907325"/>
    <w:rsid w:val="00927822"/>
    <w:rsid w:val="00931F30"/>
    <w:rsid w:val="00946007"/>
    <w:rsid w:val="00974AB8"/>
    <w:rsid w:val="009874DC"/>
    <w:rsid w:val="009A32C5"/>
    <w:rsid w:val="009B38EB"/>
    <w:rsid w:val="009B651B"/>
    <w:rsid w:val="009F19CB"/>
    <w:rsid w:val="00A10223"/>
    <w:rsid w:val="00A21089"/>
    <w:rsid w:val="00A23B27"/>
    <w:rsid w:val="00A31001"/>
    <w:rsid w:val="00A74762"/>
    <w:rsid w:val="00AB71F5"/>
    <w:rsid w:val="00AE106F"/>
    <w:rsid w:val="00AE2BE4"/>
    <w:rsid w:val="00AE2C79"/>
    <w:rsid w:val="00B0064B"/>
    <w:rsid w:val="00B135C5"/>
    <w:rsid w:val="00B4380D"/>
    <w:rsid w:val="00B520C8"/>
    <w:rsid w:val="00BA588A"/>
    <w:rsid w:val="00BC1F31"/>
    <w:rsid w:val="00BE1710"/>
    <w:rsid w:val="00BE1B1C"/>
    <w:rsid w:val="00C02E84"/>
    <w:rsid w:val="00C44B12"/>
    <w:rsid w:val="00C97FBD"/>
    <w:rsid w:val="00CB35DC"/>
    <w:rsid w:val="00CC38D7"/>
    <w:rsid w:val="00CC3C52"/>
    <w:rsid w:val="00CC4E82"/>
    <w:rsid w:val="00CD2EA8"/>
    <w:rsid w:val="00CD30F1"/>
    <w:rsid w:val="00CE3A29"/>
    <w:rsid w:val="00CF05A2"/>
    <w:rsid w:val="00CF0AF6"/>
    <w:rsid w:val="00D0102C"/>
    <w:rsid w:val="00D2749A"/>
    <w:rsid w:val="00D3050A"/>
    <w:rsid w:val="00D4006E"/>
    <w:rsid w:val="00D6663E"/>
    <w:rsid w:val="00D733B9"/>
    <w:rsid w:val="00D955D7"/>
    <w:rsid w:val="00D96013"/>
    <w:rsid w:val="00DA7708"/>
    <w:rsid w:val="00DD1478"/>
    <w:rsid w:val="00DE6A39"/>
    <w:rsid w:val="00E0750B"/>
    <w:rsid w:val="00E118CE"/>
    <w:rsid w:val="00E15C59"/>
    <w:rsid w:val="00E22DCB"/>
    <w:rsid w:val="00E2583F"/>
    <w:rsid w:val="00E37D1B"/>
    <w:rsid w:val="00E434A0"/>
    <w:rsid w:val="00E50F52"/>
    <w:rsid w:val="00E60020"/>
    <w:rsid w:val="00E63940"/>
    <w:rsid w:val="00E74645"/>
    <w:rsid w:val="00E74CD1"/>
    <w:rsid w:val="00E81C3D"/>
    <w:rsid w:val="00EB5F75"/>
    <w:rsid w:val="00ED10FB"/>
    <w:rsid w:val="00ED558F"/>
    <w:rsid w:val="00EE75F1"/>
    <w:rsid w:val="00F06EEF"/>
    <w:rsid w:val="00F14472"/>
    <w:rsid w:val="00F21084"/>
    <w:rsid w:val="00F23CA1"/>
    <w:rsid w:val="00F42A2D"/>
    <w:rsid w:val="00F708EE"/>
    <w:rsid w:val="00F71C92"/>
    <w:rsid w:val="00F86C61"/>
    <w:rsid w:val="00F93F33"/>
    <w:rsid w:val="00FB0B93"/>
    <w:rsid w:val="00FC26EA"/>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nluis.gob.mx/firme-proyecto-de-ciclovias-para-mejorar-movilidad-en-la-capita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anluis.gob.mx/confirma-nava-palacios-ciclovia-ruta-universitari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DBCC69-D190-42DC-B24C-D439988CA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11</Pages>
  <Words>2860</Words>
  <Characters>15735</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9</cp:revision>
  <cp:lastPrinted>2020-02-04T18:10:00Z</cp:lastPrinted>
  <dcterms:created xsi:type="dcterms:W3CDTF">2020-04-17T23:31:00Z</dcterms:created>
  <dcterms:modified xsi:type="dcterms:W3CDTF">2020-04-18T00:37:00Z</dcterms:modified>
</cp:coreProperties>
</file>