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Pr="006A2053" w:rsidRDefault="00760E60">
      <w:pPr>
        <w:spacing w:after="155" w:line="259" w:lineRule="auto"/>
        <w:ind w:left="0" w:firstLine="0"/>
        <w:rPr>
          <w:color w:val="auto"/>
        </w:rPr>
      </w:pPr>
      <w:r w:rsidRPr="006A2053">
        <w:rPr>
          <w:noProof/>
          <w:color w:val="auto"/>
          <w:sz w:val="22"/>
        </w:rPr>
        <w:drawing>
          <wp:anchor distT="0" distB="0" distL="114300" distR="114300" simplePos="0" relativeHeight="251658240" behindDoc="0" locked="0" layoutInCell="1" allowOverlap="1" wp14:anchorId="2021225D" wp14:editId="322FFEB0">
            <wp:simplePos x="0" y="0"/>
            <wp:positionH relativeFrom="margin">
              <wp:align>right</wp:align>
            </wp:positionH>
            <wp:positionV relativeFrom="margin">
              <wp:posOffset>-476250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 w:rsidRPr="006A2053">
        <w:rPr>
          <w:color w:val="auto"/>
          <w:sz w:val="22"/>
        </w:rPr>
        <w:t xml:space="preserve"> </w:t>
      </w:r>
    </w:p>
    <w:p w:rsidR="00760E60" w:rsidRPr="006A2053" w:rsidRDefault="005E024D" w:rsidP="004C2713">
      <w:pPr>
        <w:spacing w:after="0" w:line="259" w:lineRule="auto"/>
        <w:ind w:left="108" w:firstLine="0"/>
        <w:rPr>
          <w:rFonts w:ascii="Gill Sans MT" w:eastAsia="Gill Sans MT" w:hAnsi="Gill Sans MT" w:cs="Gill Sans MT"/>
          <w:b/>
          <w:color w:val="auto"/>
          <w:sz w:val="18"/>
        </w:rPr>
      </w:pPr>
      <w:r w:rsidRPr="006A2053">
        <w:rPr>
          <w:rFonts w:ascii="Gill Sans MT" w:eastAsia="Gill Sans MT" w:hAnsi="Gill Sans MT" w:cs="Gill Sans MT"/>
          <w:b/>
          <w:color w:val="auto"/>
          <w:sz w:val="18"/>
        </w:rPr>
        <w:t xml:space="preserve"> </w:t>
      </w:r>
    </w:p>
    <w:p w:rsidR="00760E60" w:rsidRPr="006A2053" w:rsidRDefault="00AC019B" w:rsidP="004C2713">
      <w:pPr>
        <w:spacing w:after="0" w:line="259" w:lineRule="auto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A2053">
        <w:rPr>
          <w:rFonts w:asciiTheme="minorHAnsi" w:hAnsiTheme="minorHAnsi" w:cstheme="minorHAnsi"/>
          <w:b/>
          <w:color w:val="auto"/>
          <w:sz w:val="28"/>
          <w:szCs w:val="28"/>
        </w:rPr>
        <w:t xml:space="preserve">JAIME ARTURO GUTIÉRREZ BARRIOS </w:t>
      </w:r>
    </w:p>
    <w:p w:rsidR="00C4754E" w:rsidRPr="006A2053" w:rsidRDefault="00AC019B" w:rsidP="004C2713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DIRECTO</w:t>
      </w:r>
      <w:r w:rsidR="00862D77"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R DE LA DEFENSORIA PÚBLICA PENAL</w:t>
      </w:r>
    </w:p>
    <w:p w:rsidR="00512BB7" w:rsidRPr="006A2053" w:rsidRDefault="00512BB7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</w:p>
    <w:p w:rsidR="00C4754E" w:rsidRPr="006A2053" w:rsidRDefault="00760E60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>L</w:t>
      </w:r>
      <w:r w:rsidR="005E024D" w:rsidRPr="006A2053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A2053">
        <w:rPr>
          <w:color w:val="auto"/>
          <w:sz w:val="22"/>
        </w:rPr>
        <w:t>Leíja</w:t>
      </w:r>
      <w:proofErr w:type="spellEnd"/>
      <w:r w:rsidR="005E024D" w:rsidRPr="006A2053">
        <w:rPr>
          <w:color w:val="auto"/>
          <w:sz w:val="22"/>
        </w:rPr>
        <w:t xml:space="preserve">" de la Universidad Autónoma de </w:t>
      </w:r>
      <w:r w:rsidR="000F35C9" w:rsidRPr="006A2053">
        <w:rPr>
          <w:color w:val="auto"/>
          <w:sz w:val="22"/>
        </w:rPr>
        <w:t>San</w:t>
      </w:r>
      <w:r w:rsidR="00AC019B" w:rsidRPr="006A2053">
        <w:rPr>
          <w:color w:val="auto"/>
          <w:sz w:val="22"/>
        </w:rPr>
        <w:t xml:space="preserve"> Luis Potosí, de 1994 a 1999</w:t>
      </w:r>
      <w:r w:rsidR="005E024D" w:rsidRPr="006A2053">
        <w:rPr>
          <w:color w:val="auto"/>
          <w:sz w:val="22"/>
        </w:rPr>
        <w:t xml:space="preserve">. </w:t>
      </w:r>
    </w:p>
    <w:p w:rsidR="00C4754E" w:rsidRPr="006A2053" w:rsidRDefault="005E024D" w:rsidP="00862D77">
      <w:pPr>
        <w:spacing w:after="0" w:line="259" w:lineRule="auto"/>
        <w:ind w:left="555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</w:p>
    <w:p w:rsidR="004C2713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Maestría en </w:t>
      </w:r>
      <w:r w:rsidR="00AC019B" w:rsidRPr="006A2053">
        <w:rPr>
          <w:color w:val="auto"/>
          <w:sz w:val="22"/>
        </w:rPr>
        <w:t xml:space="preserve">Política Criminal, Unidad de Postgrado </w:t>
      </w:r>
      <w:r w:rsidRPr="006A2053">
        <w:rPr>
          <w:color w:val="auto"/>
          <w:sz w:val="22"/>
        </w:rPr>
        <w:t xml:space="preserve">en la Facultad de Derecho "Abogado Ponciano Arriaga </w:t>
      </w:r>
      <w:proofErr w:type="spellStart"/>
      <w:r w:rsidRPr="006A2053">
        <w:rPr>
          <w:color w:val="auto"/>
          <w:sz w:val="22"/>
        </w:rPr>
        <w:t>Leíja</w:t>
      </w:r>
      <w:proofErr w:type="spellEnd"/>
      <w:r w:rsidRPr="006A2053">
        <w:rPr>
          <w:color w:val="auto"/>
          <w:sz w:val="22"/>
        </w:rPr>
        <w:t>" de  la Universida</w:t>
      </w:r>
      <w:r w:rsidR="00AC019B" w:rsidRPr="006A2053">
        <w:rPr>
          <w:color w:val="auto"/>
          <w:sz w:val="22"/>
        </w:rPr>
        <w:t xml:space="preserve">d Autónoma San Luis Potosí, </w:t>
      </w:r>
      <w:r w:rsidR="00820134" w:rsidRPr="006A2053">
        <w:rPr>
          <w:color w:val="auto"/>
          <w:sz w:val="22"/>
        </w:rPr>
        <w:t xml:space="preserve">de 2004 a </w:t>
      </w:r>
      <w:r w:rsidR="00AC019B" w:rsidRPr="006A2053">
        <w:rPr>
          <w:color w:val="auto"/>
          <w:sz w:val="22"/>
        </w:rPr>
        <w:t>2006</w:t>
      </w:r>
      <w:r w:rsidRPr="006A2053">
        <w:rPr>
          <w:color w:val="auto"/>
          <w:sz w:val="22"/>
        </w:rPr>
        <w:t xml:space="preserve">. </w:t>
      </w:r>
      <w:r w:rsidRPr="006A2053">
        <w:rPr>
          <w:color w:val="auto"/>
          <w:sz w:val="22"/>
        </w:rPr>
        <w:tab/>
        <w:t xml:space="preserve"> </w:t>
      </w:r>
      <w:r w:rsidRPr="006A2053">
        <w:rPr>
          <w:color w:val="auto"/>
          <w:sz w:val="22"/>
        </w:rPr>
        <w:tab/>
      </w:r>
    </w:p>
    <w:p w:rsidR="004C2713" w:rsidRPr="006A2053" w:rsidRDefault="004C2713" w:rsidP="004C2713">
      <w:pPr>
        <w:ind w:right="-13"/>
        <w:jc w:val="both"/>
        <w:rPr>
          <w:color w:val="auto"/>
          <w:sz w:val="22"/>
        </w:rPr>
      </w:pPr>
    </w:p>
    <w:p w:rsidR="00C4754E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  <w:r w:rsidRPr="006A2053">
        <w:rPr>
          <w:color w:val="auto"/>
          <w:sz w:val="22"/>
        </w:rPr>
        <w:tab/>
        <w:t xml:space="preserve">                                   </w:t>
      </w:r>
      <w:r w:rsidR="00B70C41" w:rsidRPr="006A2053">
        <w:rPr>
          <w:color w:val="auto"/>
          <w:sz w:val="22"/>
        </w:rPr>
        <w:t xml:space="preserve">                       </w:t>
      </w:r>
    </w:p>
    <w:tbl>
      <w:tblPr>
        <w:tblStyle w:val="Tablaconcuadrcula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961"/>
      </w:tblGrid>
      <w:tr w:rsidR="006A2053" w:rsidRPr="006A2053" w:rsidTr="000F35C9">
        <w:trPr>
          <w:trHeight w:val="1289"/>
        </w:trPr>
        <w:tc>
          <w:tcPr>
            <w:tcW w:w="5387" w:type="dxa"/>
          </w:tcPr>
          <w:p w:rsidR="004C2713" w:rsidRPr="006A2053" w:rsidRDefault="005E024D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</w:t>
            </w:r>
            <w:r w:rsidR="004C2713" w:rsidRPr="006A2053">
              <w:rPr>
                <w:color w:val="auto"/>
                <w:sz w:val="22"/>
              </w:rPr>
              <w:t xml:space="preserve">                          </w:t>
            </w:r>
          </w:p>
          <w:p w:rsidR="00C4754E" w:rsidRPr="006A2053" w:rsidRDefault="004C2713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</w:t>
            </w:r>
            <w:r w:rsidR="000F35C9" w:rsidRPr="006A2053">
              <w:rPr>
                <w:color w:val="auto"/>
                <w:sz w:val="22"/>
              </w:rPr>
              <w:t xml:space="preserve">           </w:t>
            </w:r>
            <w:r w:rsidR="00CE71CA" w:rsidRPr="006A2053">
              <w:rPr>
                <w:b/>
                <w:color w:val="auto"/>
                <w:sz w:val="22"/>
              </w:rPr>
              <w:t>Experiencia l</w:t>
            </w:r>
            <w:r w:rsidR="005E024D" w:rsidRPr="006A2053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4961" w:type="dxa"/>
          </w:tcPr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 de la Defensoría Pública Penal del Estado de San Luis Potosí.</w:t>
            </w:r>
            <w:r w:rsidR="000F35C9" w:rsidRPr="006A2053">
              <w:rPr>
                <w:color w:val="auto"/>
                <w:sz w:val="22"/>
              </w:rPr>
              <w:t xml:space="preserve"> 2014-2015.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Coordinador Regional Zona Media, Defensoría Pública del Estado</w:t>
            </w:r>
            <w:r w:rsidR="000F35C9" w:rsidRPr="006A2053">
              <w:rPr>
                <w:color w:val="auto"/>
                <w:sz w:val="22"/>
              </w:rPr>
              <w:t xml:space="preserve"> 2015-2017.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B70C4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</w:t>
            </w:r>
            <w:r w:rsidR="000F35C9" w:rsidRPr="006A2053">
              <w:rPr>
                <w:color w:val="auto"/>
                <w:sz w:val="22"/>
              </w:rPr>
              <w:t xml:space="preserve"> de la Defensoría Pública Penal. 2017-actualmente.</w:t>
            </w:r>
          </w:p>
        </w:tc>
      </w:tr>
      <w:tr w:rsidR="006A2053" w:rsidRPr="006A2053" w:rsidTr="000F35C9">
        <w:trPr>
          <w:trHeight w:val="3899"/>
        </w:trPr>
        <w:tc>
          <w:tcPr>
            <w:tcW w:w="5387" w:type="dxa"/>
          </w:tcPr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         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254BC1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b/>
                <w:color w:val="auto"/>
                <w:sz w:val="22"/>
              </w:rPr>
              <w:t xml:space="preserve">                 </w:t>
            </w:r>
            <w:r w:rsidR="005E024D" w:rsidRPr="006A2053">
              <w:rPr>
                <w:b/>
                <w:color w:val="auto"/>
                <w:sz w:val="22"/>
              </w:rPr>
              <w:t>Cursos recibidos:</w:t>
            </w: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C4754E" w:rsidRPr="006A2053" w:rsidRDefault="00C4754E" w:rsidP="00A7022A">
            <w:pPr>
              <w:ind w:left="0" w:firstLine="0"/>
              <w:jc w:val="both"/>
              <w:rPr>
                <w:color w:val="auto"/>
                <w:sz w:val="22"/>
              </w:rPr>
            </w:pPr>
          </w:p>
        </w:tc>
        <w:tc>
          <w:tcPr>
            <w:tcW w:w="4961" w:type="dxa"/>
          </w:tcPr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B70C41" w:rsidRPr="006A2053" w:rsidRDefault="00B70C41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Interrogatorio y Contrainterrogatorio.- SEGOB, SETEC, Defensoría Pública, S.L.P Junio 2016.</w:t>
            </w:r>
          </w:p>
          <w:p w:rsidR="00B70C41" w:rsidRPr="006A2053" w:rsidRDefault="00B70C41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Mecanismos Alternativos de Solución de Controversias en la Investigación como solución alterna.- SEGOB, SETEC, Defensoría Pública, S.L.P Junio 2016.</w:t>
            </w: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Técnicas de Litigio en el Procedimiento Abreviado SEGOB, SETEC, Defensoría Pública, S.L.P Junio 2016.</w:t>
            </w:r>
          </w:p>
          <w:p w:rsidR="00A7022A" w:rsidRPr="006A2053" w:rsidRDefault="00A7022A" w:rsidP="00A7022A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A7022A" w:rsidP="004C2713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Ejecución de Sanciones Penales y Medidas de Seguridad en la Defensa Penal, SEGOB, SETEC, Defensoría Pública, S.L.P Julio 20</w:t>
            </w:r>
            <w:r w:rsidR="004C2713" w:rsidRPr="006A2053">
              <w:rPr>
                <w:color w:val="auto"/>
                <w:sz w:val="22"/>
              </w:rPr>
              <w:t>16.</w:t>
            </w: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6A2053" w:rsidTr="004C2713">
        <w:trPr>
          <w:trHeight w:val="2589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6A2053" w:rsidRDefault="00C23DC5" w:rsidP="008E71B4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auto"/>
                <w:sz w:val="16"/>
                <w:szCs w:val="16"/>
                <w:highlight w:val="black"/>
              </w:rPr>
            </w:pP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Ley de Transparencia y Acceso a la Información Pública del Estado de San Luis Potosí,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aprobada el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04 de mayo de 2016.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Última reforma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ublicada en el </w:t>
            </w:r>
            <w:r w:rsidR="00512BB7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Periódico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Oficial el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0</w:t>
            </w:r>
            <w:r w:rsidR="008E71B4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4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</w:t>
            </w:r>
            <w:r w:rsidR="008E71B4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jun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io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201</w:t>
            </w:r>
            <w:r w:rsidR="008E71B4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9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..</w:t>
            </w:r>
            <w:proofErr w:type="gramEnd"/>
          </w:p>
        </w:tc>
      </w:tr>
    </w:tbl>
    <w:p w:rsidR="00C4754E" w:rsidRPr="006A2053" w:rsidRDefault="00C4754E" w:rsidP="00254BC1">
      <w:pPr>
        <w:spacing w:after="0" w:line="259" w:lineRule="auto"/>
        <w:ind w:left="0" w:firstLine="0"/>
        <w:rPr>
          <w:color w:val="auto"/>
        </w:rPr>
      </w:pPr>
      <w:bookmarkStart w:id="0" w:name="_GoBack"/>
      <w:bookmarkEnd w:id="0"/>
    </w:p>
    <w:sectPr w:rsidR="00C4754E" w:rsidRPr="006A2053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D1495"/>
    <w:rsid w:val="000F35C9"/>
    <w:rsid w:val="0024150E"/>
    <w:rsid w:val="00254BC1"/>
    <w:rsid w:val="002E1518"/>
    <w:rsid w:val="00390BE5"/>
    <w:rsid w:val="004C2713"/>
    <w:rsid w:val="00512BB7"/>
    <w:rsid w:val="00540E34"/>
    <w:rsid w:val="005E024D"/>
    <w:rsid w:val="006A2053"/>
    <w:rsid w:val="006E53A3"/>
    <w:rsid w:val="00760E60"/>
    <w:rsid w:val="00761F0A"/>
    <w:rsid w:val="00777B9D"/>
    <w:rsid w:val="00820134"/>
    <w:rsid w:val="00862D77"/>
    <w:rsid w:val="008E71B4"/>
    <w:rsid w:val="00A7022A"/>
    <w:rsid w:val="00AC019B"/>
    <w:rsid w:val="00B16658"/>
    <w:rsid w:val="00B70C41"/>
    <w:rsid w:val="00C23DC5"/>
    <w:rsid w:val="00C4754E"/>
    <w:rsid w:val="00CA5E0B"/>
    <w:rsid w:val="00CC2319"/>
    <w:rsid w:val="00CE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5AF5FB-1761-4BE0-BEAD-6B6739CB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decuadrcula1clara1">
    <w:name w:val="Tabla de cuadrícula 1 clara1"/>
    <w:basedOn w:val="Tablanormal"/>
    <w:uiPriority w:val="46"/>
    <w:rsid w:val="004C27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4C2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CD27C-081E-4FD3-8373-FBA5345C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16</cp:revision>
  <cp:lastPrinted>2018-08-10T15:46:00Z</cp:lastPrinted>
  <dcterms:created xsi:type="dcterms:W3CDTF">2017-10-09T16:56:00Z</dcterms:created>
  <dcterms:modified xsi:type="dcterms:W3CDTF">2020-03-10T14:54:00Z</dcterms:modified>
</cp:coreProperties>
</file>