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F09C3C" w14:textId="5842FC98"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D43BE6">
        <w:rPr>
          <w:rFonts w:ascii="AvantGarde Bk BT" w:hAnsi="AvantGarde Bk BT" w:cs="Arial"/>
          <w:b/>
          <w:color w:val="000000" w:themeColor="text1"/>
          <w:sz w:val="24"/>
          <w:szCs w:val="24"/>
        </w:rPr>
        <w:t>2</w:t>
      </w:r>
      <w:r w:rsidR="0042058B">
        <w:rPr>
          <w:rFonts w:ascii="AvantGarde Bk BT" w:hAnsi="AvantGarde Bk BT" w:cs="Arial"/>
          <w:b/>
          <w:color w:val="000000" w:themeColor="text1"/>
          <w:sz w:val="24"/>
          <w:szCs w:val="24"/>
        </w:rPr>
        <w:t>7</w:t>
      </w:r>
      <w:r w:rsidR="00B22A0B">
        <w:rPr>
          <w:rFonts w:ascii="AvantGarde Bk BT" w:hAnsi="AvantGarde Bk BT" w:cs="Arial"/>
          <w:b/>
          <w:color w:val="000000" w:themeColor="text1"/>
          <w:sz w:val="24"/>
          <w:szCs w:val="24"/>
        </w:rPr>
        <w:t>7</w:t>
      </w:r>
      <w:r w:rsidR="00C36886">
        <w:rPr>
          <w:rFonts w:ascii="AvantGarde Bk BT" w:hAnsi="AvantGarde Bk BT" w:cs="Arial"/>
          <w:b/>
          <w:color w:val="000000" w:themeColor="text1"/>
          <w:sz w:val="24"/>
          <w:szCs w:val="24"/>
        </w:rPr>
        <w:t>5</w:t>
      </w:r>
      <w:r>
        <w:rPr>
          <w:rFonts w:ascii="AvantGarde Bk BT" w:hAnsi="AvantGarde Bk BT" w:cs="Arial"/>
          <w:b/>
          <w:color w:val="000000" w:themeColor="text1"/>
          <w:sz w:val="24"/>
          <w:szCs w:val="24"/>
        </w:rPr>
        <w:t>/20</w:t>
      </w:r>
      <w:r w:rsidR="00D43BE6">
        <w:rPr>
          <w:rFonts w:ascii="AvantGarde Bk BT" w:hAnsi="AvantGarde Bk BT" w:cs="Arial"/>
          <w:b/>
          <w:color w:val="000000" w:themeColor="text1"/>
          <w:sz w:val="24"/>
          <w:szCs w:val="24"/>
        </w:rPr>
        <w:t>19</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E62B9A">
        <w:rPr>
          <w:rFonts w:ascii="AvantGarde Bk BT" w:hAnsi="AvantGarde Bk BT" w:cs="Arial"/>
          <w:b/>
          <w:color w:val="000000" w:themeColor="text1"/>
          <w:sz w:val="24"/>
          <w:szCs w:val="24"/>
        </w:rPr>
        <w:t>SICOM</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140F8981" w14:textId="770AC666" w:rsidR="00946007" w:rsidRPr="007C5605" w:rsidRDefault="00444846"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444846">
        <w:rPr>
          <w:rFonts w:ascii="AvantGarde Bk BT" w:hAnsi="AvantGarde Bk BT" w:cs="Arial"/>
          <w:b/>
          <w:color w:val="000000" w:themeColor="text1"/>
          <w:sz w:val="24"/>
          <w:szCs w:val="24"/>
        </w:rPr>
        <w:t>MAESTRO ALEJANDRO LAFUENTE TORRES</w:t>
      </w:r>
      <w:bookmarkStart w:id="0" w:name="_GoBack"/>
      <w:bookmarkEnd w:id="0"/>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79FC39A8" w:rsidR="00946007" w:rsidRPr="007C5605" w:rsidRDefault="002C3BD5"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MUNICIPIO</w:t>
      </w:r>
      <w:r w:rsidR="00285161">
        <w:rPr>
          <w:rFonts w:ascii="AvantGarde Bk BT" w:hAnsi="AvantGarde Bk BT" w:cs="Arial"/>
          <w:b/>
          <w:color w:val="000000" w:themeColor="text1"/>
          <w:sz w:val="24"/>
          <w:szCs w:val="24"/>
        </w:rPr>
        <w:t xml:space="preserve"> DE S</w:t>
      </w:r>
      <w:r w:rsidR="00E62B9A">
        <w:rPr>
          <w:rFonts w:ascii="AvantGarde Bk BT" w:hAnsi="AvantGarde Bk BT" w:cs="Arial"/>
          <w:b/>
          <w:color w:val="000000" w:themeColor="text1"/>
          <w:sz w:val="24"/>
          <w:szCs w:val="24"/>
        </w:rPr>
        <w:t xml:space="preserve">OLEDAD DE GRACIANO SANCHEZ </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5EE1A96A"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D43BE6">
        <w:rPr>
          <w:rFonts w:ascii="AvantGarde Bk BT" w:hAnsi="AvantGarde Bk BT" w:cs="Arial"/>
          <w:color w:val="000000" w:themeColor="text1"/>
          <w:sz w:val="24"/>
          <w:szCs w:val="24"/>
        </w:rPr>
        <w:t>1</w:t>
      </w:r>
      <w:r w:rsidR="00E62B9A">
        <w:rPr>
          <w:rFonts w:ascii="AvantGarde Bk BT" w:hAnsi="AvantGarde Bk BT" w:cs="Arial"/>
          <w:color w:val="000000" w:themeColor="text1"/>
          <w:sz w:val="24"/>
          <w:szCs w:val="24"/>
        </w:rPr>
        <w:t>2</w:t>
      </w:r>
      <w:r w:rsidR="003D7763">
        <w:rPr>
          <w:rFonts w:ascii="AvantGarde Bk BT" w:hAnsi="AvantGarde Bk BT" w:cs="Arial"/>
          <w:color w:val="000000" w:themeColor="text1"/>
          <w:sz w:val="24"/>
          <w:szCs w:val="24"/>
        </w:rPr>
        <w:t xml:space="preserve"> </w:t>
      </w:r>
      <w:r w:rsidR="00E62B9A">
        <w:rPr>
          <w:rFonts w:ascii="AvantGarde Bk BT" w:hAnsi="AvantGarde Bk BT" w:cs="Arial"/>
          <w:color w:val="000000" w:themeColor="text1"/>
          <w:sz w:val="24"/>
          <w:szCs w:val="24"/>
        </w:rPr>
        <w:t xml:space="preserve">doce </w:t>
      </w:r>
      <w:r w:rsidR="00D43BE6">
        <w:rPr>
          <w:rFonts w:ascii="AvantGarde Bk BT" w:hAnsi="AvantGarde Bk BT" w:cs="Arial"/>
          <w:color w:val="000000" w:themeColor="text1"/>
          <w:sz w:val="24"/>
          <w:szCs w:val="24"/>
        </w:rPr>
        <w:t xml:space="preserve">de febrero </w:t>
      </w:r>
      <w:r>
        <w:rPr>
          <w:rFonts w:ascii="AvantGarde Bk BT" w:hAnsi="AvantGarde Bk BT" w:cs="Arial"/>
          <w:color w:val="000000" w:themeColor="text1"/>
          <w:sz w:val="24"/>
          <w:szCs w:val="24"/>
        </w:rPr>
        <w:t>de 20</w:t>
      </w:r>
      <w:r w:rsidR="003D7763">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w:t>
      </w:r>
      <w:r w:rsidR="003D7763">
        <w:rPr>
          <w:rFonts w:ascii="AvantGarde Bk BT" w:hAnsi="AvantGarde Bk BT" w:cs="Arial"/>
          <w:color w:val="000000" w:themeColor="text1"/>
          <w:sz w:val="24"/>
          <w:szCs w:val="24"/>
        </w:rPr>
        <w:t xml:space="preserve"> veinte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0983FC58"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A70DD5">
        <w:rPr>
          <w:rFonts w:ascii="AvantGarde Bk BT" w:hAnsi="AvantGarde Bk BT" w:cs="Arial"/>
          <w:color w:val="000000" w:themeColor="text1"/>
          <w:sz w:val="24"/>
          <w:szCs w:val="24"/>
        </w:rPr>
        <w:t>2</w:t>
      </w:r>
      <w:r w:rsidR="0010744D">
        <w:rPr>
          <w:rFonts w:ascii="AvantGarde Bk BT" w:hAnsi="AvantGarde Bk BT" w:cs="Arial"/>
          <w:color w:val="000000" w:themeColor="text1"/>
          <w:sz w:val="24"/>
          <w:szCs w:val="24"/>
        </w:rPr>
        <w:t>1</w:t>
      </w:r>
      <w:r w:rsidR="00A70DD5">
        <w:rPr>
          <w:rFonts w:ascii="AvantGarde Bk BT" w:hAnsi="AvantGarde Bk BT" w:cs="Arial"/>
          <w:color w:val="000000" w:themeColor="text1"/>
          <w:sz w:val="24"/>
          <w:szCs w:val="24"/>
        </w:rPr>
        <w:t xml:space="preserve"> veinti</w:t>
      </w:r>
      <w:r w:rsidR="0010744D">
        <w:rPr>
          <w:rFonts w:ascii="AvantGarde Bk BT" w:hAnsi="AvantGarde Bk BT" w:cs="Arial"/>
          <w:color w:val="000000" w:themeColor="text1"/>
          <w:sz w:val="24"/>
          <w:szCs w:val="24"/>
        </w:rPr>
        <w:t xml:space="preserve">uno </w:t>
      </w:r>
      <w:r>
        <w:rPr>
          <w:rFonts w:ascii="AvantGarde Bk BT" w:hAnsi="AvantGarde Bk BT" w:cs="Arial"/>
          <w:color w:val="000000" w:themeColor="text1"/>
          <w:sz w:val="24"/>
          <w:szCs w:val="24"/>
        </w:rPr>
        <w:t xml:space="preserve">de </w:t>
      </w:r>
      <w:r w:rsidR="00E62B9A">
        <w:rPr>
          <w:rFonts w:ascii="AvantGarde Bk BT" w:hAnsi="AvantGarde Bk BT" w:cs="Arial"/>
          <w:color w:val="000000" w:themeColor="text1"/>
          <w:sz w:val="24"/>
          <w:szCs w:val="24"/>
        </w:rPr>
        <w:t>octu</w:t>
      </w:r>
      <w:r w:rsidR="003D7763">
        <w:rPr>
          <w:rFonts w:ascii="AvantGarde Bk BT" w:hAnsi="AvantGarde Bk BT" w:cs="Arial"/>
          <w:color w:val="000000" w:themeColor="text1"/>
          <w:sz w:val="24"/>
          <w:szCs w:val="24"/>
        </w:rPr>
        <w:t xml:space="preserve">bre </w:t>
      </w:r>
      <w:r>
        <w:rPr>
          <w:rFonts w:ascii="AvantGarde Bk BT" w:hAnsi="AvantGarde Bk BT" w:cs="Arial"/>
          <w:color w:val="000000" w:themeColor="text1"/>
          <w:sz w:val="24"/>
          <w:szCs w:val="24"/>
        </w:rPr>
        <w:t xml:space="preserve">de 2019 dos mil diecinueve </w:t>
      </w:r>
      <w:r w:rsidR="002C3BD5">
        <w:rPr>
          <w:rFonts w:ascii="AvantGarde Bk BT" w:hAnsi="AvantGarde Bk BT" w:cs="Arial"/>
          <w:color w:val="000000" w:themeColor="text1"/>
          <w:sz w:val="24"/>
          <w:szCs w:val="24"/>
        </w:rPr>
        <w:t>al</w:t>
      </w:r>
      <w:r>
        <w:rPr>
          <w:rFonts w:ascii="AvantGarde Bk BT" w:hAnsi="AvantGarde Bk BT" w:cs="Arial"/>
          <w:color w:val="000000" w:themeColor="text1"/>
          <w:sz w:val="24"/>
          <w:szCs w:val="24"/>
        </w:rPr>
        <w:t xml:space="preserve"> </w:t>
      </w:r>
      <w:r w:rsidR="002C3BD5">
        <w:rPr>
          <w:rFonts w:ascii="AvantGarde Bk BT" w:hAnsi="AvantGarde Bk BT" w:cs="Arial"/>
          <w:b/>
          <w:color w:val="000000" w:themeColor="text1"/>
          <w:sz w:val="24"/>
          <w:szCs w:val="24"/>
        </w:rPr>
        <w:t xml:space="preserve">MUNICIPIO </w:t>
      </w:r>
      <w:r w:rsidR="00285161">
        <w:rPr>
          <w:rFonts w:ascii="AvantGarde Bk BT" w:hAnsi="AvantGarde Bk BT" w:cs="Arial"/>
          <w:b/>
          <w:color w:val="000000" w:themeColor="text1"/>
          <w:sz w:val="24"/>
          <w:szCs w:val="24"/>
        </w:rPr>
        <w:t xml:space="preserve">DE </w:t>
      </w:r>
      <w:r w:rsidR="00E62B9A">
        <w:rPr>
          <w:rFonts w:ascii="AvantGarde Bk BT" w:hAnsi="AvantGarde Bk BT" w:cs="Arial"/>
          <w:b/>
          <w:color w:val="000000" w:themeColor="text1"/>
          <w:sz w:val="24"/>
          <w:szCs w:val="24"/>
        </w:rPr>
        <w:t>SOLEDAD DE GRACIANO SANCHEZ</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a través de la Plataforma Nacional de Transparencia, misma que quedó registrada con número de folio </w:t>
      </w:r>
      <w:r w:rsidR="001E2814">
        <w:rPr>
          <w:rFonts w:ascii="AvantGarde Bk BT" w:hAnsi="AvantGarde Bk BT" w:cs="Arial"/>
          <w:color w:val="000000" w:themeColor="text1"/>
          <w:sz w:val="24"/>
          <w:szCs w:val="24"/>
        </w:rPr>
        <w:t>0</w:t>
      </w:r>
      <w:r w:rsidR="003D7763">
        <w:rPr>
          <w:rFonts w:ascii="AvantGarde Bk BT" w:hAnsi="AvantGarde Bk BT" w:cs="Arial"/>
          <w:color w:val="000000" w:themeColor="text1"/>
          <w:sz w:val="24"/>
          <w:szCs w:val="24"/>
        </w:rPr>
        <w:t>1</w:t>
      </w:r>
      <w:r w:rsidR="00A70DD5">
        <w:rPr>
          <w:rFonts w:ascii="AvantGarde Bk BT" w:hAnsi="AvantGarde Bk BT" w:cs="Arial"/>
          <w:color w:val="000000" w:themeColor="text1"/>
          <w:sz w:val="24"/>
          <w:szCs w:val="24"/>
        </w:rPr>
        <w:t>5</w:t>
      </w:r>
      <w:r w:rsidR="0010744D">
        <w:rPr>
          <w:rFonts w:ascii="AvantGarde Bk BT" w:hAnsi="AvantGarde Bk BT" w:cs="Arial"/>
          <w:color w:val="000000" w:themeColor="text1"/>
          <w:sz w:val="24"/>
          <w:szCs w:val="24"/>
        </w:rPr>
        <w:t>4</w:t>
      </w:r>
      <w:r w:rsidR="00C36886">
        <w:rPr>
          <w:rFonts w:ascii="AvantGarde Bk BT" w:hAnsi="AvantGarde Bk BT" w:cs="Arial"/>
          <w:color w:val="000000" w:themeColor="text1"/>
          <w:sz w:val="24"/>
          <w:szCs w:val="24"/>
        </w:rPr>
        <w:t>2</w:t>
      </w:r>
      <w:r w:rsidR="00B22A0B">
        <w:rPr>
          <w:rFonts w:ascii="AvantGarde Bk BT" w:hAnsi="AvantGarde Bk BT" w:cs="Arial"/>
          <w:color w:val="000000" w:themeColor="text1"/>
          <w:sz w:val="24"/>
          <w:szCs w:val="24"/>
        </w:rPr>
        <w:t>8</w:t>
      </w:r>
      <w:r w:rsidR="00E62B9A">
        <w:rPr>
          <w:rFonts w:ascii="AvantGarde Bk BT" w:hAnsi="AvantGarde Bk BT" w:cs="Arial"/>
          <w:color w:val="000000" w:themeColor="text1"/>
          <w:sz w:val="24"/>
          <w:szCs w:val="24"/>
        </w:rPr>
        <w:t>19</w:t>
      </w:r>
      <w:r>
        <w:rPr>
          <w:rFonts w:ascii="AvantGarde Bk BT" w:hAnsi="AvantGarde Bk BT" w:cs="Arial"/>
          <w:color w:val="000000" w:themeColor="text1"/>
          <w:sz w:val="24"/>
          <w:szCs w:val="24"/>
        </w:rPr>
        <w:t>.</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6A1D2650"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10744D">
        <w:rPr>
          <w:rFonts w:ascii="AvantGarde Bk BT" w:hAnsi="AvantGarde Bk BT" w:cs="Arial"/>
          <w:color w:val="000000" w:themeColor="text1"/>
          <w:sz w:val="24"/>
          <w:szCs w:val="24"/>
        </w:rPr>
        <w:t>0</w:t>
      </w:r>
      <w:r w:rsidR="00A30C39">
        <w:rPr>
          <w:rFonts w:ascii="AvantGarde Bk BT" w:hAnsi="AvantGarde Bk BT" w:cs="Arial"/>
          <w:color w:val="000000" w:themeColor="text1"/>
          <w:sz w:val="24"/>
          <w:szCs w:val="24"/>
        </w:rPr>
        <w:t>4</w:t>
      </w:r>
      <w:r w:rsidR="0010744D">
        <w:rPr>
          <w:rFonts w:ascii="AvantGarde Bk BT" w:hAnsi="AvantGarde Bk BT" w:cs="Arial"/>
          <w:color w:val="000000" w:themeColor="text1"/>
          <w:sz w:val="24"/>
          <w:szCs w:val="24"/>
        </w:rPr>
        <w:t xml:space="preserve"> </w:t>
      </w:r>
      <w:r w:rsidR="00A30C39">
        <w:rPr>
          <w:rFonts w:ascii="AvantGarde Bk BT" w:hAnsi="AvantGarde Bk BT" w:cs="Arial"/>
          <w:color w:val="000000" w:themeColor="text1"/>
          <w:sz w:val="24"/>
          <w:szCs w:val="24"/>
        </w:rPr>
        <w:t xml:space="preserve">cuatro </w:t>
      </w:r>
      <w:r w:rsidRPr="00770DB4">
        <w:rPr>
          <w:rFonts w:ascii="AvantGarde Bk BT" w:hAnsi="AvantGarde Bk BT" w:cs="Arial"/>
          <w:sz w:val="24"/>
          <w:szCs w:val="24"/>
        </w:rPr>
        <w:t xml:space="preserve">de </w:t>
      </w:r>
      <w:r w:rsidR="00A70DD5">
        <w:rPr>
          <w:rFonts w:ascii="AvantGarde Bk BT" w:hAnsi="AvantGarde Bk BT" w:cs="Arial"/>
          <w:sz w:val="24"/>
          <w:szCs w:val="24"/>
        </w:rPr>
        <w:t xml:space="preserve">noviembre </w:t>
      </w:r>
      <w:r>
        <w:rPr>
          <w:rFonts w:ascii="AvantGarde Bk BT" w:hAnsi="AvantGarde Bk BT" w:cs="Arial"/>
          <w:color w:val="000000" w:themeColor="text1"/>
          <w:sz w:val="24"/>
          <w:szCs w:val="24"/>
        </w:rPr>
        <w:t>de 2019 dos mil diecinueve 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257A2C7F"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426506">
        <w:rPr>
          <w:rFonts w:ascii="AvantGarde Bk BT" w:hAnsi="AvantGarde Bk BT" w:cs="Arial"/>
          <w:color w:val="000000" w:themeColor="text1"/>
          <w:sz w:val="24"/>
          <w:szCs w:val="24"/>
        </w:rPr>
        <w:t>2</w:t>
      </w:r>
      <w:r w:rsidR="00FA5FEB">
        <w:rPr>
          <w:rFonts w:ascii="AvantGarde Bk BT" w:hAnsi="AvantGarde Bk BT" w:cs="Arial"/>
          <w:color w:val="000000" w:themeColor="text1"/>
          <w:sz w:val="24"/>
          <w:szCs w:val="24"/>
        </w:rPr>
        <w:t>1</w:t>
      </w:r>
      <w:r w:rsidR="00426506">
        <w:rPr>
          <w:rFonts w:ascii="AvantGarde Bk BT" w:hAnsi="AvantGarde Bk BT" w:cs="Arial"/>
          <w:color w:val="000000" w:themeColor="text1"/>
          <w:sz w:val="24"/>
          <w:szCs w:val="24"/>
        </w:rPr>
        <w:t xml:space="preserve"> </w:t>
      </w:r>
      <w:r w:rsidR="0010744D">
        <w:rPr>
          <w:rFonts w:ascii="AvantGarde Bk BT" w:hAnsi="AvantGarde Bk BT" w:cs="Arial"/>
          <w:color w:val="000000" w:themeColor="text1"/>
          <w:sz w:val="24"/>
          <w:szCs w:val="24"/>
        </w:rPr>
        <w:t>veinti</w:t>
      </w:r>
      <w:r w:rsidR="00FA5FEB">
        <w:rPr>
          <w:rFonts w:ascii="AvantGarde Bk BT" w:hAnsi="AvantGarde Bk BT" w:cs="Arial"/>
          <w:color w:val="000000" w:themeColor="text1"/>
          <w:sz w:val="24"/>
          <w:szCs w:val="24"/>
        </w:rPr>
        <w:t xml:space="preserve">uno </w:t>
      </w:r>
      <w:r w:rsidR="00E62B9A">
        <w:rPr>
          <w:rFonts w:ascii="AvantGarde Bk BT" w:hAnsi="AvantGarde Bk BT" w:cs="Arial"/>
          <w:color w:val="000000" w:themeColor="text1"/>
          <w:sz w:val="24"/>
          <w:szCs w:val="24"/>
        </w:rPr>
        <w:t>de</w:t>
      </w:r>
      <w:r>
        <w:rPr>
          <w:rFonts w:ascii="AvantGarde Bk BT" w:hAnsi="AvantGarde Bk BT" w:cs="Arial"/>
          <w:color w:val="000000" w:themeColor="text1"/>
          <w:sz w:val="24"/>
          <w:szCs w:val="24"/>
        </w:rPr>
        <w:t xml:space="preserve"> </w:t>
      </w:r>
      <w:r w:rsidR="00426506">
        <w:rPr>
          <w:rFonts w:ascii="AvantGarde Bk BT" w:hAnsi="AvantGarde Bk BT" w:cs="Arial"/>
          <w:color w:val="000000" w:themeColor="text1"/>
          <w:sz w:val="24"/>
          <w:szCs w:val="24"/>
        </w:rPr>
        <w:t>novi</w:t>
      </w:r>
      <w:r w:rsidR="003D7763">
        <w:rPr>
          <w:rFonts w:ascii="AvantGarde Bk BT" w:hAnsi="AvantGarde Bk BT" w:cs="Arial"/>
          <w:color w:val="000000" w:themeColor="text1"/>
          <w:sz w:val="24"/>
          <w:szCs w:val="24"/>
        </w:rPr>
        <w:t xml:space="preserve">embre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5C6A87E5"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10744D">
        <w:rPr>
          <w:rFonts w:ascii="AvantGarde Bk BT" w:hAnsi="AvantGarde Bk BT" w:cs="Arial"/>
          <w:color w:val="000000" w:themeColor="text1"/>
          <w:sz w:val="24"/>
          <w:szCs w:val="24"/>
        </w:rPr>
        <w:t>05 cinco</w:t>
      </w:r>
      <w:r w:rsidR="00A96DDF">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A70DD5">
        <w:rPr>
          <w:rFonts w:ascii="AvantGarde Bk BT" w:hAnsi="AvantGarde Bk BT" w:cs="Arial"/>
          <w:color w:val="000000" w:themeColor="text1"/>
          <w:sz w:val="24"/>
          <w:szCs w:val="24"/>
        </w:rPr>
        <w:t>dici</w:t>
      </w:r>
      <w:r w:rsidR="007358CF">
        <w:rPr>
          <w:rFonts w:ascii="AvantGarde Bk BT" w:hAnsi="AvantGarde Bk BT" w:cs="Arial"/>
          <w:color w:val="000000" w:themeColor="text1"/>
          <w:sz w:val="24"/>
          <w:szCs w:val="24"/>
        </w:rPr>
        <w:t xml:space="preserve">embre </w:t>
      </w:r>
      <w:r>
        <w:rPr>
          <w:rFonts w:ascii="AvantGarde Bk BT" w:hAnsi="AvantGarde Bk BT" w:cs="Arial"/>
          <w:color w:val="000000" w:themeColor="text1"/>
          <w:sz w:val="24"/>
          <w:szCs w:val="24"/>
        </w:rPr>
        <w:t>de 20</w:t>
      </w:r>
      <w:r w:rsidR="007358CF">
        <w:rPr>
          <w:rFonts w:ascii="AvantGarde Bk BT" w:hAnsi="AvantGarde Bk BT" w:cs="Arial"/>
          <w:color w:val="000000" w:themeColor="text1"/>
          <w:sz w:val="24"/>
          <w:szCs w:val="24"/>
        </w:rPr>
        <w:t>19</w:t>
      </w:r>
      <w:r>
        <w:rPr>
          <w:rFonts w:ascii="AvantGarde Bk BT" w:hAnsi="AvantGarde Bk BT" w:cs="Arial"/>
          <w:color w:val="000000" w:themeColor="text1"/>
          <w:sz w:val="24"/>
          <w:szCs w:val="24"/>
        </w:rPr>
        <w:t xml:space="preserve"> dos mil</w:t>
      </w:r>
      <w:r w:rsidR="007358CF">
        <w:rPr>
          <w:rFonts w:ascii="AvantGarde Bk BT" w:hAnsi="AvantGarde Bk BT" w:cs="Arial"/>
          <w:color w:val="000000" w:themeColor="text1"/>
          <w:sz w:val="24"/>
          <w:szCs w:val="24"/>
        </w:rPr>
        <w:t xml:space="preserve"> diecinueve</w:t>
      </w:r>
      <w:r w:rsidR="003D7763">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la presidencia de esta Comisión de Transparencia tuvo por recibido el recurso de revisión, que por razón de turno, tocó conocer a la ponencia </w:t>
      </w:r>
      <w:r w:rsidRPr="007C5605">
        <w:rPr>
          <w:rFonts w:ascii="AvantGarde Bk BT" w:hAnsi="AvantGarde Bk BT" w:cs="Arial"/>
          <w:color w:val="000000" w:themeColor="text1"/>
          <w:sz w:val="24"/>
          <w:szCs w:val="24"/>
        </w:rPr>
        <w:lastRenderedPageBreak/>
        <w:t>del</w:t>
      </w:r>
      <w:r w:rsidR="003D7763">
        <w:rPr>
          <w:rFonts w:ascii="AvantGarde Bk BT" w:hAnsi="AvantGarde Bk BT" w:cs="Arial"/>
          <w:color w:val="000000" w:themeColor="text1"/>
          <w:sz w:val="24"/>
          <w:szCs w:val="24"/>
        </w:rPr>
        <w:t xml:space="preserve"> </w:t>
      </w:r>
      <w:r w:rsidR="00444846" w:rsidRPr="00444846">
        <w:rPr>
          <w:rFonts w:ascii="AvantGarde Bk BT" w:hAnsi="AvantGarde Bk BT" w:cs="Arial"/>
          <w:color w:val="000000" w:themeColor="text1"/>
          <w:sz w:val="24"/>
          <w:szCs w:val="24"/>
        </w:rPr>
        <w:t>MAESTRO ALEJANDRO LAFUENTE TORRES</w:t>
      </w:r>
      <w:r w:rsidR="00444846">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para que procediera, previo su análisis, a su admisión o desechamiento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2D33532B"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E62B9A">
        <w:rPr>
          <w:rFonts w:ascii="AvantGarde Bk BT" w:hAnsi="AvantGarde Bk BT" w:cs="Arial"/>
          <w:color w:val="000000" w:themeColor="text1"/>
          <w:sz w:val="24"/>
          <w:szCs w:val="24"/>
        </w:rPr>
        <w:t>1</w:t>
      </w:r>
      <w:r w:rsidR="00A70DD5">
        <w:rPr>
          <w:rFonts w:ascii="AvantGarde Bk BT" w:hAnsi="AvantGarde Bk BT" w:cs="Arial"/>
          <w:color w:val="000000" w:themeColor="text1"/>
          <w:sz w:val="24"/>
          <w:szCs w:val="24"/>
        </w:rPr>
        <w:t>7</w:t>
      </w:r>
      <w:r w:rsidR="00E62B9A">
        <w:rPr>
          <w:rFonts w:ascii="AvantGarde Bk BT" w:hAnsi="AvantGarde Bk BT" w:cs="Arial"/>
          <w:color w:val="000000" w:themeColor="text1"/>
          <w:sz w:val="24"/>
          <w:szCs w:val="24"/>
        </w:rPr>
        <w:t xml:space="preserve"> </w:t>
      </w:r>
      <w:r w:rsidR="00A70DD5">
        <w:rPr>
          <w:rFonts w:ascii="AvantGarde Bk BT" w:hAnsi="AvantGarde Bk BT" w:cs="Arial"/>
          <w:color w:val="000000" w:themeColor="text1"/>
          <w:sz w:val="24"/>
          <w:szCs w:val="24"/>
        </w:rPr>
        <w:t xml:space="preserve">diecisiete </w:t>
      </w:r>
      <w:r>
        <w:rPr>
          <w:rFonts w:ascii="AvantGarde Bk BT" w:hAnsi="AvantGarde Bk BT" w:cs="Arial"/>
          <w:color w:val="000000" w:themeColor="text1"/>
          <w:sz w:val="24"/>
          <w:szCs w:val="24"/>
        </w:rPr>
        <w:t xml:space="preserve">de </w:t>
      </w:r>
      <w:r w:rsidR="00E62B9A">
        <w:rPr>
          <w:rFonts w:ascii="AvantGarde Bk BT" w:hAnsi="AvantGarde Bk BT" w:cs="Arial"/>
          <w:color w:val="000000" w:themeColor="text1"/>
          <w:sz w:val="24"/>
          <w:szCs w:val="24"/>
        </w:rPr>
        <w:t xml:space="preserve">diciembre </w:t>
      </w:r>
      <w:r>
        <w:rPr>
          <w:rFonts w:ascii="AvantGarde Bk BT" w:hAnsi="AvantGarde Bk BT" w:cs="Arial"/>
          <w:color w:val="000000" w:themeColor="text1"/>
          <w:sz w:val="24"/>
          <w:szCs w:val="24"/>
        </w:rPr>
        <w:t>de 20</w:t>
      </w:r>
      <w:r w:rsidR="00E62B9A">
        <w:rPr>
          <w:rFonts w:ascii="AvantGarde Bk BT" w:hAnsi="AvantGarde Bk BT" w:cs="Arial"/>
          <w:color w:val="000000" w:themeColor="text1"/>
          <w:sz w:val="24"/>
          <w:szCs w:val="24"/>
        </w:rPr>
        <w:t>19</w:t>
      </w:r>
      <w:r>
        <w:rPr>
          <w:rFonts w:ascii="AvantGarde Bk BT" w:hAnsi="AvantGarde Bk BT" w:cs="Arial"/>
          <w:color w:val="000000" w:themeColor="text1"/>
          <w:sz w:val="24"/>
          <w:szCs w:val="24"/>
        </w:rPr>
        <w:t xml:space="preserve"> dos mil </w:t>
      </w:r>
      <w:r w:rsidR="00E62B9A">
        <w:rPr>
          <w:rFonts w:ascii="AvantGarde Bk BT" w:hAnsi="AvantGarde Bk BT" w:cs="Arial"/>
          <w:color w:val="000000" w:themeColor="text1"/>
          <w:sz w:val="24"/>
          <w:szCs w:val="24"/>
        </w:rPr>
        <w:t>diecinueve</w:t>
      </w:r>
      <w:r w:rsidR="003D7763">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1CE58EF6"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322899">
        <w:rPr>
          <w:rFonts w:ascii="AvantGarde Bk BT" w:hAnsi="AvantGarde Bk BT" w:cs="Arial"/>
          <w:color w:val="000000" w:themeColor="text1"/>
          <w:sz w:val="24"/>
          <w:szCs w:val="24"/>
        </w:rPr>
        <w:t xml:space="preserve">V </w:t>
      </w:r>
      <w:r>
        <w:rPr>
          <w:rFonts w:ascii="AvantGarde Bk BT" w:hAnsi="AvantGarde Bk BT" w:cs="Arial"/>
          <w:color w:val="000000" w:themeColor="text1"/>
          <w:sz w:val="24"/>
          <w:szCs w:val="24"/>
        </w:rPr>
        <w:t>del artículo 167, de la Ley de la materia.</w:t>
      </w:r>
    </w:p>
    <w:p w14:paraId="00D6F064" w14:textId="38AABCAC"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A70DD5">
        <w:rPr>
          <w:rFonts w:ascii="AvantGarde Bk BT" w:hAnsi="AvantGarde Bk BT" w:cs="Arial"/>
          <w:b/>
          <w:color w:val="000000" w:themeColor="text1"/>
          <w:sz w:val="24"/>
          <w:szCs w:val="24"/>
        </w:rPr>
        <w:t>2</w:t>
      </w:r>
      <w:r w:rsidR="0042058B">
        <w:rPr>
          <w:rFonts w:ascii="AvantGarde Bk BT" w:hAnsi="AvantGarde Bk BT" w:cs="Arial"/>
          <w:b/>
          <w:color w:val="000000" w:themeColor="text1"/>
          <w:sz w:val="24"/>
          <w:szCs w:val="24"/>
        </w:rPr>
        <w:t>7</w:t>
      </w:r>
      <w:r w:rsidR="00B22A0B">
        <w:rPr>
          <w:rFonts w:ascii="AvantGarde Bk BT" w:hAnsi="AvantGarde Bk BT" w:cs="Arial"/>
          <w:b/>
          <w:color w:val="000000" w:themeColor="text1"/>
          <w:sz w:val="24"/>
          <w:szCs w:val="24"/>
        </w:rPr>
        <w:t>7</w:t>
      </w:r>
      <w:r w:rsidR="00C36886">
        <w:rPr>
          <w:rFonts w:ascii="AvantGarde Bk BT" w:hAnsi="AvantGarde Bk BT" w:cs="Arial"/>
          <w:b/>
          <w:color w:val="000000" w:themeColor="text1"/>
          <w:sz w:val="24"/>
          <w:szCs w:val="24"/>
        </w:rPr>
        <w:t>5</w:t>
      </w:r>
      <w:r>
        <w:rPr>
          <w:rFonts w:ascii="AvantGarde Bk BT" w:hAnsi="AvantGarde Bk BT" w:cs="Arial"/>
          <w:b/>
          <w:color w:val="000000" w:themeColor="text1"/>
          <w:sz w:val="24"/>
          <w:szCs w:val="24"/>
        </w:rPr>
        <w:t>/20</w:t>
      </w:r>
      <w:r w:rsidR="007358CF">
        <w:rPr>
          <w:rFonts w:ascii="AvantGarde Bk BT" w:hAnsi="AvantGarde Bk BT" w:cs="Arial"/>
          <w:b/>
          <w:color w:val="000000" w:themeColor="text1"/>
          <w:sz w:val="24"/>
          <w:szCs w:val="24"/>
        </w:rPr>
        <w:t>19</w:t>
      </w:r>
      <w:r>
        <w:rPr>
          <w:rFonts w:ascii="AvantGarde Bk BT" w:hAnsi="AvantGarde Bk BT" w:cs="Arial"/>
          <w:b/>
          <w:color w:val="000000" w:themeColor="text1"/>
          <w:sz w:val="24"/>
          <w:szCs w:val="24"/>
        </w:rPr>
        <w:t>-1</w:t>
      </w:r>
      <w:r w:rsidR="00E62B9A">
        <w:rPr>
          <w:rFonts w:ascii="AvantGarde Bk BT" w:hAnsi="AvantGarde Bk BT" w:cs="Arial"/>
          <w:b/>
          <w:color w:val="000000" w:themeColor="text1"/>
          <w:sz w:val="24"/>
          <w:szCs w:val="24"/>
        </w:rPr>
        <w:t xml:space="preserve"> SICOM</w:t>
      </w:r>
      <w:r w:rsidRPr="00BF7B76">
        <w:rPr>
          <w:rFonts w:ascii="AvantGarde Bk BT" w:hAnsi="AvantGarde Bk BT" w:cs="Arial"/>
          <w:b/>
          <w:color w:val="000000" w:themeColor="text1"/>
          <w:sz w:val="24"/>
          <w:szCs w:val="24"/>
        </w:rPr>
        <w:t>.</w:t>
      </w:r>
    </w:p>
    <w:p w14:paraId="50D0D28A" w14:textId="6DACE005" w:rsidR="00946007" w:rsidRPr="00FB0B93" w:rsidRDefault="00946007" w:rsidP="00FB0B93">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sidR="00322899">
        <w:rPr>
          <w:rFonts w:ascii="AvantGarde Bk BT" w:hAnsi="AvantGarde Bk BT" w:cs="Arial"/>
          <w:color w:val="000000" w:themeColor="text1"/>
          <w:sz w:val="24"/>
          <w:szCs w:val="24"/>
        </w:rPr>
        <w:t xml:space="preserve">al </w:t>
      </w:r>
      <w:r w:rsidR="00322899" w:rsidRPr="00322899">
        <w:rPr>
          <w:rFonts w:ascii="AvantGarde Bk BT" w:hAnsi="AvantGarde Bk BT" w:cs="Arial"/>
          <w:b/>
          <w:color w:val="000000" w:themeColor="text1"/>
          <w:sz w:val="24"/>
          <w:szCs w:val="24"/>
        </w:rPr>
        <w:t>MUNICIPIO</w:t>
      </w:r>
      <w:r w:rsidR="00322899">
        <w:rPr>
          <w:rFonts w:ascii="AvantGarde Bk BT" w:hAnsi="AvantGarde Bk BT" w:cs="Arial"/>
          <w:color w:val="000000" w:themeColor="text1"/>
          <w:sz w:val="24"/>
          <w:szCs w:val="24"/>
        </w:rPr>
        <w:t xml:space="preserve"> </w:t>
      </w:r>
      <w:r w:rsidR="00FB0B93" w:rsidRPr="00FB0B93">
        <w:rPr>
          <w:rFonts w:ascii="AvantGarde Bk BT" w:hAnsi="AvantGarde Bk BT" w:cs="Arial"/>
          <w:b/>
          <w:color w:val="000000" w:themeColor="text1"/>
          <w:sz w:val="24"/>
          <w:szCs w:val="24"/>
        </w:rPr>
        <w:t xml:space="preserve">DE </w:t>
      </w:r>
      <w:r w:rsidR="00E62B9A">
        <w:rPr>
          <w:rFonts w:ascii="AvantGarde Bk BT" w:hAnsi="AvantGarde Bk BT" w:cs="Arial"/>
          <w:b/>
          <w:color w:val="000000" w:themeColor="text1"/>
          <w:sz w:val="24"/>
          <w:szCs w:val="24"/>
        </w:rPr>
        <w:t>SOLEDAD DE GRACIANO SANCHEZ</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B241A3C" w14:textId="64FED18E" w:rsidR="00946007" w:rsidRDefault="00946007" w:rsidP="00946007">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10744D">
        <w:rPr>
          <w:rFonts w:ascii="AvantGarde Bk BT" w:hAnsi="AvantGarde Bk BT" w:cs="Arial"/>
          <w:color w:val="000000" w:themeColor="text1"/>
          <w:sz w:val="24"/>
          <w:szCs w:val="24"/>
        </w:rPr>
        <w:t>28 veintiocho</w:t>
      </w:r>
      <w:r w:rsidR="00A70DD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7358CF">
        <w:rPr>
          <w:rFonts w:ascii="AvantGarde Bk BT" w:hAnsi="AvantGarde Bk BT" w:cs="Arial"/>
          <w:color w:val="000000" w:themeColor="text1"/>
          <w:sz w:val="24"/>
          <w:szCs w:val="24"/>
        </w:rPr>
        <w:t xml:space="preserve">enero </w:t>
      </w:r>
      <w:r>
        <w:rPr>
          <w:rFonts w:ascii="AvantGarde Bk BT" w:hAnsi="AvantGarde Bk BT" w:cs="Arial"/>
          <w:color w:val="000000" w:themeColor="text1"/>
          <w:sz w:val="24"/>
          <w:szCs w:val="24"/>
        </w:rPr>
        <w:t>de 20</w:t>
      </w:r>
      <w:r w:rsidR="009C7C84">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9C7C84">
        <w:rPr>
          <w:rFonts w:ascii="AvantGarde Bk BT" w:hAnsi="AvantGarde Bk BT" w:cs="Arial"/>
          <w:color w:val="000000" w:themeColor="text1"/>
          <w:sz w:val="24"/>
          <w:szCs w:val="24"/>
        </w:rPr>
        <w:t xml:space="preserve">veinte </w:t>
      </w:r>
      <w:r>
        <w:rPr>
          <w:rFonts w:ascii="AvantGarde Bk BT" w:hAnsi="AvantGarde Bk BT" w:cs="Arial"/>
          <w:color w:val="000000" w:themeColor="text1"/>
          <w:sz w:val="24"/>
          <w:szCs w:val="24"/>
        </w:rPr>
        <w:t>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19D12330" w14:textId="038434C6"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 </w:t>
      </w:r>
      <w:r w:rsidR="00E62B9A">
        <w:rPr>
          <w:rFonts w:ascii="AvantGarde Bk BT" w:hAnsi="AvantGarde Bk BT" w:cs="Arial"/>
          <w:color w:val="000000" w:themeColor="text1"/>
          <w:sz w:val="24"/>
          <w:szCs w:val="24"/>
        </w:rPr>
        <w:t>MSGS/UT/</w:t>
      </w:r>
      <w:r w:rsidR="00AF3516">
        <w:rPr>
          <w:rFonts w:ascii="AvantGarde Bk BT" w:hAnsi="AvantGarde Bk BT" w:cs="Arial"/>
          <w:color w:val="000000" w:themeColor="text1"/>
          <w:sz w:val="24"/>
          <w:szCs w:val="24"/>
        </w:rPr>
        <w:t>1</w:t>
      </w:r>
      <w:r w:rsidR="00B22A0B">
        <w:rPr>
          <w:rFonts w:ascii="AvantGarde Bk BT" w:hAnsi="AvantGarde Bk BT" w:cs="Arial"/>
          <w:color w:val="000000" w:themeColor="text1"/>
          <w:sz w:val="24"/>
          <w:szCs w:val="24"/>
        </w:rPr>
        <w:t>2</w:t>
      </w:r>
      <w:r w:rsidR="00C36886">
        <w:rPr>
          <w:rFonts w:ascii="AvantGarde Bk BT" w:hAnsi="AvantGarde Bk BT" w:cs="Arial"/>
          <w:color w:val="000000" w:themeColor="text1"/>
          <w:sz w:val="24"/>
          <w:szCs w:val="24"/>
        </w:rPr>
        <w:t>5</w:t>
      </w:r>
      <w:r w:rsidR="00E62B9A">
        <w:rPr>
          <w:rFonts w:ascii="AvantGarde Bk BT" w:hAnsi="AvantGarde Bk BT" w:cs="Arial"/>
          <w:color w:val="000000" w:themeColor="text1"/>
          <w:sz w:val="24"/>
          <w:szCs w:val="24"/>
        </w:rPr>
        <w:t>/</w:t>
      </w:r>
      <w:r w:rsidR="00C122A6">
        <w:rPr>
          <w:rFonts w:ascii="AvantGarde Bk BT" w:hAnsi="AvantGarde Bk BT" w:cs="Arial"/>
          <w:color w:val="000000" w:themeColor="text1"/>
          <w:sz w:val="24"/>
          <w:szCs w:val="24"/>
        </w:rPr>
        <w:t>01</w:t>
      </w:r>
      <w:r w:rsidR="00322899">
        <w:rPr>
          <w:rFonts w:ascii="AvantGarde Bk BT" w:hAnsi="AvantGarde Bk BT" w:cs="Arial"/>
          <w:color w:val="000000" w:themeColor="text1"/>
          <w:sz w:val="24"/>
          <w:szCs w:val="24"/>
        </w:rPr>
        <w:t>/</w:t>
      </w:r>
      <w:r w:rsidR="009C7C84">
        <w:rPr>
          <w:rFonts w:ascii="AvantGarde Bk BT" w:hAnsi="AvantGarde Bk BT" w:cs="Arial"/>
          <w:color w:val="000000" w:themeColor="text1"/>
          <w:sz w:val="24"/>
          <w:szCs w:val="24"/>
        </w:rPr>
        <w:t>20</w:t>
      </w:r>
      <w:r w:rsidR="00C122A6">
        <w:rPr>
          <w:rFonts w:ascii="AvantGarde Bk BT" w:hAnsi="AvantGarde Bk BT" w:cs="Arial"/>
          <w:color w:val="000000" w:themeColor="text1"/>
          <w:sz w:val="24"/>
          <w:szCs w:val="24"/>
        </w:rPr>
        <w:t>20</w:t>
      </w:r>
      <w:r w:rsidR="00742AFD">
        <w:rPr>
          <w:rFonts w:ascii="AvantGarde Bk BT" w:hAnsi="AvantGarde Bk BT" w:cs="Arial"/>
          <w:color w:val="000000" w:themeColor="text1"/>
          <w:sz w:val="24"/>
          <w:szCs w:val="24"/>
        </w:rPr>
        <w:t>,</w:t>
      </w:r>
      <w:r w:rsidRPr="000028AA">
        <w:rPr>
          <w:rFonts w:ascii="AvantGarde Bk BT" w:hAnsi="AvantGarde Bk BT" w:cs="Arial"/>
          <w:sz w:val="24"/>
          <w:szCs w:val="24"/>
        </w:rPr>
        <w:t xml:space="preserve"> signado por</w:t>
      </w:r>
      <w:r w:rsidR="00E62B9A">
        <w:rPr>
          <w:rFonts w:ascii="AvantGarde Bk BT" w:hAnsi="AvantGarde Bk BT" w:cs="Arial"/>
          <w:sz w:val="24"/>
          <w:szCs w:val="24"/>
        </w:rPr>
        <w:t xml:space="preserve"> el L.B. Juan Daniel Torres Noyola</w:t>
      </w:r>
      <w:r w:rsidR="00193E6A">
        <w:rPr>
          <w:rFonts w:ascii="AvantGarde Bk BT" w:hAnsi="AvantGarde Bk BT" w:cs="Arial"/>
          <w:sz w:val="24"/>
          <w:szCs w:val="24"/>
        </w:rPr>
        <w:t>,</w:t>
      </w:r>
      <w:r w:rsidRPr="000028AA">
        <w:rPr>
          <w:rFonts w:ascii="AvantGarde Bk BT" w:hAnsi="AvantGarde Bk BT" w:cs="Arial"/>
          <w:sz w:val="24"/>
          <w:szCs w:val="24"/>
        </w:rPr>
        <w:t xml:space="preserve"> </w:t>
      </w:r>
      <w:r w:rsidR="00E62B9A">
        <w:rPr>
          <w:rFonts w:ascii="AvantGarde Bk BT" w:hAnsi="AvantGarde Bk BT" w:cs="Arial"/>
          <w:sz w:val="24"/>
          <w:szCs w:val="24"/>
        </w:rPr>
        <w:t xml:space="preserve">Coordinador </w:t>
      </w:r>
      <w:r w:rsidR="00193E6A">
        <w:rPr>
          <w:rFonts w:ascii="AvantGarde Bk BT" w:hAnsi="AvantGarde Bk BT" w:cs="Arial"/>
          <w:sz w:val="24"/>
          <w:szCs w:val="24"/>
        </w:rPr>
        <w:t xml:space="preserve">de la Unidad de </w:t>
      </w:r>
      <w:r w:rsidRPr="000028AA">
        <w:rPr>
          <w:rFonts w:ascii="AvantGarde Bk BT" w:hAnsi="AvantGarde Bk BT" w:cs="Arial"/>
          <w:sz w:val="24"/>
          <w:szCs w:val="24"/>
        </w:rPr>
        <w:t>Transparencia del sujeto obligado,</w:t>
      </w:r>
      <w:r w:rsidR="000C0CFC">
        <w:rPr>
          <w:rFonts w:ascii="AvantGarde Bk BT" w:hAnsi="AvantGarde Bk BT" w:cs="Arial"/>
          <w:sz w:val="24"/>
          <w:szCs w:val="24"/>
        </w:rPr>
        <w:t xml:space="preserve"> acompañado de 0</w:t>
      </w:r>
      <w:r w:rsidR="00AF3516">
        <w:rPr>
          <w:rFonts w:ascii="AvantGarde Bk BT" w:hAnsi="AvantGarde Bk BT" w:cs="Arial"/>
          <w:sz w:val="24"/>
          <w:szCs w:val="24"/>
        </w:rPr>
        <w:t>2</w:t>
      </w:r>
      <w:r w:rsidR="000C0CFC">
        <w:rPr>
          <w:rFonts w:ascii="AvantGarde Bk BT" w:hAnsi="AvantGarde Bk BT" w:cs="Arial"/>
          <w:sz w:val="24"/>
          <w:szCs w:val="24"/>
        </w:rPr>
        <w:t xml:space="preserve"> </w:t>
      </w:r>
      <w:r w:rsidR="00AF3516">
        <w:rPr>
          <w:rFonts w:ascii="AvantGarde Bk BT" w:hAnsi="AvantGarde Bk BT" w:cs="Arial"/>
          <w:sz w:val="24"/>
          <w:szCs w:val="24"/>
        </w:rPr>
        <w:t xml:space="preserve">dos </w:t>
      </w:r>
      <w:r w:rsidR="000C0CFC">
        <w:rPr>
          <w:rFonts w:ascii="AvantGarde Bk BT" w:hAnsi="AvantGarde Bk BT" w:cs="Arial"/>
          <w:sz w:val="24"/>
          <w:szCs w:val="24"/>
        </w:rPr>
        <w:t>anexo</w:t>
      </w:r>
      <w:r w:rsidR="00AF3516">
        <w:rPr>
          <w:rFonts w:ascii="AvantGarde Bk BT" w:hAnsi="AvantGarde Bk BT" w:cs="Arial"/>
          <w:sz w:val="24"/>
          <w:szCs w:val="24"/>
        </w:rPr>
        <w:t>s</w:t>
      </w:r>
      <w:r w:rsidR="000C0CFC">
        <w:rPr>
          <w:rFonts w:ascii="AvantGarde Bk BT" w:hAnsi="AvantGarde Bk BT" w:cs="Arial"/>
          <w:sz w:val="24"/>
          <w:szCs w:val="24"/>
        </w:rPr>
        <w:t>,</w:t>
      </w:r>
      <w:r w:rsidRPr="000028AA">
        <w:rPr>
          <w:rFonts w:ascii="AvantGarde Bk BT" w:hAnsi="AvantGarde Bk BT" w:cs="Arial"/>
          <w:sz w:val="24"/>
          <w:szCs w:val="24"/>
        </w:rPr>
        <w:t xml:space="preserve"> recibido en este organismo el </w:t>
      </w:r>
      <w:r w:rsidR="0010744D">
        <w:rPr>
          <w:rFonts w:ascii="AvantGarde Bk BT" w:hAnsi="AvantGarde Bk BT" w:cs="Arial"/>
          <w:sz w:val="24"/>
          <w:szCs w:val="24"/>
        </w:rPr>
        <w:t>16 dieciséis</w:t>
      </w:r>
      <w:r w:rsidR="00A70DD5">
        <w:rPr>
          <w:rFonts w:ascii="AvantGarde Bk BT" w:hAnsi="AvantGarde Bk BT" w:cs="Arial"/>
          <w:sz w:val="24"/>
          <w:szCs w:val="24"/>
        </w:rPr>
        <w:t xml:space="preserve"> </w:t>
      </w:r>
      <w:r w:rsidRPr="000028AA">
        <w:rPr>
          <w:rFonts w:ascii="AvantGarde Bk BT" w:hAnsi="AvantGarde Bk BT" w:cs="Arial"/>
          <w:sz w:val="24"/>
          <w:szCs w:val="24"/>
        </w:rPr>
        <w:t xml:space="preserve">de </w:t>
      </w:r>
      <w:r w:rsidR="007358CF">
        <w:rPr>
          <w:rFonts w:ascii="AvantGarde Bk BT" w:hAnsi="AvantGarde Bk BT" w:cs="Arial"/>
          <w:sz w:val="24"/>
          <w:szCs w:val="24"/>
        </w:rPr>
        <w:t xml:space="preserve">enero </w:t>
      </w:r>
      <w:r w:rsidRPr="000028AA">
        <w:rPr>
          <w:rFonts w:ascii="AvantGarde Bk BT" w:hAnsi="AvantGarde Bk BT" w:cs="Arial"/>
          <w:sz w:val="24"/>
          <w:szCs w:val="24"/>
        </w:rPr>
        <w:t>de 20</w:t>
      </w:r>
      <w:r w:rsidR="009C7C84">
        <w:rPr>
          <w:rFonts w:ascii="AvantGarde Bk BT" w:hAnsi="AvantGarde Bk BT" w:cs="Arial"/>
          <w:sz w:val="24"/>
          <w:szCs w:val="24"/>
        </w:rPr>
        <w:t>20</w:t>
      </w:r>
      <w:r w:rsidRPr="000028AA">
        <w:rPr>
          <w:rFonts w:ascii="AvantGarde Bk BT" w:hAnsi="AvantGarde Bk BT" w:cs="Arial"/>
          <w:sz w:val="24"/>
          <w:szCs w:val="24"/>
        </w:rPr>
        <w:t xml:space="preserve"> dos mil </w:t>
      </w:r>
      <w:r w:rsidR="009C7C84">
        <w:rPr>
          <w:rFonts w:ascii="AvantGarde Bk BT" w:hAnsi="AvantGarde Bk BT" w:cs="Arial"/>
          <w:sz w:val="24"/>
          <w:szCs w:val="24"/>
        </w:rPr>
        <w:t>veinte</w:t>
      </w:r>
      <w:r w:rsidRPr="000028AA">
        <w:rPr>
          <w:rFonts w:ascii="AvantGarde Bk BT" w:hAnsi="AvantGarde Bk BT" w:cs="Arial"/>
          <w:sz w:val="24"/>
          <w:szCs w:val="24"/>
        </w:rPr>
        <w:t>.</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2E3632B7"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70446A79"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Se le tiene por ofrecidas las pruebas y manifestando lo que a su derecho convenga.</w:t>
      </w:r>
    </w:p>
    <w:p w14:paraId="0BB5958D"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503703C9" w14:textId="77777777" w:rsidR="00946007" w:rsidRPr="004A708B" w:rsidRDefault="00946007" w:rsidP="00946007">
      <w:pPr>
        <w:pStyle w:val="corte4fondo"/>
        <w:tabs>
          <w:tab w:val="left" w:pos="567"/>
        </w:tabs>
        <w:ind w:left="1040" w:firstLine="0"/>
        <w:rPr>
          <w:rFonts w:ascii="AvantGarde Bk BT" w:hAnsi="AvantGarde Bk BT" w:cs="Arial"/>
          <w:color w:val="FF0000"/>
          <w:sz w:val="24"/>
          <w:szCs w:val="24"/>
        </w:rPr>
      </w:pPr>
    </w:p>
    <w:p w14:paraId="69990D6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700C1434"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2B7561" w:rsidRDefault="00946007" w:rsidP="00946007">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3A5B76FD" w14:textId="7111892C"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El </w:t>
      </w:r>
      <w:r w:rsidR="0010744D">
        <w:rPr>
          <w:rFonts w:ascii="AvantGarde Bk BT" w:hAnsi="AvantGarde Bk BT" w:cs="Arial"/>
          <w:sz w:val="24"/>
          <w:szCs w:val="24"/>
        </w:rPr>
        <w:t>0</w:t>
      </w:r>
      <w:r w:rsidR="00A30C39">
        <w:rPr>
          <w:rFonts w:ascii="AvantGarde Bk BT" w:hAnsi="AvantGarde Bk BT" w:cs="Arial"/>
          <w:sz w:val="24"/>
          <w:szCs w:val="24"/>
        </w:rPr>
        <w:t xml:space="preserve">4 cuatro </w:t>
      </w:r>
      <w:r w:rsidRPr="00E965A2">
        <w:rPr>
          <w:rFonts w:ascii="AvantGarde Bk BT" w:hAnsi="AvantGarde Bk BT" w:cs="Arial"/>
          <w:sz w:val="24"/>
          <w:szCs w:val="24"/>
        </w:rPr>
        <w:t xml:space="preserve">de </w:t>
      </w:r>
      <w:r w:rsidR="00A70DD5">
        <w:rPr>
          <w:rFonts w:ascii="AvantGarde Bk BT" w:hAnsi="AvantGarde Bk BT" w:cs="Arial"/>
          <w:sz w:val="24"/>
          <w:szCs w:val="24"/>
        </w:rPr>
        <w:t>noviem</w:t>
      </w:r>
      <w:r w:rsidR="009C7C84">
        <w:rPr>
          <w:rFonts w:ascii="AvantGarde Bk BT" w:hAnsi="AvantGarde Bk BT" w:cs="Arial"/>
          <w:sz w:val="24"/>
          <w:szCs w:val="24"/>
        </w:rPr>
        <w:t xml:space="preserve">bre </w:t>
      </w:r>
      <w:r w:rsidRPr="00E965A2">
        <w:rPr>
          <w:rFonts w:ascii="AvantGarde Bk BT" w:hAnsi="AvantGarde Bk BT" w:cs="Arial"/>
          <w:sz w:val="24"/>
          <w:szCs w:val="24"/>
        </w:rPr>
        <w:t xml:space="preserve">de 2019 dos mil diecinueve el solicitante de la información fue notificado de la respuesta a su solicitud de información. </w:t>
      </w:r>
    </w:p>
    <w:p w14:paraId="61F09157" w14:textId="4603D814"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Así, los quince días hábiles para interponer el recurso de revisión transcurrieron del </w:t>
      </w:r>
      <w:r w:rsidR="0010744D">
        <w:rPr>
          <w:rFonts w:ascii="AvantGarde Bk BT" w:hAnsi="AvantGarde Bk BT" w:cs="Arial"/>
          <w:sz w:val="24"/>
          <w:szCs w:val="24"/>
        </w:rPr>
        <w:t>0</w:t>
      </w:r>
      <w:r w:rsidR="00A30C39">
        <w:rPr>
          <w:rFonts w:ascii="AvantGarde Bk BT" w:hAnsi="AvantGarde Bk BT" w:cs="Arial"/>
          <w:sz w:val="24"/>
          <w:szCs w:val="24"/>
        </w:rPr>
        <w:t>5</w:t>
      </w:r>
      <w:r w:rsidR="0010744D">
        <w:rPr>
          <w:rFonts w:ascii="AvantGarde Bk BT" w:hAnsi="AvantGarde Bk BT" w:cs="Arial"/>
          <w:sz w:val="24"/>
          <w:szCs w:val="24"/>
        </w:rPr>
        <w:t xml:space="preserve"> </w:t>
      </w:r>
      <w:r w:rsidR="00A30C39">
        <w:rPr>
          <w:rFonts w:ascii="AvantGarde Bk BT" w:hAnsi="AvantGarde Bk BT" w:cs="Arial"/>
          <w:sz w:val="24"/>
          <w:szCs w:val="24"/>
        </w:rPr>
        <w:t xml:space="preserve">cinco </w:t>
      </w:r>
      <w:r w:rsidRPr="00E965A2">
        <w:rPr>
          <w:rFonts w:ascii="AvantGarde Bk BT" w:hAnsi="AvantGarde Bk BT" w:cs="Arial"/>
          <w:sz w:val="24"/>
          <w:szCs w:val="24"/>
        </w:rPr>
        <w:t xml:space="preserve">de </w:t>
      </w:r>
      <w:r w:rsidR="00A70DD5">
        <w:rPr>
          <w:rFonts w:ascii="AvantGarde Bk BT" w:hAnsi="AvantGarde Bk BT" w:cs="Arial"/>
          <w:sz w:val="24"/>
          <w:szCs w:val="24"/>
        </w:rPr>
        <w:t>noviem</w:t>
      </w:r>
      <w:r w:rsidR="00BB7A7A">
        <w:rPr>
          <w:rFonts w:ascii="AvantGarde Bk BT" w:hAnsi="AvantGarde Bk BT" w:cs="Arial"/>
          <w:sz w:val="24"/>
          <w:szCs w:val="24"/>
        </w:rPr>
        <w:t xml:space="preserve">bre </w:t>
      </w:r>
      <w:r w:rsidR="00ED5D62">
        <w:rPr>
          <w:rFonts w:ascii="AvantGarde Bk BT" w:hAnsi="AvantGarde Bk BT" w:cs="Arial"/>
          <w:sz w:val="24"/>
          <w:szCs w:val="24"/>
        </w:rPr>
        <w:t xml:space="preserve">del 2019 dos mil diecinueve </w:t>
      </w:r>
      <w:r w:rsidRPr="00E965A2">
        <w:rPr>
          <w:rFonts w:ascii="AvantGarde Bk BT" w:hAnsi="AvantGarde Bk BT" w:cs="Arial"/>
          <w:sz w:val="24"/>
          <w:szCs w:val="24"/>
        </w:rPr>
        <w:t xml:space="preserve">al </w:t>
      </w:r>
      <w:r w:rsidR="0010744D">
        <w:rPr>
          <w:rFonts w:ascii="AvantGarde Bk BT" w:hAnsi="AvantGarde Bk BT" w:cs="Arial"/>
          <w:sz w:val="24"/>
          <w:szCs w:val="24"/>
        </w:rPr>
        <w:t>2</w:t>
      </w:r>
      <w:r w:rsidR="00A30C39">
        <w:rPr>
          <w:rFonts w:ascii="AvantGarde Bk BT" w:hAnsi="AvantGarde Bk BT" w:cs="Arial"/>
          <w:sz w:val="24"/>
          <w:szCs w:val="24"/>
        </w:rPr>
        <w:t>6</w:t>
      </w:r>
      <w:r w:rsidR="0010744D">
        <w:rPr>
          <w:rFonts w:ascii="AvantGarde Bk BT" w:hAnsi="AvantGarde Bk BT" w:cs="Arial"/>
          <w:sz w:val="24"/>
          <w:szCs w:val="24"/>
        </w:rPr>
        <w:t xml:space="preserve"> </w:t>
      </w:r>
      <w:r w:rsidR="00A30C39">
        <w:rPr>
          <w:rFonts w:ascii="AvantGarde Bk BT" w:hAnsi="AvantGarde Bk BT" w:cs="Arial"/>
          <w:sz w:val="24"/>
          <w:szCs w:val="24"/>
        </w:rPr>
        <w:t xml:space="preserve">veintiséis </w:t>
      </w:r>
      <w:r w:rsidRPr="00E965A2">
        <w:rPr>
          <w:rFonts w:ascii="AvantGarde Bk BT" w:hAnsi="AvantGarde Bk BT" w:cs="Arial"/>
          <w:sz w:val="24"/>
          <w:szCs w:val="24"/>
        </w:rPr>
        <w:t xml:space="preserve">de </w:t>
      </w:r>
      <w:r w:rsidR="0010744D">
        <w:rPr>
          <w:rFonts w:ascii="AvantGarde Bk BT" w:hAnsi="AvantGarde Bk BT" w:cs="Arial"/>
          <w:sz w:val="24"/>
          <w:szCs w:val="24"/>
        </w:rPr>
        <w:t>nov</w:t>
      </w:r>
      <w:r w:rsidR="00A70DD5">
        <w:rPr>
          <w:rFonts w:ascii="AvantGarde Bk BT" w:hAnsi="AvantGarde Bk BT" w:cs="Arial"/>
          <w:sz w:val="24"/>
          <w:szCs w:val="24"/>
        </w:rPr>
        <w:t>i</w:t>
      </w:r>
      <w:r w:rsidR="00A76667">
        <w:rPr>
          <w:rFonts w:ascii="AvantGarde Bk BT" w:hAnsi="AvantGarde Bk BT" w:cs="Arial"/>
          <w:sz w:val="24"/>
          <w:szCs w:val="24"/>
        </w:rPr>
        <w:t xml:space="preserve">embre </w:t>
      </w:r>
      <w:r w:rsidRPr="00E965A2">
        <w:rPr>
          <w:rFonts w:ascii="AvantGarde Bk BT" w:hAnsi="AvantGarde Bk BT" w:cs="Arial"/>
          <w:sz w:val="24"/>
          <w:szCs w:val="24"/>
        </w:rPr>
        <w:t>de 20</w:t>
      </w:r>
      <w:r w:rsidR="00A76667">
        <w:rPr>
          <w:rFonts w:ascii="AvantGarde Bk BT" w:hAnsi="AvantGarde Bk BT" w:cs="Arial"/>
          <w:sz w:val="24"/>
          <w:szCs w:val="24"/>
        </w:rPr>
        <w:t>19</w:t>
      </w:r>
      <w:r w:rsidRPr="00E965A2">
        <w:rPr>
          <w:rFonts w:ascii="AvantGarde Bk BT" w:hAnsi="AvantGarde Bk BT" w:cs="Arial"/>
          <w:sz w:val="24"/>
          <w:szCs w:val="24"/>
        </w:rPr>
        <w:t xml:space="preserve"> dos mil</w:t>
      </w:r>
      <w:r w:rsidR="003622F2">
        <w:rPr>
          <w:rFonts w:ascii="AvantGarde Bk BT" w:hAnsi="AvantGarde Bk BT" w:cs="Arial"/>
          <w:sz w:val="24"/>
          <w:szCs w:val="24"/>
        </w:rPr>
        <w:t xml:space="preserve"> </w:t>
      </w:r>
      <w:r w:rsidR="00A76667">
        <w:rPr>
          <w:rFonts w:ascii="AvantGarde Bk BT" w:hAnsi="AvantGarde Bk BT" w:cs="Arial"/>
          <w:sz w:val="24"/>
          <w:szCs w:val="24"/>
        </w:rPr>
        <w:t>diecinueve</w:t>
      </w:r>
      <w:r w:rsidR="0067302F">
        <w:rPr>
          <w:rFonts w:ascii="AvantGarde Bk BT" w:hAnsi="AvantGarde Bk BT" w:cs="Arial"/>
          <w:sz w:val="24"/>
          <w:szCs w:val="24"/>
        </w:rPr>
        <w:t xml:space="preserve">, </w:t>
      </w:r>
      <w:bookmarkStart w:id="1" w:name="_Hlk50392214"/>
      <w:r w:rsidR="0067302F">
        <w:rPr>
          <w:rFonts w:ascii="AvantGarde Bk BT" w:hAnsi="AvantGarde Bk BT" w:cs="Arial"/>
          <w:sz w:val="24"/>
          <w:szCs w:val="24"/>
        </w:rPr>
        <w:t>descontan</w:t>
      </w:r>
      <w:r w:rsidR="000261ED">
        <w:rPr>
          <w:rFonts w:ascii="AvantGarde Bk BT" w:hAnsi="AvantGarde Bk BT" w:cs="Arial"/>
          <w:sz w:val="24"/>
          <w:szCs w:val="24"/>
        </w:rPr>
        <w:t>d</w:t>
      </w:r>
      <w:r w:rsidR="0067302F">
        <w:rPr>
          <w:rFonts w:ascii="AvantGarde Bk BT" w:hAnsi="AvantGarde Bk BT" w:cs="Arial"/>
          <w:sz w:val="24"/>
          <w:szCs w:val="24"/>
        </w:rPr>
        <w:t>o los días inhábiles</w:t>
      </w:r>
      <w:r w:rsidR="000261ED">
        <w:rPr>
          <w:rFonts w:ascii="AvantGarde Bk BT" w:hAnsi="AvantGarde Bk BT" w:cs="Arial"/>
          <w:sz w:val="24"/>
          <w:szCs w:val="24"/>
        </w:rPr>
        <w:t xml:space="preserve"> </w:t>
      </w:r>
      <w:r w:rsidR="00A76667">
        <w:rPr>
          <w:rFonts w:ascii="AvantGarde Bk BT" w:hAnsi="AvantGarde Bk BT" w:cs="Arial"/>
          <w:sz w:val="24"/>
          <w:szCs w:val="24"/>
        </w:rPr>
        <w:t xml:space="preserve">siendo </w:t>
      </w:r>
      <w:r w:rsidR="000261ED">
        <w:rPr>
          <w:rFonts w:ascii="AvantGarde Bk BT" w:hAnsi="AvantGarde Bk BT" w:cs="Arial"/>
          <w:sz w:val="24"/>
          <w:szCs w:val="24"/>
        </w:rPr>
        <w:t xml:space="preserve">el 18 dieciocho de </w:t>
      </w:r>
      <w:r w:rsidR="00A76667">
        <w:rPr>
          <w:rFonts w:ascii="AvantGarde Bk BT" w:hAnsi="AvantGarde Bk BT" w:cs="Arial"/>
          <w:sz w:val="24"/>
          <w:szCs w:val="24"/>
        </w:rPr>
        <w:t>novi</w:t>
      </w:r>
      <w:r w:rsidR="000261ED">
        <w:rPr>
          <w:rFonts w:ascii="AvantGarde Bk BT" w:hAnsi="AvantGarde Bk BT" w:cs="Arial"/>
          <w:sz w:val="24"/>
          <w:szCs w:val="24"/>
        </w:rPr>
        <w:t>embre del 2019 dos mil diecinueve</w:t>
      </w:r>
      <w:r w:rsidRPr="00E965A2">
        <w:rPr>
          <w:rFonts w:ascii="AvantGarde Bk BT" w:hAnsi="AvantGarde Bk BT" w:cs="Arial"/>
          <w:sz w:val="24"/>
          <w:szCs w:val="24"/>
        </w:rPr>
        <w:t>.</w:t>
      </w:r>
      <w:r w:rsidR="0067302F">
        <w:rPr>
          <w:rFonts w:ascii="AvantGarde Bk BT" w:hAnsi="AvantGarde Bk BT" w:cs="Arial"/>
          <w:sz w:val="24"/>
          <w:szCs w:val="24"/>
        </w:rPr>
        <w:t xml:space="preserve"> </w:t>
      </w:r>
    </w:p>
    <w:bookmarkEnd w:id="1"/>
    <w:p w14:paraId="7F9165B1" w14:textId="6F4B9EE4" w:rsidR="00DA16EB" w:rsidRPr="00770DB4" w:rsidRDefault="00946007" w:rsidP="007A37A3">
      <w:pPr>
        <w:pStyle w:val="corte4fondo"/>
        <w:tabs>
          <w:tab w:val="left" w:pos="567"/>
        </w:tabs>
        <w:ind w:left="680" w:firstLine="0"/>
        <w:rPr>
          <w:rFonts w:ascii="AvantGarde Bk BT" w:hAnsi="AvantGarde Bk BT" w:cs="Arial"/>
          <w:sz w:val="24"/>
          <w:szCs w:val="24"/>
        </w:rPr>
      </w:pPr>
      <w:r w:rsidRPr="00770DB4">
        <w:rPr>
          <w:rFonts w:ascii="AvantGarde Bk BT" w:hAnsi="AvantGarde Bk BT" w:cs="Arial"/>
          <w:sz w:val="24"/>
          <w:szCs w:val="24"/>
        </w:rPr>
        <w:t xml:space="preserve">• Consecuentemente si el </w:t>
      </w:r>
      <w:r w:rsidR="00426506">
        <w:rPr>
          <w:rFonts w:ascii="AvantGarde Bk BT" w:hAnsi="AvantGarde Bk BT" w:cs="Arial"/>
          <w:sz w:val="24"/>
          <w:szCs w:val="24"/>
        </w:rPr>
        <w:t>2</w:t>
      </w:r>
      <w:r w:rsidR="00FA5FEB">
        <w:rPr>
          <w:rFonts w:ascii="AvantGarde Bk BT" w:hAnsi="AvantGarde Bk BT" w:cs="Arial"/>
          <w:sz w:val="24"/>
          <w:szCs w:val="24"/>
        </w:rPr>
        <w:t>1</w:t>
      </w:r>
      <w:r w:rsidR="00426506">
        <w:rPr>
          <w:rFonts w:ascii="AvantGarde Bk BT" w:hAnsi="AvantGarde Bk BT" w:cs="Arial"/>
          <w:sz w:val="24"/>
          <w:szCs w:val="24"/>
        </w:rPr>
        <w:t xml:space="preserve"> </w:t>
      </w:r>
      <w:r w:rsidR="0010744D">
        <w:rPr>
          <w:rFonts w:ascii="AvantGarde Bk BT" w:hAnsi="AvantGarde Bk BT" w:cs="Arial"/>
          <w:sz w:val="24"/>
          <w:szCs w:val="24"/>
        </w:rPr>
        <w:t>veinti</w:t>
      </w:r>
      <w:r w:rsidR="00FA5FEB">
        <w:rPr>
          <w:rFonts w:ascii="AvantGarde Bk BT" w:hAnsi="AvantGarde Bk BT" w:cs="Arial"/>
          <w:sz w:val="24"/>
          <w:szCs w:val="24"/>
        </w:rPr>
        <w:t xml:space="preserve">uno </w:t>
      </w:r>
      <w:r w:rsidR="00A76667">
        <w:rPr>
          <w:rFonts w:ascii="AvantGarde Bk BT" w:hAnsi="AvantGarde Bk BT" w:cs="Arial"/>
          <w:sz w:val="24"/>
          <w:szCs w:val="24"/>
        </w:rPr>
        <w:t xml:space="preserve">de </w:t>
      </w:r>
      <w:r w:rsidR="00426506">
        <w:rPr>
          <w:rFonts w:ascii="AvantGarde Bk BT" w:hAnsi="AvantGarde Bk BT" w:cs="Arial"/>
          <w:sz w:val="24"/>
          <w:szCs w:val="24"/>
        </w:rPr>
        <w:t>novi</w:t>
      </w:r>
      <w:r w:rsidR="00A76667">
        <w:rPr>
          <w:rFonts w:ascii="AvantGarde Bk BT" w:hAnsi="AvantGarde Bk BT" w:cs="Arial"/>
          <w:sz w:val="24"/>
          <w:szCs w:val="24"/>
        </w:rPr>
        <w:t xml:space="preserve">embre </w:t>
      </w:r>
      <w:r w:rsidRPr="00770DB4">
        <w:rPr>
          <w:rFonts w:ascii="AvantGarde Bk BT" w:hAnsi="AvantGarde Bk BT" w:cs="Arial"/>
          <w:sz w:val="24"/>
          <w:szCs w:val="24"/>
        </w:rPr>
        <w:t>de 2019 dos mil diecinueve el recurrente interpuso el citado medio de impugnación ante esta Comisión de Transparencia, resulta claro que es oportuna su presentación.</w:t>
      </w: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53445EB6" w14:textId="37D00C4B" w:rsidR="00946007" w:rsidRPr="004A708B" w:rsidRDefault="00946007" w:rsidP="00946007">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74EB6104" w14:textId="77777777" w:rsidR="00560C51" w:rsidRDefault="00560C51" w:rsidP="00946007">
      <w:pPr>
        <w:pStyle w:val="corte4fondo"/>
        <w:tabs>
          <w:tab w:val="left" w:pos="567"/>
        </w:tabs>
        <w:ind w:firstLine="680"/>
        <w:rPr>
          <w:noProof/>
        </w:rPr>
      </w:pPr>
    </w:p>
    <w:p w14:paraId="6C04DC0F" w14:textId="0BC3E801" w:rsidR="00946007" w:rsidRPr="00E0750B" w:rsidRDefault="00946007" w:rsidP="00946007">
      <w:pPr>
        <w:pStyle w:val="corte4fondo"/>
        <w:tabs>
          <w:tab w:val="left" w:pos="567"/>
        </w:tabs>
        <w:ind w:firstLine="680"/>
        <w:rPr>
          <w:rFonts w:ascii="AvantGarde Bk BT" w:hAnsi="AvantGarde Bk BT" w:cs="Arial"/>
          <w:b/>
          <w:sz w:val="24"/>
          <w:szCs w:val="24"/>
        </w:rPr>
      </w:pPr>
      <w:r w:rsidRPr="00E0750B">
        <w:rPr>
          <w:rFonts w:ascii="AvantGarde Bk BT" w:hAnsi="AvantGarde Bk BT" w:cs="Arial"/>
          <w:b/>
          <w:sz w:val="24"/>
          <w:szCs w:val="24"/>
        </w:rPr>
        <w:t>SEXTO. Estudio de fondo.</w:t>
      </w:r>
      <w:r w:rsidRPr="00E0750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117B1434" w14:textId="6789DB6C" w:rsidR="00946007" w:rsidRPr="00E0750B" w:rsidRDefault="00946007" w:rsidP="00946007">
      <w:pPr>
        <w:pStyle w:val="corte4fondo"/>
        <w:tabs>
          <w:tab w:val="left" w:pos="567"/>
        </w:tabs>
        <w:ind w:firstLine="680"/>
        <w:rPr>
          <w:rFonts w:ascii="AvantGarde Bk BT" w:hAnsi="AvantGarde Bk BT" w:cs="Arial"/>
          <w:b/>
          <w:sz w:val="24"/>
          <w:szCs w:val="24"/>
        </w:rPr>
      </w:pPr>
    </w:p>
    <w:p w14:paraId="79844CBB" w14:textId="439D651D" w:rsidR="006953E1" w:rsidRDefault="00903C1F" w:rsidP="00B22A0B">
      <w:pPr>
        <w:pStyle w:val="corte4fondo"/>
        <w:tabs>
          <w:tab w:val="left" w:pos="567"/>
        </w:tabs>
        <w:ind w:firstLine="680"/>
        <w:rPr>
          <w:rFonts w:ascii="AvantGarde Bk BT" w:hAnsi="AvantGarde Bk BT" w:cs="Arial"/>
          <w:sz w:val="24"/>
          <w:szCs w:val="24"/>
        </w:rPr>
      </w:pPr>
      <w:bookmarkStart w:id="2" w:name="_Hlk51066046"/>
      <w:r w:rsidRPr="00E0750B">
        <w:rPr>
          <w:rFonts w:ascii="AvantGarde Bk BT" w:hAnsi="AvantGarde Bk BT" w:cs="Arial"/>
          <w:sz w:val="24"/>
          <w:szCs w:val="24"/>
        </w:rPr>
        <w:t>En la solicitud de información de la que se deriva el presente recurso de revisión se solicitó:</w:t>
      </w:r>
      <w:bookmarkStart w:id="3" w:name="_Hlk51065528"/>
    </w:p>
    <w:p w14:paraId="237F9497" w14:textId="77777777" w:rsidR="00C36886" w:rsidRPr="00C36886" w:rsidRDefault="00903C1F" w:rsidP="00C36886">
      <w:pPr>
        <w:pStyle w:val="corte4fondo"/>
        <w:tabs>
          <w:tab w:val="left" w:pos="567"/>
        </w:tabs>
        <w:ind w:left="680"/>
        <w:rPr>
          <w:rFonts w:ascii="AvantGarde Bk BT" w:hAnsi="AvantGarde Bk BT" w:cs="Arial"/>
          <w:i/>
          <w:sz w:val="22"/>
          <w:szCs w:val="22"/>
        </w:rPr>
      </w:pPr>
      <w:r w:rsidRPr="00E0750B">
        <w:rPr>
          <w:rFonts w:ascii="AvantGarde Bk BT" w:hAnsi="AvantGarde Bk BT" w:cs="Arial"/>
          <w:sz w:val="24"/>
          <w:szCs w:val="24"/>
        </w:rPr>
        <w:t>“</w:t>
      </w:r>
      <w:r w:rsidR="00C36886" w:rsidRPr="00C36886">
        <w:rPr>
          <w:rFonts w:ascii="AvantGarde Bk BT" w:hAnsi="AvantGarde Bk BT" w:cs="Arial"/>
          <w:i/>
          <w:sz w:val="22"/>
          <w:szCs w:val="22"/>
        </w:rPr>
        <w:t xml:space="preserve">SOLICITO DE MARZO DEL 2019, DE LA FRACCIÓN E INCISO, 84 IV </w:t>
      </w:r>
      <w:proofErr w:type="gramStart"/>
      <w:r w:rsidR="00C36886" w:rsidRPr="00C36886">
        <w:rPr>
          <w:rFonts w:ascii="AvantGarde Bk BT" w:hAnsi="AvantGarde Bk BT" w:cs="Arial"/>
          <w:i/>
          <w:sz w:val="22"/>
          <w:szCs w:val="22"/>
        </w:rPr>
        <w:t>A  Ingresos</w:t>
      </w:r>
      <w:proofErr w:type="gramEnd"/>
      <w:r w:rsidR="00C36886" w:rsidRPr="00C36886">
        <w:rPr>
          <w:rFonts w:ascii="AvantGarde Bk BT" w:hAnsi="AvantGarde Bk BT" w:cs="Arial"/>
          <w:i/>
          <w:sz w:val="22"/>
          <w:szCs w:val="22"/>
        </w:rPr>
        <w:t xml:space="preserve"> recibidos por cualquier concepto por el sujeto obligado. YA QUE LA INFORMACIÓN PUBLICADA EN LA PLATAFORMA DE CEGAIP ES INCORRECTA, DE FAVOR MANDAR LA INFORMACIÓN A TRAVÉS DE ESTA PLATAFORMA O AL CORREO EN ELECTRÓNICO. </w:t>
      </w:r>
    </w:p>
    <w:p w14:paraId="656D6632" w14:textId="70741FF9" w:rsidR="00DA16EB" w:rsidRDefault="00C36886" w:rsidP="00C36886">
      <w:pPr>
        <w:pStyle w:val="corte4fondo"/>
        <w:tabs>
          <w:tab w:val="left" w:pos="567"/>
        </w:tabs>
        <w:ind w:left="680"/>
        <w:rPr>
          <w:rFonts w:ascii="AvantGarde Bk BT" w:hAnsi="AvantGarde Bk BT" w:cs="Arial"/>
          <w:sz w:val="24"/>
          <w:szCs w:val="24"/>
        </w:rPr>
      </w:pPr>
      <w:r w:rsidRPr="00C36886">
        <w:rPr>
          <w:rFonts w:ascii="AvantGarde Bk BT" w:hAnsi="AvantGarde Bk BT" w:cs="Arial"/>
          <w:i/>
          <w:sz w:val="22"/>
          <w:szCs w:val="22"/>
        </w:rPr>
        <w:t>ANEXO LINK http//cegaipslp.org.mx/webcegaip2019.nsf/0/37db1e7170ac793a86258400005f2c35?EditDocumentStart1Count9999Expand3Seq11</w:t>
      </w:r>
      <w:r w:rsidR="00903C1F" w:rsidRPr="001766B5">
        <w:rPr>
          <w:rFonts w:ascii="AvantGarde Bk BT" w:hAnsi="AvantGarde Bk BT" w:cs="Arial"/>
          <w:i/>
          <w:sz w:val="22"/>
          <w:szCs w:val="22"/>
        </w:rPr>
        <w:t>.</w:t>
      </w:r>
      <w:r w:rsidR="00903C1F">
        <w:rPr>
          <w:rFonts w:ascii="AvantGarde Bk BT" w:hAnsi="AvantGarde Bk BT" w:cs="Arial"/>
          <w:i/>
          <w:sz w:val="22"/>
          <w:szCs w:val="22"/>
        </w:rPr>
        <w:t>..</w:t>
      </w:r>
      <w:r w:rsidR="00903C1F" w:rsidRPr="00E0750B">
        <w:rPr>
          <w:rFonts w:ascii="AvantGarde Bk BT" w:hAnsi="AvantGarde Bk BT" w:cs="Arial"/>
          <w:sz w:val="24"/>
          <w:szCs w:val="24"/>
        </w:rPr>
        <w:t xml:space="preserve">” </w:t>
      </w:r>
      <w:r w:rsidR="00903C1F" w:rsidRPr="00E0750B">
        <w:rPr>
          <w:rFonts w:ascii="AvantGarde Bk BT" w:hAnsi="AvantGarde Bk BT" w:cs="Arial"/>
          <w:b/>
          <w:sz w:val="24"/>
          <w:szCs w:val="24"/>
        </w:rPr>
        <w:t>SIC.</w:t>
      </w:r>
      <w:r w:rsidR="00903C1F" w:rsidRPr="00E0750B">
        <w:rPr>
          <w:rFonts w:ascii="AvantGarde Bk BT" w:hAnsi="AvantGarde Bk BT" w:cs="Arial"/>
          <w:sz w:val="24"/>
          <w:szCs w:val="24"/>
        </w:rPr>
        <w:t xml:space="preserve"> (Visible a foja 01 uno de autos).</w:t>
      </w:r>
    </w:p>
    <w:p w14:paraId="45DD23E0" w14:textId="09A892C4" w:rsidR="000850E8" w:rsidRDefault="000850E8" w:rsidP="000850E8">
      <w:pPr>
        <w:pStyle w:val="corte4fondo"/>
        <w:tabs>
          <w:tab w:val="left" w:pos="567"/>
        </w:tabs>
        <w:ind w:left="680"/>
        <w:rPr>
          <w:rFonts w:ascii="AvantGarde Bk BT" w:hAnsi="AvantGarde Bk BT" w:cs="Arial"/>
          <w:sz w:val="24"/>
          <w:szCs w:val="24"/>
        </w:rPr>
      </w:pPr>
      <w:bookmarkStart w:id="4" w:name="_Hlk51065393"/>
      <w:bookmarkEnd w:id="2"/>
      <w:bookmarkEnd w:id="3"/>
    </w:p>
    <w:p w14:paraId="6FC3424F" w14:textId="1EDB1B51" w:rsidR="000850E8" w:rsidRDefault="00C36886" w:rsidP="000850E8">
      <w:pPr>
        <w:pStyle w:val="corte4fondo"/>
        <w:tabs>
          <w:tab w:val="left" w:pos="567"/>
        </w:tabs>
        <w:ind w:left="680"/>
        <w:rPr>
          <w:rFonts w:ascii="AvantGarde Bk BT" w:hAnsi="AvantGarde Bk BT" w:cs="Arial"/>
          <w:sz w:val="24"/>
          <w:szCs w:val="24"/>
        </w:rPr>
      </w:pPr>
      <w:r>
        <w:rPr>
          <w:noProof/>
        </w:rPr>
        <w:drawing>
          <wp:anchor distT="0" distB="0" distL="114300" distR="114300" simplePos="0" relativeHeight="251669504" behindDoc="0" locked="0" layoutInCell="1" allowOverlap="1" wp14:anchorId="033FCA1E" wp14:editId="56B3B99B">
            <wp:simplePos x="0" y="0"/>
            <wp:positionH relativeFrom="page">
              <wp:align>center</wp:align>
            </wp:positionH>
            <wp:positionV relativeFrom="paragraph">
              <wp:posOffset>704850</wp:posOffset>
            </wp:positionV>
            <wp:extent cx="5695950" cy="2722245"/>
            <wp:effectExtent l="0" t="0" r="0" b="1905"/>
            <wp:wrapSquare wrapText="bothSides"/>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extLst>
                        <a:ext uri="{28A0092B-C50C-407E-A947-70E740481C1C}">
                          <a14:useLocalDpi xmlns:a14="http://schemas.microsoft.com/office/drawing/2010/main" val="0"/>
                        </a:ext>
                      </a:extLst>
                    </a:blip>
                    <a:srcRect l="23318" t="35855" r="21924" b="17589"/>
                    <a:stretch/>
                  </pic:blipFill>
                  <pic:spPr bwMode="auto">
                    <a:xfrm>
                      <a:off x="0" y="0"/>
                      <a:ext cx="5695950" cy="27222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850E8">
        <w:rPr>
          <w:rFonts w:ascii="AvantGarde Bk BT" w:hAnsi="AvantGarde Bk BT" w:cs="Arial"/>
          <w:sz w:val="24"/>
          <w:szCs w:val="24"/>
        </w:rPr>
        <w:t>C</w:t>
      </w:r>
      <w:r w:rsidR="000850E8" w:rsidRPr="00E0750B">
        <w:rPr>
          <w:rFonts w:ascii="AvantGarde Bk BT" w:hAnsi="AvantGarde Bk BT" w:cs="Arial"/>
          <w:sz w:val="24"/>
          <w:szCs w:val="24"/>
        </w:rPr>
        <w:t>omo respuesta a la solicitud, el sujeto obligado emitió la siguiente contestación</w:t>
      </w:r>
      <w:r w:rsidR="000850E8">
        <w:rPr>
          <w:rFonts w:ascii="AvantGarde Bk BT" w:hAnsi="AvantGarde Bk BT" w:cs="Arial"/>
          <w:sz w:val="24"/>
          <w:szCs w:val="24"/>
        </w:rPr>
        <w:t xml:space="preserve"> </w:t>
      </w:r>
      <w:r w:rsidR="000850E8" w:rsidRPr="00E0750B">
        <w:rPr>
          <w:rFonts w:ascii="AvantGarde Bk BT" w:hAnsi="AvantGarde Bk BT" w:cs="Arial"/>
          <w:sz w:val="24"/>
          <w:szCs w:val="24"/>
        </w:rPr>
        <w:t xml:space="preserve">(Visible a foja </w:t>
      </w:r>
      <w:r w:rsidR="000850E8">
        <w:rPr>
          <w:rFonts w:ascii="AvantGarde Bk BT" w:hAnsi="AvantGarde Bk BT" w:cs="Arial"/>
          <w:sz w:val="24"/>
          <w:szCs w:val="24"/>
        </w:rPr>
        <w:t xml:space="preserve">01 uno y 02 dos </w:t>
      </w:r>
      <w:r w:rsidR="000850E8" w:rsidRPr="00E0750B">
        <w:rPr>
          <w:rFonts w:ascii="AvantGarde Bk BT" w:hAnsi="AvantGarde Bk BT" w:cs="Arial"/>
          <w:sz w:val="24"/>
          <w:szCs w:val="24"/>
        </w:rPr>
        <w:t>de autos).:</w:t>
      </w:r>
    </w:p>
    <w:p w14:paraId="24A41DF9" w14:textId="77777777" w:rsidR="00C36886" w:rsidRDefault="00C36886" w:rsidP="00AF3516">
      <w:pPr>
        <w:pStyle w:val="corte4fondo"/>
        <w:tabs>
          <w:tab w:val="left" w:pos="567"/>
        </w:tabs>
        <w:ind w:left="680"/>
        <w:rPr>
          <w:noProof/>
        </w:rPr>
      </w:pPr>
    </w:p>
    <w:p w14:paraId="42143DB4" w14:textId="084C463E" w:rsidR="0053352A" w:rsidRDefault="0053352A" w:rsidP="00AF3516">
      <w:pPr>
        <w:pStyle w:val="corte4fondo"/>
        <w:tabs>
          <w:tab w:val="left" w:pos="567"/>
        </w:tabs>
        <w:ind w:left="680"/>
        <w:rPr>
          <w:noProof/>
        </w:rPr>
      </w:pPr>
      <w:r>
        <w:rPr>
          <w:noProof/>
        </w:rPr>
        <w:drawing>
          <wp:anchor distT="0" distB="0" distL="114300" distR="114300" simplePos="0" relativeHeight="251672576" behindDoc="0" locked="0" layoutInCell="1" allowOverlap="1" wp14:anchorId="0B732340" wp14:editId="0187BDDC">
            <wp:simplePos x="0" y="0"/>
            <wp:positionH relativeFrom="margin">
              <wp:posOffset>623570</wp:posOffset>
            </wp:positionH>
            <wp:positionV relativeFrom="paragraph">
              <wp:posOffset>4889500</wp:posOffset>
            </wp:positionV>
            <wp:extent cx="5419725" cy="636270"/>
            <wp:effectExtent l="0" t="0" r="9525" b="0"/>
            <wp:wrapSquare wrapText="bothSides"/>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23318" t="70371" r="21623" b="18123"/>
                    <a:stretch/>
                  </pic:blipFill>
                  <pic:spPr bwMode="auto">
                    <a:xfrm>
                      <a:off x="0" y="0"/>
                      <a:ext cx="5419725" cy="6362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0528" behindDoc="0" locked="0" layoutInCell="1" allowOverlap="1" wp14:anchorId="461A1CF1" wp14:editId="36F00C4D">
            <wp:simplePos x="0" y="0"/>
            <wp:positionH relativeFrom="margin">
              <wp:posOffset>641985</wp:posOffset>
            </wp:positionH>
            <wp:positionV relativeFrom="paragraph">
              <wp:posOffset>2305050</wp:posOffset>
            </wp:positionV>
            <wp:extent cx="5391150" cy="2581275"/>
            <wp:effectExtent l="0" t="0" r="0" b="9525"/>
            <wp:wrapSquare wrapText="bothSides"/>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23584" t="34516" r="21321" b="16786"/>
                    <a:stretch/>
                  </pic:blipFill>
                  <pic:spPr bwMode="auto">
                    <a:xfrm>
                      <a:off x="0" y="0"/>
                      <a:ext cx="5391150" cy="25812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4EF9F9A" w14:textId="2DF3042B" w:rsidR="0053352A" w:rsidRDefault="0053352A" w:rsidP="00AF3516">
      <w:pPr>
        <w:pStyle w:val="corte4fondo"/>
        <w:tabs>
          <w:tab w:val="left" w:pos="567"/>
        </w:tabs>
        <w:ind w:left="680"/>
        <w:rPr>
          <w:noProof/>
        </w:rPr>
      </w:pPr>
      <w:r>
        <w:rPr>
          <w:noProof/>
        </w:rPr>
        <w:drawing>
          <wp:anchor distT="0" distB="0" distL="114300" distR="114300" simplePos="0" relativeHeight="251671552" behindDoc="0" locked="0" layoutInCell="1" allowOverlap="1" wp14:anchorId="1026E48F" wp14:editId="6EB0640B">
            <wp:simplePos x="0" y="0"/>
            <wp:positionH relativeFrom="column">
              <wp:posOffset>604521</wp:posOffset>
            </wp:positionH>
            <wp:positionV relativeFrom="paragraph">
              <wp:posOffset>479</wp:posOffset>
            </wp:positionV>
            <wp:extent cx="5744210" cy="1931191"/>
            <wp:effectExtent l="0" t="0" r="8890" b="0"/>
            <wp:wrapSquare wrapText="bothSides"/>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l="23629" t="35904" r="23447" b="32449"/>
                    <a:stretch/>
                  </pic:blipFill>
                  <pic:spPr bwMode="auto">
                    <a:xfrm>
                      <a:off x="0" y="0"/>
                      <a:ext cx="5750656" cy="1933358"/>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2B045AE" w14:textId="54FAF204" w:rsidR="0098256B" w:rsidRDefault="0098256B" w:rsidP="00B22A0B">
      <w:pPr>
        <w:pStyle w:val="corte4fondo"/>
        <w:tabs>
          <w:tab w:val="left" w:pos="567"/>
        </w:tabs>
        <w:ind w:left="680"/>
        <w:rPr>
          <w:noProof/>
        </w:rPr>
      </w:pPr>
    </w:p>
    <w:p w14:paraId="28ACF77D" w14:textId="1DEBB003" w:rsidR="00903C1F" w:rsidRPr="00E0750B" w:rsidRDefault="000850E8" w:rsidP="007A37A3">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ab/>
      </w:r>
      <w:r w:rsidR="00903C1F" w:rsidRPr="00E0750B">
        <w:rPr>
          <w:rFonts w:ascii="AvantGarde Bk BT" w:hAnsi="AvantGarde Bk BT" w:cs="Arial"/>
          <w:sz w:val="24"/>
          <w:szCs w:val="24"/>
        </w:rPr>
        <w:t>Inconforme con la respuesta recaída a su solicitud de información, el hoy recurrente interpuso el recurso de revisión que nos ocupa y manifestó:</w:t>
      </w:r>
    </w:p>
    <w:p w14:paraId="0E9F3CEC" w14:textId="5E4741EC" w:rsidR="00903C1F" w:rsidRPr="00E0750B" w:rsidRDefault="00903C1F" w:rsidP="00903C1F">
      <w:pPr>
        <w:pStyle w:val="corte4fondo"/>
        <w:tabs>
          <w:tab w:val="left" w:pos="567"/>
        </w:tabs>
        <w:ind w:firstLine="0"/>
        <w:rPr>
          <w:rFonts w:ascii="AvantGarde Bk BT" w:hAnsi="AvantGarde Bk BT" w:cs="Arial"/>
          <w:sz w:val="24"/>
          <w:szCs w:val="24"/>
        </w:rPr>
      </w:pPr>
    </w:p>
    <w:p w14:paraId="0DF0DA4B" w14:textId="281BCD64" w:rsidR="00903C1F" w:rsidRPr="00E0750B" w:rsidRDefault="00903C1F" w:rsidP="00903C1F">
      <w:pPr>
        <w:pStyle w:val="corte4fondo"/>
        <w:tabs>
          <w:tab w:val="left" w:pos="567"/>
        </w:tabs>
        <w:ind w:left="680" w:firstLine="0"/>
        <w:rPr>
          <w:rFonts w:ascii="AvantGarde Bk BT" w:hAnsi="AvantGarde Bk BT" w:cs="Arial"/>
          <w:sz w:val="24"/>
          <w:szCs w:val="24"/>
        </w:rPr>
      </w:pPr>
      <w:r w:rsidRPr="00E0750B">
        <w:rPr>
          <w:rFonts w:ascii="AvantGarde Bk BT" w:hAnsi="AvantGarde Bk BT" w:cs="Arial"/>
          <w:sz w:val="24"/>
          <w:szCs w:val="24"/>
        </w:rPr>
        <w:t>“</w:t>
      </w:r>
      <w:r w:rsidR="00750DE1">
        <w:rPr>
          <w:rFonts w:ascii="AvantGarde Bk BT" w:hAnsi="AvantGarde Bk BT" w:cs="Arial"/>
          <w:i/>
          <w:sz w:val="22"/>
          <w:szCs w:val="22"/>
        </w:rPr>
        <w:t>E</w:t>
      </w:r>
      <w:r w:rsidR="00525030">
        <w:rPr>
          <w:rFonts w:ascii="AvantGarde Bk BT" w:hAnsi="AvantGarde Bk BT" w:cs="Arial"/>
          <w:i/>
          <w:sz w:val="22"/>
          <w:szCs w:val="22"/>
        </w:rPr>
        <w:t>l sujeto obligado no contesto la información requerida</w:t>
      </w:r>
      <w:r w:rsidRPr="00304A77">
        <w:rPr>
          <w:rFonts w:ascii="AvantGarde Bk BT" w:hAnsi="AvantGarde Bk BT" w:cs="Arial"/>
          <w:i/>
          <w:sz w:val="22"/>
          <w:szCs w:val="22"/>
        </w:rPr>
        <w:t>.</w:t>
      </w:r>
      <w:r w:rsidRPr="00E0750B">
        <w:rPr>
          <w:rFonts w:ascii="AvantGarde Bk BT" w:hAnsi="AvantGarde Bk BT" w:cs="Arial"/>
          <w:sz w:val="24"/>
          <w:szCs w:val="24"/>
        </w:rPr>
        <w:t xml:space="preserve">” </w:t>
      </w:r>
      <w:r w:rsidRPr="00E0750B">
        <w:rPr>
          <w:rFonts w:ascii="AvantGarde Bk BT" w:hAnsi="AvantGarde Bk BT" w:cs="Arial"/>
          <w:b/>
          <w:sz w:val="24"/>
          <w:szCs w:val="24"/>
        </w:rPr>
        <w:t>SIC.</w:t>
      </w:r>
      <w:r w:rsidRPr="00E0750B">
        <w:rPr>
          <w:rFonts w:ascii="AvantGarde Bk BT" w:hAnsi="AvantGarde Bk BT" w:cs="Arial"/>
          <w:sz w:val="24"/>
          <w:szCs w:val="24"/>
        </w:rPr>
        <w:t xml:space="preserve"> (Visible </w:t>
      </w:r>
      <w:r>
        <w:rPr>
          <w:rFonts w:ascii="AvantGarde Bk BT" w:hAnsi="AvantGarde Bk BT" w:cs="Arial"/>
          <w:sz w:val="24"/>
          <w:szCs w:val="24"/>
        </w:rPr>
        <w:t>en la</w:t>
      </w:r>
      <w:r w:rsidRPr="00E0750B">
        <w:rPr>
          <w:rFonts w:ascii="AvantGarde Bk BT" w:hAnsi="AvantGarde Bk BT" w:cs="Arial"/>
          <w:sz w:val="24"/>
          <w:szCs w:val="24"/>
        </w:rPr>
        <w:t xml:space="preserve"> foja 0</w:t>
      </w:r>
      <w:r w:rsidR="00146930">
        <w:rPr>
          <w:rFonts w:ascii="AvantGarde Bk BT" w:hAnsi="AvantGarde Bk BT" w:cs="Arial"/>
          <w:sz w:val="24"/>
          <w:szCs w:val="24"/>
        </w:rPr>
        <w:t>1</w:t>
      </w:r>
      <w:r w:rsidRPr="00E0750B">
        <w:rPr>
          <w:rFonts w:ascii="AvantGarde Bk BT" w:hAnsi="AvantGarde Bk BT" w:cs="Arial"/>
          <w:sz w:val="24"/>
          <w:szCs w:val="24"/>
        </w:rPr>
        <w:t xml:space="preserve"> </w:t>
      </w:r>
      <w:r w:rsidR="00146930">
        <w:rPr>
          <w:rFonts w:ascii="AvantGarde Bk BT" w:hAnsi="AvantGarde Bk BT" w:cs="Arial"/>
          <w:sz w:val="24"/>
          <w:szCs w:val="24"/>
        </w:rPr>
        <w:t xml:space="preserve">uno </w:t>
      </w:r>
      <w:r w:rsidRPr="00E0750B">
        <w:rPr>
          <w:rFonts w:ascii="AvantGarde Bk BT" w:hAnsi="AvantGarde Bk BT" w:cs="Arial"/>
          <w:sz w:val="24"/>
          <w:szCs w:val="24"/>
        </w:rPr>
        <w:t>de autos).</w:t>
      </w:r>
    </w:p>
    <w:bookmarkEnd w:id="4"/>
    <w:p w14:paraId="2128E18E" w14:textId="77777777" w:rsidR="00022437" w:rsidRPr="00E0750B" w:rsidRDefault="00022437" w:rsidP="00022437">
      <w:pPr>
        <w:pStyle w:val="corte4fondo"/>
        <w:tabs>
          <w:tab w:val="left" w:pos="567"/>
        </w:tabs>
        <w:ind w:firstLine="0"/>
        <w:rPr>
          <w:rFonts w:ascii="AvantGarde Bk BT" w:hAnsi="AvantGarde Bk BT" w:cs="Arial"/>
          <w:sz w:val="24"/>
          <w:szCs w:val="24"/>
        </w:rPr>
      </w:pPr>
    </w:p>
    <w:p w14:paraId="664FF279" w14:textId="6335A1E4" w:rsidR="00B9595E" w:rsidRDefault="00B9595E" w:rsidP="00B9595E">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Al respecto, en el informe proporcionado por el sujeto obligado (visible a foja 17 diecisiete a 3</w:t>
      </w:r>
      <w:r w:rsidR="00111B49">
        <w:rPr>
          <w:rFonts w:ascii="AvantGarde Bk BT" w:hAnsi="AvantGarde Bk BT" w:cs="Arial"/>
          <w:sz w:val="24"/>
          <w:szCs w:val="24"/>
        </w:rPr>
        <w:t>0</w:t>
      </w:r>
      <w:r>
        <w:rPr>
          <w:rFonts w:ascii="AvantGarde Bk BT" w:hAnsi="AvantGarde Bk BT" w:cs="Arial"/>
          <w:sz w:val="24"/>
          <w:szCs w:val="24"/>
        </w:rPr>
        <w:t xml:space="preserve"> treinta de autos),  se expone el informe expedido por el C.P. Christian Omar Aragón Cano, Asesor Contable B, adscrito a la Tesorería Municipal de Soledad de Graciano Sánchez, donde señaló que la información solicitada se encuentra publicada en el sitio oficial de este órgano garante; al mismo tiempo que rinde las instrucciones necesarias, con un lenguaje sencillo para cualquier persona, para la localización de la información de interés</w:t>
      </w:r>
      <w:r>
        <w:rPr>
          <w:rStyle w:val="Refdenotaalpie"/>
          <w:rFonts w:ascii="AvantGarde Bk BT" w:eastAsiaTheme="minorEastAsia" w:hAnsi="AvantGarde Bk BT" w:cs="Arial"/>
          <w:sz w:val="24"/>
          <w:szCs w:val="24"/>
        </w:rPr>
        <w:footnoteReference w:id="1"/>
      </w:r>
      <w:r>
        <w:rPr>
          <w:rFonts w:ascii="AvantGarde Bk BT" w:hAnsi="AvantGarde Bk BT" w:cs="Arial"/>
          <w:sz w:val="24"/>
          <w:szCs w:val="24"/>
        </w:rPr>
        <w:t>.</w:t>
      </w:r>
    </w:p>
    <w:p w14:paraId="2415F60F" w14:textId="77777777" w:rsidR="00B9595E" w:rsidRDefault="00B9595E" w:rsidP="00B9595E">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 Ahora, el sujeto obligado hizo hincapié en las fechas en que se genera la información, toda vez que funda y motiva su actuar y que en el caso concreto informa que dicha información y conforme al artículo 53 de la Constitución Política del Estado de San Luis Potosí</w:t>
      </w:r>
      <w:r>
        <w:rPr>
          <w:rStyle w:val="Refdenotaalpie"/>
          <w:rFonts w:ascii="AvantGarde Bk BT" w:hAnsi="AvantGarde Bk BT" w:cs="Arial"/>
          <w:sz w:val="24"/>
          <w:szCs w:val="24"/>
        </w:rPr>
        <w:footnoteReference w:id="2"/>
      </w:r>
      <w:r>
        <w:rPr>
          <w:rFonts w:ascii="AvantGarde Bk BT" w:hAnsi="AvantGarde Bk BT" w:cs="Arial"/>
          <w:sz w:val="24"/>
          <w:szCs w:val="24"/>
        </w:rPr>
        <w:t>, estipula la forma y el periodo en el cual el sujeto obligado debe de realizar las acciones establecidas por los ordenamientos jurídicos de la materia.</w:t>
      </w:r>
    </w:p>
    <w:p w14:paraId="798D58B7" w14:textId="56A042C5" w:rsidR="00B9595E" w:rsidRDefault="00B9595E" w:rsidP="00B9595E">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 En este sentido, al transcribir el enlace electrónico proporcionado en el informe respectivo, se obtuvo como resultado el acceso directo a la Plataforma Estatal de Transparencia del San Luis Potosí, precisamente en la página de “Cumplimiento Cualitativo 2019” que contiene los artículos y las fracciones que corresponden a las obligaciones respectivas del artículo 84 fracción </w:t>
      </w:r>
      <w:r w:rsidR="00ED3228">
        <w:rPr>
          <w:rFonts w:ascii="AvantGarde Bk BT" w:hAnsi="AvantGarde Bk BT" w:cs="Arial"/>
          <w:sz w:val="24"/>
          <w:szCs w:val="24"/>
        </w:rPr>
        <w:t>I</w:t>
      </w:r>
      <w:r>
        <w:rPr>
          <w:rFonts w:ascii="AvantGarde Bk BT" w:hAnsi="AvantGarde Bk BT" w:cs="Arial"/>
          <w:sz w:val="24"/>
          <w:szCs w:val="24"/>
        </w:rPr>
        <w:t xml:space="preserve">V inciso </w:t>
      </w:r>
      <w:r w:rsidR="00ED3228">
        <w:rPr>
          <w:rFonts w:ascii="AvantGarde Bk BT" w:hAnsi="AvantGarde Bk BT" w:cs="Arial"/>
          <w:sz w:val="24"/>
          <w:szCs w:val="24"/>
        </w:rPr>
        <w:t>A</w:t>
      </w:r>
      <w:r>
        <w:rPr>
          <w:rFonts w:ascii="AvantGarde Bk BT" w:hAnsi="AvantGarde Bk BT" w:cs="Arial"/>
          <w:sz w:val="24"/>
          <w:szCs w:val="24"/>
        </w:rPr>
        <w:t>; corroborado de manera ilustrativa como se muestra con la siguiente impresión de pantalla:</w:t>
      </w:r>
    </w:p>
    <w:p w14:paraId="3E915852" w14:textId="77777777" w:rsidR="00B9595E" w:rsidRDefault="00B9595E" w:rsidP="00B9595E">
      <w:pPr>
        <w:pStyle w:val="corte4fondo"/>
        <w:tabs>
          <w:tab w:val="left" w:pos="567"/>
        </w:tabs>
        <w:ind w:firstLine="680"/>
        <w:rPr>
          <w:noProof/>
        </w:rPr>
      </w:pPr>
      <w:r>
        <w:rPr>
          <w:noProof/>
        </w:rPr>
        <w:drawing>
          <wp:anchor distT="0" distB="0" distL="114300" distR="114300" simplePos="0" relativeHeight="251674624" behindDoc="0" locked="0" layoutInCell="1" allowOverlap="1" wp14:anchorId="0B0C7AD6" wp14:editId="78D1187D">
            <wp:simplePos x="0" y="0"/>
            <wp:positionH relativeFrom="margin">
              <wp:align>right</wp:align>
            </wp:positionH>
            <wp:positionV relativeFrom="paragraph">
              <wp:posOffset>290830</wp:posOffset>
            </wp:positionV>
            <wp:extent cx="6257925" cy="2724150"/>
            <wp:effectExtent l="0" t="0" r="9525"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extLst>
                        <a:ext uri="{28A0092B-C50C-407E-A947-70E740481C1C}">
                          <a14:useLocalDpi xmlns:a14="http://schemas.microsoft.com/office/drawing/2010/main" val="0"/>
                        </a:ext>
                      </a:extLst>
                    </a:blip>
                    <a:srcRect l="451" t="18730" r="712" b="4746"/>
                    <a:stretch/>
                  </pic:blipFill>
                  <pic:spPr bwMode="auto">
                    <a:xfrm>
                      <a:off x="0" y="0"/>
                      <a:ext cx="6257925" cy="2724150"/>
                    </a:xfrm>
                    <a:prstGeom prst="rect">
                      <a:avLst/>
                    </a:prstGeom>
                    <a:ln>
                      <a:noFill/>
                    </a:ln>
                    <a:extLst>
                      <a:ext uri="{53640926-AAD7-44D8-BBD7-CCE9431645EC}">
                        <a14:shadowObscured xmlns:a14="http://schemas.microsoft.com/office/drawing/2010/main"/>
                      </a:ext>
                    </a:extLst>
                  </pic:spPr>
                </pic:pic>
              </a:graphicData>
            </a:graphic>
          </wp:anchor>
        </w:drawing>
      </w:r>
    </w:p>
    <w:p w14:paraId="68F614BC" w14:textId="77777777" w:rsidR="00B9595E" w:rsidRDefault="00B9595E" w:rsidP="00B9595E">
      <w:pPr>
        <w:pStyle w:val="corte4fondo"/>
        <w:tabs>
          <w:tab w:val="left" w:pos="567"/>
        </w:tabs>
        <w:ind w:firstLine="680"/>
        <w:rPr>
          <w:noProof/>
        </w:rPr>
      </w:pPr>
    </w:p>
    <w:p w14:paraId="43864D0F" w14:textId="77777777" w:rsidR="00B9595E" w:rsidRDefault="00B9595E" w:rsidP="00B9595E">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Sumado a lo anterior, el sujeto obligado pone a disposición la información solicitada al recurrente para su consulta física gratuita, en el domicilio aludido en el informe proporcionado, por la cual y conforme a lo estipulado en el artículo 152 de la Ley de Transparencia y Acceso a la Información Pública del Estado de San Luis Potosí, </w:t>
      </w:r>
      <w:r>
        <w:rPr>
          <w:rStyle w:val="Refdenotaalpie"/>
          <w:rFonts w:ascii="AvantGarde Bk BT" w:eastAsiaTheme="minorEastAsia" w:hAnsi="AvantGarde Bk BT" w:cs="Arial"/>
          <w:sz w:val="24"/>
          <w:szCs w:val="24"/>
        </w:rPr>
        <w:footnoteReference w:id="3"/>
      </w:r>
      <w:r>
        <w:rPr>
          <w:rFonts w:ascii="AvantGarde Bk BT" w:hAnsi="AvantGarde Bk BT" w:cs="Arial"/>
          <w:sz w:val="24"/>
          <w:szCs w:val="24"/>
        </w:rPr>
        <w:t xml:space="preserve">l el sujeto obligado suministro la información solicitada, toda vez que </w:t>
      </w:r>
      <w:r w:rsidRPr="005E4469">
        <w:rPr>
          <w:rFonts w:ascii="AvantGarde Bk BT" w:hAnsi="AvantGarde Bk BT" w:cs="Arial"/>
          <w:sz w:val="24"/>
          <w:szCs w:val="24"/>
        </w:rPr>
        <w:t>se le h</w:t>
      </w:r>
      <w:r>
        <w:rPr>
          <w:rFonts w:ascii="AvantGarde Bk BT" w:hAnsi="AvantGarde Bk BT" w:cs="Arial"/>
          <w:sz w:val="24"/>
          <w:szCs w:val="24"/>
        </w:rPr>
        <w:t>izo</w:t>
      </w:r>
      <w:r w:rsidRPr="005E4469">
        <w:rPr>
          <w:rFonts w:ascii="AvantGarde Bk BT" w:hAnsi="AvantGarde Bk BT" w:cs="Arial"/>
          <w:sz w:val="24"/>
          <w:szCs w:val="24"/>
        </w:rPr>
        <w:t xml:space="preserve"> saber el medio, lugar y la forma en que puede consultar, reproducir o adquirir dicha información</w:t>
      </w:r>
      <w:r>
        <w:rPr>
          <w:rFonts w:ascii="AvantGarde Bk BT" w:hAnsi="AvantGarde Bk BT" w:cs="Arial"/>
          <w:sz w:val="24"/>
          <w:szCs w:val="24"/>
        </w:rPr>
        <w:t>; dado que es deber de los sujetos obligados mantener de manera actualizada los respectivos medios electrónicos a fin de que se encuentren disponibles para el solicitante</w:t>
      </w:r>
      <w:r>
        <w:rPr>
          <w:rStyle w:val="Refdenotaalpie"/>
          <w:rFonts w:ascii="AvantGarde Bk BT" w:eastAsiaTheme="minorEastAsia" w:hAnsi="AvantGarde Bk BT" w:cs="Arial"/>
          <w:sz w:val="24"/>
          <w:szCs w:val="24"/>
        </w:rPr>
        <w:footnoteReference w:id="4"/>
      </w:r>
      <w:r>
        <w:rPr>
          <w:rFonts w:ascii="AvantGarde Bk BT" w:hAnsi="AvantGarde Bk BT" w:cs="Arial"/>
          <w:sz w:val="24"/>
          <w:szCs w:val="24"/>
        </w:rPr>
        <w:t xml:space="preserve">, cualquier registro que la autoridad este obligado a documentar de acuerdo a sus facultades, competencias o funciones en el formato existente, o en su caso, cualquier otro medio mediante el cual contenga la información solicitada.  </w:t>
      </w:r>
    </w:p>
    <w:p w14:paraId="12470D59" w14:textId="77777777" w:rsidR="00B9595E" w:rsidRDefault="00B9595E" w:rsidP="00B9595E">
      <w:pPr>
        <w:pStyle w:val="corte4fondo"/>
        <w:tabs>
          <w:tab w:val="left" w:pos="567"/>
        </w:tabs>
        <w:ind w:firstLine="0"/>
        <w:rPr>
          <w:rFonts w:ascii="AvantGarde Bk BT" w:hAnsi="AvantGarde Bk BT" w:cs="Arial"/>
          <w:sz w:val="24"/>
          <w:szCs w:val="24"/>
        </w:rPr>
      </w:pPr>
    </w:p>
    <w:p w14:paraId="4AD7BB17" w14:textId="77777777" w:rsidR="00B9595E" w:rsidRDefault="00B9595E" w:rsidP="00B9595E">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ab/>
        <w:t>Cabe señalar que el sujeto obligado rindió las instrucciones necesarias, con un lenguaje sencillo para cualquier persona, para la localización de la información de interés</w:t>
      </w:r>
      <w:r>
        <w:rPr>
          <w:rStyle w:val="Refdenotaalpie"/>
          <w:rFonts w:ascii="AvantGarde Bk BT" w:hAnsi="AvantGarde Bk BT" w:cs="Arial"/>
          <w:sz w:val="24"/>
          <w:szCs w:val="24"/>
        </w:rPr>
        <w:footnoteReference w:id="5"/>
      </w:r>
      <w:r>
        <w:rPr>
          <w:rFonts w:ascii="AvantGarde Bk BT" w:hAnsi="AvantGarde Bk BT" w:cs="Arial"/>
          <w:sz w:val="24"/>
          <w:szCs w:val="24"/>
        </w:rPr>
        <w:t>, toda vez que en la página citada se encuentran todas los artículos de las obligaciones del articulo indicado en párrafos anteriores, incluido el solicitado por el recurrente, sin embargo, no pasas desapercibido que para una mayor eficacia, el sujeto obligado debió de proporcionar el enlace que enlaza directamente a el formato correspondiente.</w:t>
      </w:r>
    </w:p>
    <w:p w14:paraId="51313E31" w14:textId="77777777" w:rsidR="00B9595E" w:rsidRDefault="00B9595E" w:rsidP="00B9595E">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ab/>
        <w:t>En concordancia a lo anteriormente expuesto, resulta incongruente lo señalado por el particular en sus motivos de inconformidad, en el momento que articula “el sujeto obligado no contesto la información requerida”, el sujeto obligado si dio cumplimiento a lo establecido por la materia adjetiva a la materia; ya que al corroborar el acceso a la página donde se encuentra la información solicitada, da cumplimiento a lo establecido en el numeral 84 de la ley adjetiva a la materia, puesto que garantiza que la información entregada cumple con los requisitos de accesibilidad, confiabilidad y verificabilidad, así como el derecho de acceso a la información.</w:t>
      </w:r>
    </w:p>
    <w:p w14:paraId="692BB9A9" w14:textId="77777777" w:rsidR="00B9595E" w:rsidRDefault="00B9595E" w:rsidP="00B9595E">
      <w:pPr>
        <w:pStyle w:val="corte4fondo"/>
        <w:tabs>
          <w:tab w:val="left" w:pos="567"/>
        </w:tabs>
        <w:ind w:firstLine="0"/>
        <w:rPr>
          <w:rFonts w:ascii="AvantGarde Bk BT" w:hAnsi="AvantGarde Bk BT" w:cs="Arial"/>
          <w:sz w:val="24"/>
          <w:szCs w:val="24"/>
        </w:rPr>
      </w:pPr>
    </w:p>
    <w:p w14:paraId="4D7E7CC2" w14:textId="77777777" w:rsidR="00B9595E" w:rsidRDefault="00B9595E" w:rsidP="00B9595E">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Aunado a lo anterior, este órgano garante está facultado para realizar las gestiones necesarias para otorgar acceso a la información y suplir cualquier deficiencia por parte de los sujetos obligados, en el supuesto de que los mismos se encuentren ante la negativa del acceso a la información o de su inexistencia</w:t>
      </w:r>
      <w:r>
        <w:rPr>
          <w:rStyle w:val="Refdenotaalpie"/>
          <w:rFonts w:ascii="AvantGarde Bk BT" w:eastAsiaTheme="minorEastAsia" w:hAnsi="AvantGarde Bk BT" w:cs="Arial"/>
          <w:sz w:val="24"/>
          <w:szCs w:val="24"/>
        </w:rPr>
        <w:footnoteReference w:id="6"/>
      </w:r>
      <w:r>
        <w:rPr>
          <w:rFonts w:ascii="AvantGarde Bk BT" w:hAnsi="AvantGarde Bk BT" w:cs="Arial"/>
          <w:sz w:val="24"/>
          <w:szCs w:val="24"/>
        </w:rPr>
        <w:t>; por lo que al pronunciarse sobre la liga citada por el recurrente, donde expresa que desconoce la ruta que se siguió para realizar la búsqueda y lo que lo llevo al enlace que arroja un dato negativo, no se contraviene ni viola en ningún momento el derecho de acceso a la información, puesto que proporciona el dato correcto para su localización y da total cumplimiento a lo requerido, por lo que queda evidenciado la garantía del derecho de acceso a la información por parte de los sujetos obligados.</w:t>
      </w:r>
    </w:p>
    <w:p w14:paraId="0884FBB1" w14:textId="77777777" w:rsidR="00B9595E" w:rsidRDefault="00B9595E" w:rsidP="00B9595E">
      <w:pPr>
        <w:pStyle w:val="corte4fondo"/>
        <w:tabs>
          <w:tab w:val="left" w:pos="567"/>
        </w:tabs>
        <w:ind w:firstLine="680"/>
        <w:rPr>
          <w:rFonts w:ascii="AvantGarde Bk BT" w:hAnsi="AvantGarde Bk BT" w:cs="Arial"/>
          <w:sz w:val="24"/>
          <w:szCs w:val="24"/>
        </w:rPr>
      </w:pPr>
    </w:p>
    <w:p w14:paraId="70B86746" w14:textId="77777777" w:rsidR="00B9595E" w:rsidRDefault="00B9595E" w:rsidP="00B9595E">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Asimismo, viene a colación lo establecido por el capítulo VI de la Ley adjetiva a la materia; que refiere a las denuncias por incumplimiento a las obligaciones de transparencia, donde se le atribuye a cualquier persona el derecho a la denuncia ante la CEGAIP por la falta de publicación de las obligaciones de transparencia establecidas</w:t>
      </w:r>
      <w:r>
        <w:rPr>
          <w:rStyle w:val="Refdenotaalpie"/>
          <w:rFonts w:ascii="AvantGarde Bk BT" w:eastAsiaTheme="minorEastAsia" w:hAnsi="AvantGarde Bk BT" w:cs="Arial"/>
          <w:sz w:val="24"/>
          <w:szCs w:val="24"/>
        </w:rPr>
        <w:footnoteReference w:id="7"/>
      </w:r>
      <w:r>
        <w:rPr>
          <w:rFonts w:ascii="AvantGarde Bk BT" w:hAnsi="AvantGarde Bk BT" w:cs="Arial"/>
          <w:sz w:val="24"/>
          <w:szCs w:val="24"/>
        </w:rPr>
        <w:t>, de tal manera que el medio de impugnación seleccionada por el recurrente es errónea; siendo materia de denuncia la correcta para dar trámite a su inconformidad, en consecuencia, mediante lo establecido por el artículo 8 fracción IV inciso a) y articulo 48 fracciones I a XVII del reglamento interior de la CEGAIP, la Secretaria de Pleno es la responsable de conocer las inconformidades tramitadas en la Unidad de Atención a Denuncias.</w:t>
      </w:r>
    </w:p>
    <w:p w14:paraId="6D5EEE8D" w14:textId="77777777" w:rsidR="00B9595E" w:rsidRDefault="00B9595E" w:rsidP="00B9595E">
      <w:pPr>
        <w:pStyle w:val="corte4fondo"/>
        <w:tabs>
          <w:tab w:val="left" w:pos="567"/>
        </w:tabs>
        <w:ind w:firstLine="0"/>
        <w:rPr>
          <w:rFonts w:ascii="AvantGarde Bk BT" w:hAnsi="AvantGarde Bk BT" w:cs="Arial"/>
          <w:sz w:val="24"/>
          <w:szCs w:val="24"/>
        </w:rPr>
      </w:pPr>
    </w:p>
    <w:p w14:paraId="6DF27674" w14:textId="77777777" w:rsidR="00B9595E" w:rsidRDefault="00B9595E" w:rsidP="00B9595E">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Es menester apegarse al procedimiento y a los requisitos solicitados para presentar la respectiva denuncia en los diferentes medios señalados en el artículo 105 de la Ley en comento</w:t>
      </w:r>
      <w:r>
        <w:rPr>
          <w:rStyle w:val="Refdenotaalpie"/>
          <w:rFonts w:ascii="AvantGarde Bk BT" w:eastAsiaTheme="minorEastAsia" w:hAnsi="AvantGarde Bk BT" w:cs="Arial"/>
          <w:sz w:val="24"/>
          <w:szCs w:val="24"/>
        </w:rPr>
        <w:footnoteReference w:id="8"/>
      </w:r>
      <w:r>
        <w:rPr>
          <w:rFonts w:ascii="AvantGarde Bk BT" w:hAnsi="AvantGarde Bk BT" w:cs="Arial"/>
          <w:sz w:val="24"/>
          <w:szCs w:val="24"/>
        </w:rPr>
        <w:t xml:space="preserve">. </w:t>
      </w:r>
    </w:p>
    <w:p w14:paraId="09B73B40" w14:textId="77777777" w:rsidR="00B9595E" w:rsidRDefault="00B9595E" w:rsidP="00B9595E">
      <w:pPr>
        <w:pStyle w:val="corte4fondo"/>
        <w:tabs>
          <w:tab w:val="left" w:pos="567"/>
        </w:tabs>
        <w:ind w:firstLine="0"/>
        <w:rPr>
          <w:rFonts w:ascii="AvantGarde Bk BT" w:hAnsi="AvantGarde Bk BT" w:cs="Arial"/>
          <w:sz w:val="24"/>
          <w:szCs w:val="24"/>
        </w:rPr>
      </w:pPr>
    </w:p>
    <w:p w14:paraId="5568CA82" w14:textId="77777777" w:rsidR="00B9595E" w:rsidRDefault="00B9595E" w:rsidP="00B9595E">
      <w:pPr>
        <w:pStyle w:val="corte4fondo"/>
        <w:tabs>
          <w:tab w:val="left" w:pos="567"/>
        </w:tabs>
        <w:rPr>
          <w:rFonts w:ascii="AvantGarde Bk BT" w:hAnsi="AvantGarde Bk BT" w:cs="Arial"/>
          <w:b/>
          <w:sz w:val="24"/>
          <w:szCs w:val="24"/>
        </w:rPr>
      </w:pPr>
      <w:r>
        <w:rPr>
          <w:rFonts w:ascii="AvantGarde Bk BT" w:hAnsi="AvantGarde Bk BT" w:cs="Arial"/>
          <w:b/>
          <w:sz w:val="24"/>
          <w:szCs w:val="24"/>
        </w:rPr>
        <w:t>6.1. Sentido de esta resolución.</w:t>
      </w:r>
    </w:p>
    <w:p w14:paraId="302DC946" w14:textId="77777777" w:rsidR="00B9595E" w:rsidRDefault="00B9595E" w:rsidP="00B9595E">
      <w:pPr>
        <w:pStyle w:val="corte4fondo"/>
        <w:tabs>
          <w:tab w:val="left" w:pos="567"/>
        </w:tabs>
        <w:rPr>
          <w:rFonts w:ascii="AvantGarde Bk BT" w:hAnsi="AvantGarde Bk BT" w:cs="Arial"/>
          <w:sz w:val="24"/>
          <w:szCs w:val="24"/>
        </w:rPr>
      </w:pPr>
    </w:p>
    <w:p w14:paraId="678F596B" w14:textId="77777777" w:rsidR="00B9595E" w:rsidRDefault="00B9595E" w:rsidP="00B9595E">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Por las consideraciones expuestas, esta Comisión Estatal de Garantía de Acceso a la Información Pública de conformidad con el artículo 175 fracción II de la Ley de Transparencia y Acceso a la Información Pública del Estado, </w:t>
      </w:r>
      <w:r>
        <w:rPr>
          <w:rFonts w:ascii="AvantGarde Bk BT" w:hAnsi="AvantGarde Bk BT" w:cs="Arial"/>
          <w:b/>
          <w:sz w:val="24"/>
          <w:szCs w:val="24"/>
        </w:rPr>
        <w:t>CONFIRMA EL ACTO IMPUGNADO</w:t>
      </w:r>
      <w:r>
        <w:rPr>
          <w:rFonts w:ascii="AvantGarde Bk BT" w:hAnsi="AvantGarde Bk BT" w:cs="Arial"/>
          <w:sz w:val="24"/>
          <w:szCs w:val="24"/>
        </w:rPr>
        <w:t>.</w:t>
      </w:r>
    </w:p>
    <w:p w14:paraId="016659A8" w14:textId="77777777" w:rsidR="00B9595E" w:rsidRDefault="00B9595E" w:rsidP="00B9595E">
      <w:pPr>
        <w:pStyle w:val="corte4fondo"/>
        <w:tabs>
          <w:tab w:val="left" w:pos="567"/>
        </w:tabs>
        <w:rPr>
          <w:rFonts w:ascii="AvantGarde Bk BT" w:hAnsi="AvantGarde Bk BT" w:cs="Arial"/>
          <w:b/>
          <w:sz w:val="24"/>
          <w:szCs w:val="24"/>
        </w:rPr>
      </w:pPr>
    </w:p>
    <w:p w14:paraId="4E8A3834" w14:textId="77777777" w:rsidR="00B9595E" w:rsidRDefault="00B9595E" w:rsidP="00B9595E">
      <w:pPr>
        <w:pStyle w:val="corte4fondo"/>
        <w:tabs>
          <w:tab w:val="left" w:pos="567"/>
        </w:tabs>
        <w:ind w:left="680" w:firstLine="0"/>
        <w:rPr>
          <w:rFonts w:ascii="AvantGarde Bk BT" w:hAnsi="AvantGarde Bk BT" w:cs="Arial"/>
          <w:b/>
          <w:sz w:val="24"/>
          <w:szCs w:val="24"/>
        </w:rPr>
      </w:pPr>
      <w:r>
        <w:rPr>
          <w:rFonts w:ascii="AvantGarde Bk BT" w:hAnsi="AvantGarde Bk BT" w:cs="Arial"/>
          <w:b/>
          <w:sz w:val="24"/>
          <w:szCs w:val="24"/>
        </w:rPr>
        <w:t>6.2. Archivo.</w:t>
      </w:r>
    </w:p>
    <w:p w14:paraId="279B093F" w14:textId="77777777" w:rsidR="00B9595E" w:rsidRDefault="00B9595E" w:rsidP="00B9595E">
      <w:pPr>
        <w:pStyle w:val="corte4fondo"/>
        <w:tabs>
          <w:tab w:val="left" w:pos="567"/>
        </w:tabs>
        <w:rPr>
          <w:rFonts w:ascii="AvantGarde Bk BT" w:hAnsi="AvantGarde Bk BT" w:cs="Arial"/>
          <w:sz w:val="24"/>
          <w:szCs w:val="24"/>
        </w:rPr>
      </w:pPr>
    </w:p>
    <w:p w14:paraId="01BE797A" w14:textId="77777777" w:rsidR="00B9595E" w:rsidRDefault="00B9595E" w:rsidP="00B9595E">
      <w:pPr>
        <w:pStyle w:val="corte4fondo"/>
        <w:tabs>
          <w:tab w:val="left" w:pos="567"/>
        </w:tabs>
        <w:rPr>
          <w:rFonts w:ascii="AvantGarde Bk BT" w:hAnsi="AvantGarde Bk BT" w:cs="Arial"/>
          <w:sz w:val="24"/>
          <w:szCs w:val="24"/>
        </w:rPr>
      </w:pPr>
      <w:r>
        <w:rPr>
          <w:rFonts w:ascii="AvantGarde Bk BT" w:hAnsi="AvantGarde Bk BT" w:cs="Arial"/>
          <w:sz w:val="24"/>
          <w:szCs w:val="24"/>
        </w:rPr>
        <w:t>Que una vez que la presente resolución sea notificada a las partes y haya causado estado, la ponencia mande archivar este asunto como concluido.</w:t>
      </w:r>
    </w:p>
    <w:p w14:paraId="0346EAA8" w14:textId="77777777" w:rsidR="00B9595E" w:rsidRDefault="00B9595E" w:rsidP="00B9595E">
      <w:pPr>
        <w:pStyle w:val="corte4fondo"/>
        <w:tabs>
          <w:tab w:val="left" w:pos="567"/>
        </w:tabs>
        <w:ind w:firstLine="0"/>
        <w:rPr>
          <w:rFonts w:ascii="AvantGarde Bk BT" w:hAnsi="AvantGarde Bk BT" w:cs="Arial"/>
          <w:sz w:val="24"/>
          <w:szCs w:val="24"/>
        </w:rPr>
      </w:pPr>
    </w:p>
    <w:p w14:paraId="52A4DE63" w14:textId="77777777" w:rsidR="00B9595E" w:rsidRDefault="00B9595E" w:rsidP="00B9595E">
      <w:pPr>
        <w:pStyle w:val="corte4fondo"/>
        <w:tabs>
          <w:tab w:val="left" w:pos="567"/>
        </w:tabs>
        <w:rPr>
          <w:rFonts w:ascii="AvantGarde Bk BT" w:hAnsi="AvantGarde Bk BT" w:cs="Arial"/>
          <w:b/>
          <w:sz w:val="24"/>
          <w:szCs w:val="24"/>
        </w:rPr>
      </w:pPr>
      <w:r>
        <w:rPr>
          <w:rFonts w:ascii="AvantGarde Bk BT" w:hAnsi="AvantGarde Bk BT" w:cs="Arial"/>
          <w:b/>
          <w:sz w:val="24"/>
          <w:szCs w:val="24"/>
        </w:rPr>
        <w:t>6.3. Medio de impugnación.</w:t>
      </w:r>
    </w:p>
    <w:p w14:paraId="19F46503" w14:textId="77777777" w:rsidR="00B9595E" w:rsidRDefault="00B9595E" w:rsidP="00B9595E">
      <w:pPr>
        <w:pStyle w:val="corte4fondo"/>
        <w:tabs>
          <w:tab w:val="left" w:pos="567"/>
        </w:tabs>
        <w:rPr>
          <w:rFonts w:ascii="AvantGarde Bk BT" w:hAnsi="AvantGarde Bk BT" w:cs="Arial"/>
          <w:b/>
          <w:sz w:val="24"/>
          <w:szCs w:val="24"/>
        </w:rPr>
      </w:pPr>
    </w:p>
    <w:p w14:paraId="4FD3E93F" w14:textId="77777777" w:rsidR="00B9595E" w:rsidRDefault="00B9595E" w:rsidP="00B9595E">
      <w:pPr>
        <w:pStyle w:val="corte4fondo"/>
        <w:tabs>
          <w:tab w:val="left" w:pos="567"/>
        </w:tabs>
        <w:rPr>
          <w:rFonts w:ascii="AvantGarde Bk BT" w:hAnsi="AvantGarde Bk BT" w:cs="Arial"/>
          <w:sz w:val="24"/>
          <w:szCs w:val="24"/>
        </w:rPr>
      </w:pPr>
      <w:r>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0FA808D4" w14:textId="77777777" w:rsidR="00B9595E" w:rsidRDefault="00B9595E" w:rsidP="00B9595E">
      <w:pPr>
        <w:pStyle w:val="corte4fondo"/>
        <w:tabs>
          <w:tab w:val="left" w:pos="567"/>
        </w:tabs>
        <w:rPr>
          <w:rFonts w:ascii="AvantGarde Bk BT" w:hAnsi="AvantGarde Bk BT" w:cs="Arial"/>
          <w:sz w:val="24"/>
          <w:szCs w:val="24"/>
        </w:rPr>
      </w:pPr>
    </w:p>
    <w:p w14:paraId="3C6778EB" w14:textId="77777777" w:rsidR="00B9595E" w:rsidRDefault="00B9595E" w:rsidP="00B9595E">
      <w:pPr>
        <w:pStyle w:val="corte4fondo"/>
        <w:tabs>
          <w:tab w:val="left" w:pos="567"/>
        </w:tabs>
        <w:jc w:val="center"/>
        <w:rPr>
          <w:rFonts w:ascii="AvantGarde Bk BT" w:hAnsi="AvantGarde Bk BT" w:cs="Arial"/>
          <w:b/>
          <w:sz w:val="24"/>
          <w:szCs w:val="24"/>
        </w:rPr>
      </w:pPr>
      <w:r>
        <w:rPr>
          <w:rFonts w:ascii="AvantGarde Bk BT" w:hAnsi="AvantGarde Bk BT" w:cs="Arial"/>
          <w:b/>
          <w:sz w:val="24"/>
          <w:szCs w:val="24"/>
        </w:rPr>
        <w:t>RESOLUTIVO</w:t>
      </w:r>
    </w:p>
    <w:p w14:paraId="6896A948" w14:textId="77777777" w:rsidR="00B9595E" w:rsidRDefault="00B9595E" w:rsidP="00B9595E">
      <w:pPr>
        <w:pStyle w:val="corte4fondo"/>
        <w:tabs>
          <w:tab w:val="left" w:pos="567"/>
        </w:tabs>
        <w:ind w:firstLine="0"/>
        <w:rPr>
          <w:rFonts w:ascii="AvantGarde Bk BT" w:hAnsi="AvantGarde Bk BT" w:cs="Arial"/>
          <w:b/>
          <w:sz w:val="24"/>
          <w:szCs w:val="24"/>
        </w:rPr>
      </w:pPr>
    </w:p>
    <w:p w14:paraId="76E92E28" w14:textId="77777777" w:rsidR="00B9595E" w:rsidRDefault="00B9595E" w:rsidP="00B9595E">
      <w:pPr>
        <w:pStyle w:val="corte4fondo"/>
        <w:tabs>
          <w:tab w:val="left" w:pos="567"/>
        </w:tabs>
        <w:ind w:left="680" w:firstLine="0"/>
        <w:rPr>
          <w:rFonts w:ascii="AvantGarde Bk BT" w:hAnsi="AvantGarde Bk BT" w:cs="Arial"/>
          <w:sz w:val="24"/>
          <w:szCs w:val="24"/>
        </w:rPr>
      </w:pPr>
      <w:r>
        <w:rPr>
          <w:rFonts w:ascii="AvantGarde Bk BT" w:hAnsi="AvantGarde Bk BT" w:cs="Arial"/>
          <w:sz w:val="24"/>
          <w:szCs w:val="24"/>
        </w:rPr>
        <w:t xml:space="preserve">Por lo expuesto y fundado, </w:t>
      </w:r>
      <w:r>
        <w:rPr>
          <w:rFonts w:ascii="AvantGarde Bk BT" w:hAnsi="AvantGarde Bk BT" w:cs="Arial"/>
          <w:b/>
          <w:sz w:val="24"/>
          <w:szCs w:val="24"/>
        </w:rPr>
        <w:t>SE RESUELVE</w:t>
      </w:r>
      <w:r>
        <w:rPr>
          <w:rFonts w:ascii="AvantGarde Bk BT" w:hAnsi="AvantGarde Bk BT" w:cs="Arial"/>
          <w:sz w:val="24"/>
          <w:szCs w:val="24"/>
        </w:rPr>
        <w:t>:</w:t>
      </w:r>
    </w:p>
    <w:p w14:paraId="6A9CB029" w14:textId="77777777" w:rsidR="00B9595E" w:rsidRDefault="00B9595E" w:rsidP="00B9595E">
      <w:pPr>
        <w:pStyle w:val="corte4fondo"/>
        <w:tabs>
          <w:tab w:val="left" w:pos="567"/>
        </w:tabs>
        <w:rPr>
          <w:rFonts w:ascii="AvantGarde Bk BT" w:hAnsi="AvantGarde Bk BT" w:cs="Arial"/>
          <w:sz w:val="24"/>
          <w:szCs w:val="24"/>
        </w:rPr>
      </w:pPr>
    </w:p>
    <w:p w14:paraId="181F0A03" w14:textId="77777777" w:rsidR="00B9595E" w:rsidRDefault="00B9595E" w:rsidP="00B9595E">
      <w:pPr>
        <w:pStyle w:val="corte4fondo"/>
        <w:tabs>
          <w:tab w:val="left" w:pos="567"/>
        </w:tabs>
        <w:rPr>
          <w:rFonts w:ascii="AvantGarde Bk BT" w:hAnsi="AvantGarde Bk BT" w:cs="Arial"/>
          <w:sz w:val="24"/>
          <w:szCs w:val="24"/>
        </w:rPr>
      </w:pPr>
      <w:r>
        <w:rPr>
          <w:rFonts w:ascii="AvantGarde Bk BT" w:hAnsi="AvantGarde Bk BT" w:cs="Arial"/>
          <w:b/>
          <w:sz w:val="24"/>
          <w:szCs w:val="24"/>
        </w:rPr>
        <w:t>ÚNICO.</w:t>
      </w:r>
      <w:r>
        <w:rPr>
          <w:rFonts w:ascii="AvantGarde Bk BT" w:hAnsi="AvantGarde Bk BT" w:cs="Arial"/>
          <w:sz w:val="24"/>
          <w:szCs w:val="24"/>
        </w:rPr>
        <w:t xml:space="preserve"> Esta Comisión Estatal de Garantía y Acceso a la Información Pública, con fundamento en el artículo 175, fracción II de la Ley de Transparencia y Acceso a la Información Pública del Estado, </w:t>
      </w:r>
      <w:r>
        <w:rPr>
          <w:rFonts w:ascii="AvantGarde Bk BT" w:hAnsi="AvantGarde Bk BT" w:cs="Arial"/>
          <w:b/>
          <w:sz w:val="24"/>
          <w:szCs w:val="24"/>
        </w:rPr>
        <w:t>CONFIRMA</w:t>
      </w:r>
      <w:r>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79CFC4E4" w14:textId="77777777" w:rsidR="00B9595E" w:rsidRDefault="00B9595E" w:rsidP="00B9595E">
      <w:pPr>
        <w:pStyle w:val="corte4fondo"/>
        <w:tabs>
          <w:tab w:val="left" w:pos="567"/>
        </w:tabs>
        <w:rPr>
          <w:rFonts w:ascii="AvantGarde Bk BT" w:hAnsi="AvantGarde Bk BT" w:cs="Arial"/>
          <w:sz w:val="24"/>
          <w:szCs w:val="24"/>
        </w:rPr>
      </w:pPr>
    </w:p>
    <w:p w14:paraId="32C15AB0" w14:textId="77777777" w:rsidR="00B9595E" w:rsidRDefault="00B9595E" w:rsidP="00B9595E">
      <w:pPr>
        <w:pStyle w:val="corte4fondo"/>
        <w:tabs>
          <w:tab w:val="left" w:pos="567"/>
        </w:tabs>
        <w:rPr>
          <w:rFonts w:ascii="AvantGarde Bk BT" w:hAnsi="AvantGarde Bk BT" w:cs="Arial"/>
          <w:sz w:val="24"/>
          <w:szCs w:val="24"/>
        </w:rPr>
      </w:pPr>
      <w:r>
        <w:rPr>
          <w:rFonts w:ascii="AvantGarde Bk BT" w:hAnsi="AvantGarde Bk BT" w:cs="Arial"/>
          <w:b/>
          <w:sz w:val="24"/>
          <w:szCs w:val="24"/>
        </w:rPr>
        <w:t>Notifíquese</w:t>
      </w:r>
      <w:r>
        <w:rPr>
          <w:rFonts w:ascii="AvantGarde Bk BT" w:hAnsi="AvantGarde Bk BT" w:cs="Arial"/>
          <w:sz w:val="24"/>
          <w:szCs w:val="24"/>
        </w:rPr>
        <w:t>; por oficio a las autoridades y al recurrente por el medio que designó.</w:t>
      </w:r>
    </w:p>
    <w:p w14:paraId="3EC0CF28" w14:textId="77777777" w:rsidR="00B9595E" w:rsidRDefault="00B9595E" w:rsidP="00B9595E">
      <w:pPr>
        <w:pStyle w:val="corte4fondo"/>
        <w:tabs>
          <w:tab w:val="left" w:pos="567"/>
        </w:tabs>
        <w:rPr>
          <w:rFonts w:ascii="AvantGarde Bk BT" w:hAnsi="AvantGarde Bk BT" w:cs="Arial"/>
          <w:sz w:val="24"/>
          <w:szCs w:val="24"/>
        </w:rPr>
      </w:pPr>
    </w:p>
    <w:p w14:paraId="05D7F45F" w14:textId="1C632065" w:rsidR="00B9595E" w:rsidRDefault="00B9595E" w:rsidP="00B9595E">
      <w:pPr>
        <w:pStyle w:val="corte4fondo"/>
        <w:tabs>
          <w:tab w:val="left" w:pos="567"/>
        </w:tabs>
        <w:rPr>
          <w:rFonts w:ascii="AvantGarde Bk BT" w:hAnsi="AvantGarde Bk BT"/>
          <w:sz w:val="24"/>
          <w:szCs w:val="24"/>
        </w:rPr>
      </w:pPr>
      <w:r>
        <w:rPr>
          <w:rFonts w:ascii="AvantGarde Bk BT" w:hAnsi="AvantGarde Bk BT" w:cs="Arial"/>
          <w:sz w:val="24"/>
          <w:szCs w:val="24"/>
        </w:rPr>
        <w:t>Así l</w:t>
      </w:r>
      <w:r>
        <w:rPr>
          <w:rFonts w:ascii="AvantGarde Bk BT" w:hAnsi="AvantGarde Bk BT"/>
          <w:sz w:val="24"/>
          <w:szCs w:val="24"/>
        </w:rPr>
        <w:t xml:space="preserve">o resolvieron por unanimidad de votos en </w:t>
      </w:r>
      <w:r w:rsidRPr="00C24DAD">
        <w:rPr>
          <w:rFonts w:ascii="AvantGarde Bk BT" w:hAnsi="AvantGarde Bk BT"/>
          <w:sz w:val="24"/>
          <w:szCs w:val="24"/>
        </w:rPr>
        <w:t xml:space="preserve">Sesión Ordinaria de Consejo el </w:t>
      </w:r>
      <w:r w:rsidR="00C24DAD" w:rsidRPr="00C24DAD">
        <w:rPr>
          <w:rFonts w:ascii="AvantGarde Bk BT" w:hAnsi="AvantGarde Bk BT" w:cs="Arial"/>
          <w:color w:val="000000" w:themeColor="text1"/>
          <w:sz w:val="24"/>
          <w:szCs w:val="24"/>
        </w:rPr>
        <w:t>12</w:t>
      </w:r>
      <w:r w:rsidR="00C24DAD">
        <w:rPr>
          <w:rFonts w:ascii="AvantGarde Bk BT" w:hAnsi="AvantGarde Bk BT" w:cs="Arial"/>
          <w:color w:val="000000" w:themeColor="text1"/>
          <w:sz w:val="24"/>
          <w:szCs w:val="24"/>
        </w:rPr>
        <w:t xml:space="preserve"> doce de febrero de 2020 dos mil veinte</w:t>
      </w:r>
      <w:r>
        <w:rPr>
          <w:rFonts w:ascii="AvantGarde Bk BT" w:hAnsi="AvantGarde Bk BT"/>
          <w:sz w:val="24"/>
          <w:szCs w:val="24"/>
        </w:rPr>
        <w:t xml:space="preserve">, </w:t>
      </w:r>
      <w:r>
        <w:rPr>
          <w:rFonts w:ascii="AvantGarde Bk BT" w:hAnsi="AvantGarde Bk BT" w:cs="Arial"/>
          <w:sz w:val="24"/>
          <w:szCs w:val="24"/>
        </w:rPr>
        <w:t xml:space="preserve">los Comisionados </w:t>
      </w:r>
      <w:r w:rsidR="00444846" w:rsidRPr="00444846">
        <w:rPr>
          <w:rFonts w:ascii="AvantGarde Bk BT" w:hAnsi="AvantGarde Bk BT" w:cs="Arial"/>
          <w:b/>
          <w:color w:val="000000" w:themeColor="text1"/>
          <w:sz w:val="24"/>
          <w:szCs w:val="24"/>
        </w:rPr>
        <w:t>MAESTRO ALEJANDRO LAFUENTE TORRES</w:t>
      </w:r>
      <w:r>
        <w:rPr>
          <w:rFonts w:ascii="AvantGarde Bk BT" w:hAnsi="AvantGarde Bk BT" w:cs="Arial"/>
          <w:sz w:val="24"/>
          <w:szCs w:val="24"/>
        </w:rPr>
        <w:t xml:space="preserve">, Licenciada Paulina Sánchez Pérez del Pozo y </w:t>
      </w:r>
      <w:proofErr w:type="spellStart"/>
      <w:r>
        <w:rPr>
          <w:rFonts w:ascii="AvantGarde Bk BT" w:hAnsi="AvantGarde Bk BT" w:cs="Arial"/>
          <w:sz w:val="24"/>
          <w:szCs w:val="24"/>
        </w:rPr>
        <w:t>Mariajosé</w:t>
      </w:r>
      <w:proofErr w:type="spellEnd"/>
      <w:r>
        <w:rPr>
          <w:rFonts w:ascii="AvantGarde Bk BT" w:hAnsi="AvantGarde Bk BT" w:cs="Arial"/>
          <w:sz w:val="24"/>
          <w:szCs w:val="24"/>
        </w:rPr>
        <w:t xml:space="preserve"> González Zarzosa, </w:t>
      </w:r>
      <w:r>
        <w:rPr>
          <w:rFonts w:ascii="AvantGarde Bk BT" w:hAnsi="AvantGarde Bk BT"/>
          <w:b/>
          <w:sz w:val="24"/>
          <w:szCs w:val="24"/>
        </w:rPr>
        <w:t>siendo ponente el primero de los nombrados</w:t>
      </w:r>
      <w:r>
        <w:rPr>
          <w:rFonts w:ascii="AvantGarde Bk BT" w:hAnsi="AvantGarde Bk BT"/>
          <w:sz w:val="24"/>
          <w:szCs w:val="24"/>
        </w:rPr>
        <w:t>, quienes firman con la Licenciada Rosa María Motilla García, quien autoriza y da fe.</w:t>
      </w:r>
    </w:p>
    <w:p w14:paraId="48C694E3" w14:textId="77777777" w:rsidR="00B9595E" w:rsidRDefault="00B9595E" w:rsidP="00B9595E">
      <w:pPr>
        <w:pStyle w:val="corte4fondo"/>
        <w:tabs>
          <w:tab w:val="left" w:pos="567"/>
        </w:tabs>
        <w:rPr>
          <w:rFonts w:ascii="AvantGarde Bk BT" w:hAnsi="AvantGarde Bk BT" w:cs="Arial"/>
          <w:b/>
          <w:color w:val="000000" w:themeColor="text1"/>
          <w:sz w:val="24"/>
          <w:szCs w:val="24"/>
        </w:rPr>
      </w:pPr>
    </w:p>
    <w:p w14:paraId="054AA109" w14:textId="77777777" w:rsidR="00B9595E" w:rsidRDefault="00B9595E" w:rsidP="00B9595E">
      <w:pPr>
        <w:pStyle w:val="corte4fondo"/>
        <w:tabs>
          <w:tab w:val="left" w:pos="567"/>
        </w:tabs>
        <w:rPr>
          <w:rFonts w:ascii="AvantGarde Bk BT" w:hAnsi="AvantGarde Bk BT" w:cs="Arial"/>
          <w:b/>
          <w:color w:val="000000" w:themeColor="text1"/>
          <w:sz w:val="24"/>
          <w:szCs w:val="24"/>
        </w:rPr>
      </w:pPr>
    </w:p>
    <w:p w14:paraId="1B107E35" w14:textId="77777777" w:rsidR="00B9595E" w:rsidRDefault="00B9595E" w:rsidP="00B9595E">
      <w:pPr>
        <w:pStyle w:val="NormalWeb"/>
        <w:rPr>
          <w:rFonts w:ascii="AvantGarde Bk BT" w:hAnsi="AvantGarde Bk BT" w:cs="Arial"/>
          <w:b/>
          <w:lang w:val="es-MX"/>
        </w:rPr>
      </w:pPr>
      <w:r>
        <w:rPr>
          <w:rFonts w:ascii="AvantGarde Bk BT" w:hAnsi="AvantGarde Bk BT" w:cs="Arial"/>
          <w:b/>
          <w:lang w:val="es-MX"/>
        </w:rPr>
        <w:t xml:space="preserve">                    COMISIONADO                                            COMISIONADA PRESIDENTE</w:t>
      </w:r>
    </w:p>
    <w:p w14:paraId="62C689F9" w14:textId="77777777" w:rsidR="00B9595E" w:rsidRDefault="00B9595E" w:rsidP="00B9595E">
      <w:pPr>
        <w:pStyle w:val="NormalWeb"/>
        <w:jc w:val="both"/>
        <w:rPr>
          <w:rFonts w:ascii="AvantGarde Bk BT" w:hAnsi="AvantGarde Bk BT" w:cs="Arial"/>
          <w:b/>
          <w:lang w:val="es-MX"/>
        </w:rPr>
      </w:pPr>
    </w:p>
    <w:p w14:paraId="134E0743" w14:textId="77777777" w:rsidR="00444846" w:rsidRPr="00A67C98" w:rsidRDefault="00444846" w:rsidP="00444846">
      <w:pPr>
        <w:pStyle w:val="NormalWeb"/>
        <w:ind w:left="5475" w:hanging="5280"/>
        <w:jc w:val="center"/>
        <w:rPr>
          <w:rFonts w:ascii="AvantGarde Bk BT" w:hAnsi="AvantGarde Bk BT" w:cs="Arial"/>
          <w:b/>
          <w:lang w:val="es-MX"/>
        </w:rPr>
      </w:pPr>
      <w:r w:rsidRPr="00A67C98">
        <w:rPr>
          <w:rFonts w:ascii="AvantGarde Bk BT" w:hAnsi="AvantGarde Bk BT" w:cs="Arial"/>
          <w:b/>
          <w:lang w:val="es-MX"/>
        </w:rPr>
        <w:t>MTRO. ALEJANDRO LAFUENTE TORRES.</w:t>
      </w:r>
      <w:r w:rsidRPr="00A67C98">
        <w:rPr>
          <w:rFonts w:ascii="AvantGarde Bk BT" w:hAnsi="AvantGarde Bk BT" w:cs="Arial"/>
          <w:b/>
          <w:lang w:val="es-MX"/>
        </w:rPr>
        <w:tab/>
        <w:t xml:space="preserve">     LIC. PAULINA SÁNCHEZ PÉREZ DEL POZO. </w:t>
      </w:r>
    </w:p>
    <w:p w14:paraId="62DF0DF4" w14:textId="77777777" w:rsidR="00B9595E" w:rsidRDefault="00B9595E" w:rsidP="00B9595E">
      <w:pPr>
        <w:pStyle w:val="NormalWeb"/>
        <w:jc w:val="center"/>
        <w:rPr>
          <w:rFonts w:ascii="AvantGarde Bk BT" w:hAnsi="AvantGarde Bk BT" w:cs="Arial"/>
          <w:b/>
          <w:lang w:val="es-MX"/>
        </w:rPr>
      </w:pPr>
      <w:r>
        <w:rPr>
          <w:rFonts w:ascii="AvantGarde Bk BT" w:hAnsi="AvantGarde Bk BT" w:cs="Arial"/>
          <w:b/>
          <w:lang w:val="es-MX"/>
        </w:rPr>
        <w:t xml:space="preserve"> </w:t>
      </w:r>
    </w:p>
    <w:p w14:paraId="22273EFB" w14:textId="77777777" w:rsidR="00B9595E" w:rsidRDefault="00B9595E" w:rsidP="00B9595E">
      <w:pPr>
        <w:pStyle w:val="NormalWeb"/>
        <w:jc w:val="center"/>
        <w:rPr>
          <w:rFonts w:ascii="AvantGarde Bk BT" w:hAnsi="AvantGarde Bk BT" w:cs="Arial"/>
          <w:b/>
          <w:lang w:val="es-MX"/>
        </w:rPr>
      </w:pPr>
      <w:r>
        <w:rPr>
          <w:rFonts w:ascii="AvantGarde Bk BT" w:hAnsi="AvantGarde Bk BT" w:cs="Arial"/>
          <w:b/>
          <w:lang w:val="es-MX"/>
        </w:rPr>
        <w:t xml:space="preserve"> COMISIONADA                                           SECRETARIA DE PLENO</w:t>
      </w:r>
    </w:p>
    <w:p w14:paraId="56A7E7E4" w14:textId="77777777" w:rsidR="00B9595E" w:rsidRDefault="00B9595E" w:rsidP="00B9595E">
      <w:pPr>
        <w:pStyle w:val="NormalWeb"/>
        <w:rPr>
          <w:rFonts w:ascii="AvantGarde Bk BT" w:hAnsi="AvantGarde Bk BT" w:cs="Arial"/>
          <w:b/>
          <w:lang w:val="es-MX"/>
        </w:rPr>
      </w:pPr>
    </w:p>
    <w:p w14:paraId="02780553" w14:textId="77777777" w:rsidR="00B9595E" w:rsidRDefault="00B9595E" w:rsidP="00B9595E">
      <w:pPr>
        <w:pStyle w:val="NormalWeb"/>
        <w:rPr>
          <w:rFonts w:ascii="AvantGarde Bk BT" w:hAnsi="AvantGarde Bk BT" w:cs="Arial"/>
          <w:lang w:val="es-MX"/>
        </w:rPr>
      </w:pPr>
      <w:r>
        <w:rPr>
          <w:rFonts w:ascii="AvantGarde Bk BT" w:hAnsi="AvantGarde Bk BT" w:cs="Arial"/>
          <w:b/>
          <w:lang w:val="es-MX"/>
        </w:rPr>
        <w:t xml:space="preserve">       </w:t>
      </w:r>
      <w:r>
        <w:rPr>
          <w:rFonts w:ascii="AvantGarde Bk BT" w:hAnsi="AvantGarde Bk BT" w:cs="Arial"/>
          <w:b/>
        </w:rPr>
        <w:t>MARIAJOSÉ GONZÁLEZ ZARZOSA</w:t>
      </w:r>
      <w:r>
        <w:rPr>
          <w:rFonts w:ascii="AvantGarde Bk BT" w:hAnsi="AvantGarde Bk BT" w:cs="Arial"/>
          <w:b/>
          <w:lang w:val="es-MX"/>
        </w:rPr>
        <w:t>.                LIC. ROSA MARÍA MOTILLA GARCÍA.</w:t>
      </w:r>
    </w:p>
    <w:p w14:paraId="5170FF6B" w14:textId="77777777" w:rsidR="00B9595E" w:rsidRDefault="00B9595E" w:rsidP="00B9595E">
      <w:pPr>
        <w:autoSpaceDE w:val="0"/>
        <w:autoSpaceDN w:val="0"/>
        <w:adjustRightInd w:val="0"/>
        <w:spacing w:after="0" w:line="480" w:lineRule="auto"/>
        <w:jc w:val="both"/>
        <w:rPr>
          <w:rFonts w:ascii="AvantGarde Bk BT" w:hAnsi="AvantGarde Bk BT" w:cs="Arial"/>
          <w:sz w:val="14"/>
          <w:szCs w:val="14"/>
        </w:rPr>
      </w:pPr>
      <w:r>
        <w:rPr>
          <w:rFonts w:ascii="AvantGarde Bk BT" w:hAnsi="AvantGarde Bk BT" w:cs="Arial"/>
          <w:sz w:val="14"/>
          <w:szCs w:val="14"/>
        </w:rPr>
        <w:t>CGRD-MAI</w:t>
      </w:r>
    </w:p>
    <w:p w14:paraId="77038389" w14:textId="77777777" w:rsidR="00B9595E" w:rsidRDefault="00B9595E" w:rsidP="00B9595E">
      <w:pPr>
        <w:pStyle w:val="corte4fondo"/>
        <w:tabs>
          <w:tab w:val="left" w:pos="567"/>
        </w:tabs>
        <w:ind w:firstLine="680"/>
        <w:rPr>
          <w:rFonts w:ascii="AvantGarde Bk BT" w:hAnsi="AvantGarde Bk BT" w:cs="Arial"/>
          <w:sz w:val="14"/>
          <w:szCs w:val="14"/>
        </w:rPr>
      </w:pPr>
    </w:p>
    <w:p w14:paraId="5CDA238B" w14:textId="77777777" w:rsidR="00B9595E" w:rsidRDefault="00B9595E" w:rsidP="00B9595E">
      <w:pPr>
        <w:pStyle w:val="corte4fondo"/>
        <w:tabs>
          <w:tab w:val="left" w:pos="567"/>
        </w:tabs>
        <w:ind w:firstLine="680"/>
        <w:rPr>
          <w:rFonts w:ascii="AvantGarde Bk BT" w:hAnsi="AvantGarde Bk BT" w:cs="Arial"/>
          <w:sz w:val="14"/>
          <w:szCs w:val="14"/>
        </w:rPr>
      </w:pPr>
    </w:p>
    <w:p w14:paraId="3B30F98B" w14:textId="77777777" w:rsidR="00530C17" w:rsidRDefault="00530C17" w:rsidP="00B9595E">
      <w:pPr>
        <w:pStyle w:val="corte4fondo"/>
        <w:tabs>
          <w:tab w:val="left" w:pos="567"/>
        </w:tabs>
        <w:ind w:firstLine="0"/>
        <w:rPr>
          <w:rFonts w:ascii="AvantGarde Bk BT" w:hAnsi="AvantGarde Bk BT" w:cs="Arial"/>
          <w:sz w:val="14"/>
          <w:szCs w:val="14"/>
        </w:rPr>
      </w:pPr>
    </w:p>
    <w:sectPr w:rsidR="00530C17" w:rsidSect="00444846">
      <w:headerReference w:type="default" r:id="rId12"/>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58C9B7" w14:textId="77777777" w:rsidR="00543E6C" w:rsidRDefault="00543E6C">
      <w:pPr>
        <w:spacing w:after="0" w:line="240" w:lineRule="auto"/>
      </w:pPr>
      <w:r>
        <w:separator/>
      </w:r>
    </w:p>
  </w:endnote>
  <w:endnote w:type="continuationSeparator" w:id="0">
    <w:p w14:paraId="094A1729" w14:textId="77777777" w:rsidR="00543E6C" w:rsidRDefault="00543E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67E586" w14:textId="77777777" w:rsidR="00543E6C" w:rsidRDefault="00543E6C">
      <w:pPr>
        <w:spacing w:after="0" w:line="240" w:lineRule="auto"/>
      </w:pPr>
      <w:r>
        <w:separator/>
      </w:r>
    </w:p>
  </w:footnote>
  <w:footnote w:type="continuationSeparator" w:id="0">
    <w:p w14:paraId="3FDD774C" w14:textId="77777777" w:rsidR="00543E6C" w:rsidRDefault="00543E6C">
      <w:pPr>
        <w:spacing w:after="0" w:line="240" w:lineRule="auto"/>
      </w:pPr>
      <w:r>
        <w:continuationSeparator/>
      </w:r>
    </w:p>
  </w:footnote>
  <w:footnote w:id="1">
    <w:p w14:paraId="08A56ED2" w14:textId="77777777" w:rsidR="00B9595E" w:rsidRDefault="00B9595E" w:rsidP="00B9595E">
      <w:pPr>
        <w:pStyle w:val="Textonotapie"/>
      </w:pPr>
      <w:r>
        <w:rPr>
          <w:rStyle w:val="Refdenotaalpie"/>
        </w:rPr>
        <w:footnoteRef/>
      </w:r>
      <w:r>
        <w:t xml:space="preserve"> ARTÍCULO 13. En la generación, publicación y entrega de información se deberá garantizar que ésta sea accesible, confiable, verificable, veraz, oportuna y atenderá las necesidades del derecho de acceso a la información de toda persona. Los sujetos obligados buscarán, en todo momento, que la información generada tenga un lenguaje sencillo para cualquier persona.</w:t>
      </w:r>
    </w:p>
  </w:footnote>
  <w:footnote w:id="2">
    <w:p w14:paraId="4D99280F" w14:textId="77777777" w:rsidR="00B9595E" w:rsidRDefault="00B9595E" w:rsidP="00B9595E">
      <w:pPr>
        <w:pStyle w:val="Textonotapie"/>
      </w:pPr>
      <w:r>
        <w:rPr>
          <w:rStyle w:val="Refdenotaalpie"/>
        </w:rPr>
        <w:footnoteRef/>
      </w:r>
      <w:r>
        <w:t xml:space="preserve"> Además, las entidades del Poder Ejecutivo del Estado rendirán de forma trimestral, un informe de su situación financiera, a más tardar el día quince del mes siguiente al periodo de que se trate, conforme lo dispuesto en la ley</w:t>
      </w:r>
    </w:p>
  </w:footnote>
  <w:footnote w:id="3">
    <w:p w14:paraId="07A2A304" w14:textId="77777777" w:rsidR="00B9595E" w:rsidRDefault="00B9595E" w:rsidP="00B9595E">
      <w:pPr>
        <w:pStyle w:val="Textonotapie"/>
      </w:pPr>
      <w:r>
        <w:rPr>
          <w:rStyle w:val="Refdenotaalpie"/>
        </w:rPr>
        <w:footnoteRef/>
      </w:r>
      <w:r>
        <w:t xml:space="preserve"> 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4">
    <w:p w14:paraId="05548296" w14:textId="77777777" w:rsidR="00B9595E" w:rsidRDefault="00B9595E" w:rsidP="00B9595E">
      <w:pPr>
        <w:pStyle w:val="Textonotapie"/>
      </w:pPr>
      <w:r>
        <w:rPr>
          <w:rStyle w:val="Refdenotaalpie"/>
        </w:rPr>
        <w:footnoteRef/>
      </w:r>
      <w:r>
        <w:t xml:space="preserve"> ARTÍCULO 84. Los sujetos obligados pondrán a disposición del público y mantendrán actualizada, en los respectivos medios electrónicos, de acuerdo con sus facultades, atribuciones, funciones u objeto social, según corresponda…</w:t>
      </w:r>
    </w:p>
  </w:footnote>
  <w:footnote w:id="5">
    <w:p w14:paraId="16225577" w14:textId="77777777" w:rsidR="00B9595E" w:rsidRDefault="00B9595E" w:rsidP="00B9595E">
      <w:pPr>
        <w:pStyle w:val="Textonotapie"/>
      </w:pPr>
      <w:r>
        <w:rPr>
          <w:rStyle w:val="Refdenotaalpie"/>
        </w:rPr>
        <w:footnoteRef/>
      </w:r>
      <w:r>
        <w:t xml:space="preserve"> ARTÍCULO 13. En la generación, publicación y entrega de información se deberá garantizar que ésta sea accesible, confiable, verificable, veraz, oportuna y atenderá las necesidades del derecho de acceso a la información de toda persona.</w:t>
      </w:r>
      <w:r w:rsidRPr="00357FF1">
        <w:t xml:space="preserve"> </w:t>
      </w:r>
      <w:r>
        <w:t>Los sujetos obligados buscarán, en todo momento, que la información generada tenga un lenguaje sencillo para cualquier persona y se procurará, en la medida de lo posible, su accesibilidad y traducción a lenguas indígenas.</w:t>
      </w:r>
    </w:p>
  </w:footnote>
  <w:footnote w:id="6">
    <w:p w14:paraId="3E3566B6" w14:textId="77777777" w:rsidR="00B9595E" w:rsidRDefault="00B9595E" w:rsidP="00B9595E">
      <w:pPr>
        <w:pStyle w:val="Textonotapie"/>
      </w:pPr>
      <w:r>
        <w:rPr>
          <w:rStyle w:val="Refdenotaalpie"/>
        </w:rPr>
        <w:footnoteRef/>
      </w:r>
      <w:r>
        <w:t xml:space="preserve"> ARTÍCULO 14. La CEGAIP, en el ámbito de sus atribuciones, deberá suplir cualquier deficiencia para garantizar el ejercicio del derecho de acceso a la información</w:t>
      </w:r>
    </w:p>
  </w:footnote>
  <w:footnote w:id="7">
    <w:p w14:paraId="21B21B9A" w14:textId="77777777" w:rsidR="00B9595E" w:rsidRDefault="00B9595E" w:rsidP="00B9595E">
      <w:pPr>
        <w:pStyle w:val="Textonotapie"/>
      </w:pPr>
      <w:r>
        <w:rPr>
          <w:rStyle w:val="Refdenotaalpie"/>
        </w:rPr>
        <w:footnoteRef/>
      </w:r>
      <w:r>
        <w:t xml:space="preserve"> ARTÍCULO 102. Cualquier persona podrá denunciar ante la CEGAIP la falta de publicación de las obligaciones de transparencia previstas en los artículos 84 a 96 de esta Ley y demás disposiciones aplicables, en sus respectivos ámbitos de competencia.</w:t>
      </w:r>
    </w:p>
  </w:footnote>
  <w:footnote w:id="8">
    <w:p w14:paraId="48D9A15C" w14:textId="77777777" w:rsidR="00B9595E" w:rsidRDefault="00B9595E" w:rsidP="00B9595E">
      <w:pPr>
        <w:pStyle w:val="Textonotapie"/>
      </w:pPr>
      <w:r>
        <w:rPr>
          <w:rStyle w:val="Refdenotaalpie"/>
        </w:rPr>
        <w:footnoteRef/>
      </w:r>
      <w:r>
        <w:t xml:space="preserve"> ARTÍCULO 105. La denuncia podrá presentarse de la forma siguiente: I. Por medio electrónico: a) A través de la Plataforma Nacional, o b) Por correo electrónico, dirigido a la dirección electrónica que al efecto se establezca, y II. Por escrito, presentado físicamente, ante la Unidad de Transparencia de la CEGAIP.</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629E78DD" w14:textId="77777777" w:rsidR="002C3BD5" w:rsidRDefault="002C3BD5" w:rsidP="002C3BD5">
        <w:pPr>
          <w:pStyle w:val="Encabezado"/>
          <w:jc w:val="center"/>
        </w:pPr>
        <w:r>
          <w:fldChar w:fldCharType="begin"/>
        </w:r>
        <w:r>
          <w:instrText>PAGE   \* MERGEFORMAT</w:instrText>
        </w:r>
        <w:r>
          <w:fldChar w:fldCharType="separate"/>
        </w:r>
        <w:r w:rsidRPr="00E16D84">
          <w:rPr>
            <w:noProof/>
            <w:lang w:val="es-ES"/>
          </w:rPr>
          <w:t>14</w:t>
        </w:r>
        <w:r>
          <w:fldChar w:fldCharType="end"/>
        </w:r>
        <w:r>
          <w:t xml:space="preserve">                                  </w:t>
        </w:r>
      </w:p>
      <w:p w14:paraId="748FB0B7" w14:textId="6184D087" w:rsidR="002C3BD5" w:rsidRDefault="002C3BD5" w:rsidP="002C3BD5">
        <w:pPr>
          <w:pStyle w:val="Encabezado"/>
          <w:jc w:val="right"/>
        </w:pPr>
        <w:r>
          <w:t xml:space="preserve">RECURSO DE REVISIÓN </w:t>
        </w:r>
        <w:r w:rsidR="00E62B9A">
          <w:t>2</w:t>
        </w:r>
        <w:r w:rsidR="0042058B">
          <w:t>7</w:t>
        </w:r>
        <w:r w:rsidR="00510938">
          <w:t>7</w:t>
        </w:r>
        <w:r w:rsidR="00C36886">
          <w:t>5</w:t>
        </w:r>
        <w:r>
          <w:t>/20</w:t>
        </w:r>
        <w:r w:rsidR="00D43BE6">
          <w:t>19</w:t>
        </w:r>
        <w:r>
          <w:t xml:space="preserve">-1 </w:t>
        </w:r>
        <w:r w:rsidR="00E62B9A">
          <w:t>SICOM</w:t>
        </w:r>
      </w:p>
    </w:sdtContent>
  </w:sdt>
  <w:p w14:paraId="477B550A" w14:textId="77777777" w:rsidR="002C3BD5" w:rsidRDefault="002C3BD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42"/>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6007"/>
    <w:rsid w:val="00005252"/>
    <w:rsid w:val="0002209C"/>
    <w:rsid w:val="00022437"/>
    <w:rsid w:val="000261ED"/>
    <w:rsid w:val="00037E62"/>
    <w:rsid w:val="000715ED"/>
    <w:rsid w:val="00073499"/>
    <w:rsid w:val="000850E8"/>
    <w:rsid w:val="000C0CFC"/>
    <w:rsid w:val="000C5AC5"/>
    <w:rsid w:val="000D64A6"/>
    <w:rsid w:val="000F6BFA"/>
    <w:rsid w:val="00100EA0"/>
    <w:rsid w:val="0010744D"/>
    <w:rsid w:val="00111B49"/>
    <w:rsid w:val="00146930"/>
    <w:rsid w:val="00150510"/>
    <w:rsid w:val="00174E4F"/>
    <w:rsid w:val="001766B5"/>
    <w:rsid w:val="00193E6A"/>
    <w:rsid w:val="001A6DE4"/>
    <w:rsid w:val="001C4DC5"/>
    <w:rsid w:val="001E2814"/>
    <w:rsid w:val="00207CBB"/>
    <w:rsid w:val="00250200"/>
    <w:rsid w:val="00285161"/>
    <w:rsid w:val="002A2282"/>
    <w:rsid w:val="002B54D3"/>
    <w:rsid w:val="002C3BD5"/>
    <w:rsid w:val="002C6A82"/>
    <w:rsid w:val="002D01C9"/>
    <w:rsid w:val="002E5565"/>
    <w:rsid w:val="002E6C7E"/>
    <w:rsid w:val="00304A77"/>
    <w:rsid w:val="00311633"/>
    <w:rsid w:val="0031791F"/>
    <w:rsid w:val="00322899"/>
    <w:rsid w:val="003273CB"/>
    <w:rsid w:val="00330852"/>
    <w:rsid w:val="003351A0"/>
    <w:rsid w:val="003622F2"/>
    <w:rsid w:val="00365F09"/>
    <w:rsid w:val="00383EAC"/>
    <w:rsid w:val="00384D97"/>
    <w:rsid w:val="003A1540"/>
    <w:rsid w:val="003D7763"/>
    <w:rsid w:val="0041219F"/>
    <w:rsid w:val="004172AC"/>
    <w:rsid w:val="0042058B"/>
    <w:rsid w:val="004231C2"/>
    <w:rsid w:val="00426506"/>
    <w:rsid w:val="00440947"/>
    <w:rsid w:val="00444846"/>
    <w:rsid w:val="00445637"/>
    <w:rsid w:val="004A2293"/>
    <w:rsid w:val="004B61F0"/>
    <w:rsid w:val="004B63CF"/>
    <w:rsid w:val="00510938"/>
    <w:rsid w:val="00524E08"/>
    <w:rsid w:val="00525030"/>
    <w:rsid w:val="00530C17"/>
    <w:rsid w:val="0053352A"/>
    <w:rsid w:val="00543E6C"/>
    <w:rsid w:val="00560C51"/>
    <w:rsid w:val="00584B55"/>
    <w:rsid w:val="00594CC1"/>
    <w:rsid w:val="005A3AE8"/>
    <w:rsid w:val="005B68AC"/>
    <w:rsid w:val="005C5CBA"/>
    <w:rsid w:val="005F1B0A"/>
    <w:rsid w:val="0067302F"/>
    <w:rsid w:val="00676793"/>
    <w:rsid w:val="00692C94"/>
    <w:rsid w:val="006953E1"/>
    <w:rsid w:val="006A0D11"/>
    <w:rsid w:val="006E2D6F"/>
    <w:rsid w:val="00713979"/>
    <w:rsid w:val="007358CF"/>
    <w:rsid w:val="00742AFD"/>
    <w:rsid w:val="00750DE1"/>
    <w:rsid w:val="00775BC1"/>
    <w:rsid w:val="00792070"/>
    <w:rsid w:val="007A37A3"/>
    <w:rsid w:val="00813197"/>
    <w:rsid w:val="00823B53"/>
    <w:rsid w:val="00843990"/>
    <w:rsid w:val="008A2710"/>
    <w:rsid w:val="008B0264"/>
    <w:rsid w:val="008B5533"/>
    <w:rsid w:val="008B5E35"/>
    <w:rsid w:val="008F2FA2"/>
    <w:rsid w:val="00903C1F"/>
    <w:rsid w:val="00906C1B"/>
    <w:rsid w:val="00931F30"/>
    <w:rsid w:val="00946007"/>
    <w:rsid w:val="0098256B"/>
    <w:rsid w:val="0098416A"/>
    <w:rsid w:val="00986CB7"/>
    <w:rsid w:val="009C7C84"/>
    <w:rsid w:val="00A27C6E"/>
    <w:rsid w:val="00A30C39"/>
    <w:rsid w:val="00A37F3D"/>
    <w:rsid w:val="00A62CFC"/>
    <w:rsid w:val="00A70DD5"/>
    <w:rsid w:val="00A747B8"/>
    <w:rsid w:val="00A76667"/>
    <w:rsid w:val="00A96DDF"/>
    <w:rsid w:val="00AB1C27"/>
    <w:rsid w:val="00AB71F5"/>
    <w:rsid w:val="00AE2C79"/>
    <w:rsid w:val="00AF3516"/>
    <w:rsid w:val="00B0064B"/>
    <w:rsid w:val="00B135C5"/>
    <w:rsid w:val="00B22A0B"/>
    <w:rsid w:val="00B2388A"/>
    <w:rsid w:val="00B31039"/>
    <w:rsid w:val="00B31125"/>
    <w:rsid w:val="00B33458"/>
    <w:rsid w:val="00B45C64"/>
    <w:rsid w:val="00B60523"/>
    <w:rsid w:val="00B7369A"/>
    <w:rsid w:val="00B9595E"/>
    <w:rsid w:val="00BB7A7A"/>
    <w:rsid w:val="00BC1F31"/>
    <w:rsid w:val="00BE1B1C"/>
    <w:rsid w:val="00C122A6"/>
    <w:rsid w:val="00C20698"/>
    <w:rsid w:val="00C24DAD"/>
    <w:rsid w:val="00C36886"/>
    <w:rsid w:val="00C36D05"/>
    <w:rsid w:val="00C91BC0"/>
    <w:rsid w:val="00CB4716"/>
    <w:rsid w:val="00CC38D7"/>
    <w:rsid w:val="00CC3C52"/>
    <w:rsid w:val="00CD14F8"/>
    <w:rsid w:val="00CE73ED"/>
    <w:rsid w:val="00D33996"/>
    <w:rsid w:val="00D4006E"/>
    <w:rsid w:val="00D43BE6"/>
    <w:rsid w:val="00D60BA8"/>
    <w:rsid w:val="00D6663E"/>
    <w:rsid w:val="00DA16EB"/>
    <w:rsid w:val="00DA312D"/>
    <w:rsid w:val="00DC0C36"/>
    <w:rsid w:val="00DD1478"/>
    <w:rsid w:val="00DE38B1"/>
    <w:rsid w:val="00E0750B"/>
    <w:rsid w:val="00E22DCB"/>
    <w:rsid w:val="00E62B9A"/>
    <w:rsid w:val="00E81C3D"/>
    <w:rsid w:val="00ED3228"/>
    <w:rsid w:val="00ED558F"/>
    <w:rsid w:val="00ED5D62"/>
    <w:rsid w:val="00F25725"/>
    <w:rsid w:val="00F741A7"/>
    <w:rsid w:val="00F86C61"/>
    <w:rsid w:val="00FA5FEB"/>
    <w:rsid w:val="00FB0B93"/>
    <w:rsid w:val="00FC33C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chartTrackingRefBased/>
  <w15:docId w15:val="{053C1D89-2B8D-44BA-BB46-B561BF83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styleId="Mencinsinresolver">
    <w:name w:val="Unresolved Mention"/>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notapie">
    <w:name w:val="footnote text"/>
    <w:basedOn w:val="Normal"/>
    <w:link w:val="TextonotapieCar"/>
    <w:uiPriority w:val="99"/>
    <w:semiHidden/>
    <w:unhideWhenUsed/>
    <w:rsid w:val="00530C17"/>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530C17"/>
    <w:rPr>
      <w:rFonts w:eastAsiaTheme="minorEastAsia"/>
      <w:sz w:val="20"/>
      <w:szCs w:val="20"/>
      <w:lang w:eastAsia="es-MX"/>
    </w:rPr>
  </w:style>
  <w:style w:type="character" w:styleId="Refdenotaalpie">
    <w:name w:val="footnote reference"/>
    <w:basedOn w:val="Fuentedeprrafopredeter"/>
    <w:uiPriority w:val="99"/>
    <w:semiHidden/>
    <w:unhideWhenUsed/>
    <w:rsid w:val="00530C17"/>
    <w:rPr>
      <w:vertAlign w:val="superscript"/>
    </w:rPr>
  </w:style>
  <w:style w:type="paragraph" w:styleId="Textodeglobo">
    <w:name w:val="Balloon Text"/>
    <w:basedOn w:val="Normal"/>
    <w:link w:val="TextodegloboCar"/>
    <w:uiPriority w:val="99"/>
    <w:semiHidden/>
    <w:unhideWhenUsed/>
    <w:rsid w:val="0044484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44846"/>
    <w:rPr>
      <w:rFonts w:ascii="Segoe UI" w:eastAsiaTheme="minorEastAsia" w:hAnsi="Segoe UI" w:cs="Segoe UI"/>
      <w:sz w:val="18"/>
      <w:szCs w:val="18"/>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 w:id="492337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11</Pages>
  <Words>2347</Words>
  <Characters>12911</Characters>
  <Application>Microsoft Office Word</Application>
  <DocSecurity>0</DocSecurity>
  <Lines>107</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Italia</cp:lastModifiedBy>
  <cp:revision>5</cp:revision>
  <cp:lastPrinted>2020-10-06T22:54:00Z</cp:lastPrinted>
  <dcterms:created xsi:type="dcterms:W3CDTF">2020-09-28T21:58:00Z</dcterms:created>
  <dcterms:modified xsi:type="dcterms:W3CDTF">2020-10-06T22:54:00Z</dcterms:modified>
</cp:coreProperties>
</file>