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8441A7" w:rsidP="00E01C85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Mediación y Conciliación</w:t>
      </w:r>
    </w:p>
    <w:p w:rsidR="00E01C85" w:rsidRPr="00497732" w:rsidRDefault="00E01C85" w:rsidP="00E01C85">
      <w:pPr>
        <w:pStyle w:val="Default"/>
        <w:jc w:val="both"/>
        <w:rPr>
          <w:rFonts w:asciiTheme="minorHAnsi" w:hAnsiTheme="minorHAnsi" w:cstheme="minorHAnsi"/>
          <w:bCs/>
        </w:rPr>
      </w:pP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97732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58 de la Ley de la Defensoría Pública del Estado,  </w:t>
      </w:r>
      <w:r w:rsidRPr="00497732">
        <w:rPr>
          <w:rFonts w:asciiTheme="minorHAnsi" w:hAnsiTheme="minorHAnsi" w:cstheme="minorHAnsi"/>
          <w:sz w:val="24"/>
          <w:szCs w:val="24"/>
        </w:rPr>
        <w:t>son obligaciones de las y los facilitadores de la Defensoría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497732">
        <w:rPr>
          <w:rFonts w:asciiTheme="minorHAnsi" w:hAnsiTheme="minorHAnsi" w:cstheme="minorHAnsi"/>
          <w:sz w:val="24"/>
          <w:szCs w:val="24"/>
        </w:rPr>
        <w:t xml:space="preserve"> las siguientes:</w:t>
      </w: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01C85" w:rsidRPr="00497732" w:rsidRDefault="00E01C85" w:rsidP="00E01C8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49773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Ejercer con probidad, eficiencia y respeto a los principios que </w:t>
      </w:r>
      <w:bookmarkStart w:id="0" w:name="_GoBack"/>
      <w:bookmarkEnd w:id="0"/>
      <w:r w:rsidRPr="0049773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rigen la justicia alternativa, las funciones que esta ley encomienda; </w:t>
      </w:r>
    </w:p>
    <w:p w:rsidR="00E01C85" w:rsidRPr="00497732" w:rsidRDefault="00E01C85" w:rsidP="00E01C8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E01C85" w:rsidP="00E01C8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49773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En el desempeño de su función, asistir a las partes en conflicto que así lo decidan libremente, con la finalidad de facilitar las vías de diálogo y la búsqueda en común de un acuerdo que contenga la voluntad de las partes, sin necesidad de recurrir al procedimiento judicial; </w:t>
      </w:r>
    </w:p>
    <w:p w:rsidR="00E01C85" w:rsidRPr="00497732" w:rsidRDefault="00E01C85" w:rsidP="00E01C8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E01C85" w:rsidP="00E01C8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49773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Ser imparcial, en ningún caso podrá sustituir las decisiones de las personas involucradas en la controversia y en el ejercicio de sus funciones, se sujetará a las disposiciones establecidas en la Ley de Mediación y Conciliación y en la ley de Mecanismos Alternativos de Solución de Controversias del Estado de San Luis Potosí, y </w:t>
      </w:r>
    </w:p>
    <w:p w:rsidR="00E01C85" w:rsidRPr="00497732" w:rsidRDefault="00E01C85" w:rsidP="00E01C8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E01C85" w:rsidRPr="00497732" w:rsidRDefault="00E01C85" w:rsidP="00E01C8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49773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Guardar la debida confidencialidad, en calidad de secreto profesional, respecto de la información obtenida en razón de su intervención, así como el sentido de las actuaciones y los convenios en que intervenga. Las demás que establezcan esta Ley, el Reglamento Interno y ordenamientos aplicables en la materia.</w:t>
      </w: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1090" w:rsidRDefault="00611090">
      <w:pPr>
        <w:spacing w:after="0" w:line="240" w:lineRule="auto"/>
      </w:pPr>
      <w:r>
        <w:separator/>
      </w:r>
    </w:p>
  </w:endnote>
  <w:endnote w:type="continuationSeparator" w:id="0">
    <w:p w:rsidR="00611090" w:rsidRDefault="00611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310F9F4-079C-4606-A9CD-F82028771BFD}"/>
    <w:embedBold r:id="rId2" w:fontKey="{A3B4BE78-4A54-44C4-A0C4-F2DA7C0A6BF8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809EB3D8-C095-441B-8DEB-74EA8BDA80C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1090" w:rsidRDefault="00611090">
      <w:pPr>
        <w:spacing w:after="0" w:line="240" w:lineRule="auto"/>
      </w:pPr>
      <w:r>
        <w:separator/>
      </w:r>
    </w:p>
  </w:footnote>
  <w:footnote w:type="continuationSeparator" w:id="0">
    <w:p w:rsidR="00611090" w:rsidRDefault="00611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936EE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11090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441A7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01C8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97A5770-C91A-45B1-B8FF-E4E14ED11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E01C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DC204-51DE-4337-A30A-60A229AC0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2020-03-05T14:40:00Z</dcterms:modified>
</cp:coreProperties>
</file>