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8DE" w:rsidRPr="002E18DE" w:rsidRDefault="002E18DE" w:rsidP="002E18DE">
      <w:pPr>
        <w:jc w:val="both"/>
        <w:rPr>
          <w:b/>
          <w:sz w:val="24"/>
          <w:szCs w:val="24"/>
        </w:rPr>
      </w:pPr>
      <w:r w:rsidRPr="002E18DE">
        <w:rPr>
          <w:b/>
          <w:sz w:val="24"/>
          <w:szCs w:val="24"/>
        </w:rPr>
        <w:t>Estatuto Orgánico de la Universidad Autónoma de San Luis Potosí.</w:t>
      </w:r>
    </w:p>
    <w:p w:rsidR="0042775D" w:rsidRPr="002E18DE" w:rsidRDefault="002E18DE" w:rsidP="002E18DE">
      <w:pPr>
        <w:jc w:val="both"/>
        <w:rPr>
          <w:sz w:val="24"/>
          <w:szCs w:val="24"/>
        </w:rPr>
      </w:pPr>
      <w:r w:rsidRPr="002E18DE">
        <w:rPr>
          <w:b/>
          <w:sz w:val="24"/>
          <w:szCs w:val="24"/>
        </w:rPr>
        <w:t>ARTÍCULO 76.-</w:t>
      </w:r>
      <w:r w:rsidRPr="002E18DE">
        <w:rPr>
          <w:sz w:val="24"/>
          <w:szCs w:val="24"/>
        </w:rPr>
        <w:t xml:space="preserve"> Como asesor jurídico y para la representación en asuntos judiciales y contenciosos, habrá un abogado general de la Universidad que designará el rector y ratificará el Consejo Directivo</w:t>
      </w:r>
      <w:bookmarkStart w:id="0" w:name="_GoBack"/>
      <w:bookmarkEnd w:id="0"/>
      <w:r w:rsidRPr="002E18DE">
        <w:rPr>
          <w:sz w:val="24"/>
          <w:szCs w:val="24"/>
        </w:rPr>
        <w:t>.</w:t>
      </w:r>
    </w:p>
    <w:sectPr w:rsidR="0042775D" w:rsidRPr="002E18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8DE"/>
    <w:rsid w:val="00103351"/>
    <w:rsid w:val="00290B05"/>
    <w:rsid w:val="002E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8E071"/>
  <w15:chartTrackingRefBased/>
  <w15:docId w15:val="{FC4ABF6A-393A-46CB-829C-EC32A01C9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2020-10-27T16:44:00Z</dcterms:created>
  <dcterms:modified xsi:type="dcterms:W3CDTF">2020-10-27T16:53:00Z</dcterms:modified>
</cp:coreProperties>
</file>