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21D2" w:rsidRDefault="005221D2" w:rsidP="005221D2">
      <w:pPr>
        <w:jc w:val="both"/>
      </w:pPr>
    </w:p>
    <w:p w:rsidR="005221D2" w:rsidRDefault="005221D2" w:rsidP="005221D2">
      <w:pPr>
        <w:jc w:val="both"/>
      </w:pPr>
      <w:r>
        <w:t xml:space="preserve">DEUDA </w:t>
      </w:r>
      <w:proofErr w:type="gramStart"/>
      <w:r>
        <w:t>PUBLICA</w:t>
      </w:r>
      <w:proofErr w:type="gramEnd"/>
      <w:r>
        <w:t xml:space="preserve"> </w:t>
      </w:r>
    </w:p>
    <w:p w:rsidR="005221D2" w:rsidRDefault="005221D2" w:rsidP="005221D2">
      <w:pPr>
        <w:jc w:val="both"/>
      </w:pPr>
    </w:p>
    <w:p w:rsidR="005221D2" w:rsidRDefault="005221D2" w:rsidP="005221D2">
      <w:pPr>
        <w:jc w:val="both"/>
      </w:pPr>
    </w:p>
    <w:p w:rsidR="005221D2" w:rsidRDefault="005221D2" w:rsidP="005221D2">
      <w:pPr>
        <w:jc w:val="both"/>
      </w:pPr>
      <w:r>
        <w:t xml:space="preserve">En relación al Art. 84, </w:t>
      </w:r>
      <w:proofErr w:type="spellStart"/>
      <w:r>
        <w:t>fracc</w:t>
      </w:r>
      <w:proofErr w:type="spellEnd"/>
      <w:r>
        <w:t xml:space="preserve">. XXVIII de la Ley de Transparencia y Acceso a la Información Pública del Estado de San Luis Potosí, hago constar que este Sujeto Obligado no genera deuda pública. Esta información no es atribución de este Sujeto Obligado ya que no se encuentra dentro de su Decreto de Creación ni en su Reglamento Interno, además de ser un Organismo sectorizado y descentralizado de Gob. </w:t>
      </w:r>
      <w:proofErr w:type="gramStart"/>
      <w:r>
        <w:t>del</w:t>
      </w:r>
      <w:proofErr w:type="gramEnd"/>
      <w:r>
        <w:t xml:space="preserve"> Estado, por lo que no se genera (Art. 19 de la Ley General y Estatal de Transparencia)</w:t>
      </w:r>
    </w:p>
    <w:p w:rsidR="00214596" w:rsidRDefault="00214596"/>
    <w:p w:rsidR="005221D2" w:rsidRDefault="005221D2"/>
    <w:p w:rsidR="005221D2" w:rsidRDefault="005221D2"/>
    <w:p w:rsidR="005221D2" w:rsidRDefault="005221D2">
      <w:r>
        <w:t>El Instituto Potosino de la Juventud no se encuentra facultado para contraer deuda pública, dentro de la Ley de la Persona Joven para el Estado y Municipios de San Luis Potosí, en su artículo 47 fracción V únicamente tiene la obligación de determinar los recursos necesarios para la difusión, promoción de los programas en materia de juventud que deberán incluirse en la Ley del Presupuesto de Egresos correspondiente. De igual manera, tal y como lo establece el artículo 71 de la Ley en cita, la Junta Directiva tiene solamente la obligación de aprobar el proyecto de presupuesto anual de ingresos y egresos, y de conformidad con el 88 el Instituto quedará sujeto a las reglas de contabilidad, presupuesto y gasto público aplicable, además tal circunstancia se puede corroborar con los estados financieros de ingresos y egresos que se publican de manera mensual en las Plataformas de Transparencia y en los registros de las obligaciones financieras constitutivas de deuda pública que tiene a cargo la Secretaría de Hacienda y Crédito Público. De lo anterior, resulta claro que el Instituto sólo tiene la atribución de poder hacer uso del presupuesto autorizado y no de poder contraer deuda pública.</w:t>
      </w:r>
    </w:p>
    <w:p w:rsidR="005221D2" w:rsidRDefault="005221D2"/>
    <w:p w:rsidR="005221D2" w:rsidRPr="00C4661D" w:rsidRDefault="005221D2" w:rsidP="005221D2">
      <w:pPr>
        <w:jc w:val="both"/>
        <w:rPr>
          <w:rFonts w:ascii="Century Gothic" w:hAnsi="Century Gothic"/>
          <w:sz w:val="28"/>
          <w:szCs w:val="28"/>
        </w:rPr>
      </w:pPr>
      <w:r w:rsidRPr="00C4661D">
        <w:rPr>
          <w:rFonts w:ascii="Century Gothic" w:hAnsi="Century Gothic"/>
          <w:sz w:val="28"/>
          <w:szCs w:val="28"/>
        </w:rPr>
        <w:t xml:space="preserve">El Instituto de Capacitación para el Trabajo del Estado (ICAT), </w:t>
      </w:r>
      <w:r>
        <w:rPr>
          <w:rFonts w:ascii="Century Gothic" w:hAnsi="Century Gothic"/>
          <w:sz w:val="28"/>
          <w:szCs w:val="28"/>
        </w:rPr>
        <w:t>en el mes que nos ocupa</w:t>
      </w:r>
      <w:r w:rsidRPr="00C4661D">
        <w:rPr>
          <w:rFonts w:ascii="Century Gothic" w:hAnsi="Century Gothic"/>
          <w:sz w:val="28"/>
          <w:szCs w:val="28"/>
        </w:rPr>
        <w:t xml:space="preserve"> se informa</w:t>
      </w:r>
      <w:r>
        <w:rPr>
          <w:rFonts w:ascii="Century Gothic" w:hAnsi="Century Gothic"/>
          <w:sz w:val="28"/>
          <w:szCs w:val="28"/>
        </w:rPr>
        <w:t xml:space="preserve"> que en parcialidad del formato </w:t>
      </w:r>
      <w:r w:rsidRPr="00C4661D">
        <w:rPr>
          <w:rFonts w:ascii="Century Gothic" w:hAnsi="Century Gothic"/>
          <w:sz w:val="28"/>
          <w:szCs w:val="28"/>
        </w:rPr>
        <w:t xml:space="preserve"> no </w:t>
      </w:r>
      <w:r>
        <w:rPr>
          <w:rFonts w:ascii="Century Gothic" w:hAnsi="Century Gothic"/>
          <w:sz w:val="28"/>
          <w:szCs w:val="28"/>
        </w:rPr>
        <w:t xml:space="preserve">se </w:t>
      </w:r>
      <w:r w:rsidRPr="00C4661D">
        <w:rPr>
          <w:rFonts w:ascii="Century Gothic" w:hAnsi="Century Gothic"/>
          <w:sz w:val="28"/>
          <w:szCs w:val="28"/>
        </w:rPr>
        <w:t xml:space="preserve">ha generado información acerca de </w:t>
      </w:r>
      <w:r w:rsidRPr="00E7506E">
        <w:rPr>
          <w:rFonts w:ascii="Century Gothic" w:hAnsi="Century Gothic"/>
          <w:sz w:val="28"/>
          <w:szCs w:val="28"/>
        </w:rPr>
        <w:t>Deuda Pública</w:t>
      </w:r>
      <w:r w:rsidRPr="00C4661D">
        <w:rPr>
          <w:rFonts w:ascii="Century Gothic" w:hAnsi="Century Gothic"/>
          <w:sz w:val="28"/>
          <w:szCs w:val="28"/>
        </w:rPr>
        <w:t>. Por lo tanto, este organismo no cuenta con información para reportar dentro del presente formato. En este sentido y de conformidad con los artículos 18 y 19 de la Ley de Transparencia en relación con el artículo 84 fracción X</w:t>
      </w:r>
      <w:r>
        <w:rPr>
          <w:rFonts w:ascii="Century Gothic" w:hAnsi="Century Gothic"/>
          <w:sz w:val="28"/>
          <w:szCs w:val="28"/>
        </w:rPr>
        <w:t>XVIII,</w:t>
      </w:r>
      <w:r w:rsidRPr="00C4661D">
        <w:rPr>
          <w:rFonts w:ascii="Century Gothic" w:hAnsi="Century Gothic"/>
          <w:sz w:val="28"/>
          <w:szCs w:val="28"/>
        </w:rPr>
        <w:t xml:space="preserve"> de la ley citada en concordancia con el lineamiento </w:t>
      </w:r>
      <w:r>
        <w:rPr>
          <w:rFonts w:ascii="Century Gothic" w:hAnsi="Century Gothic"/>
          <w:sz w:val="28"/>
          <w:szCs w:val="28"/>
        </w:rPr>
        <w:t>Cuadrag</w:t>
      </w:r>
      <w:r w:rsidRPr="00C4661D">
        <w:rPr>
          <w:rFonts w:ascii="Century Gothic" w:hAnsi="Century Gothic"/>
          <w:sz w:val="28"/>
          <w:szCs w:val="28"/>
        </w:rPr>
        <w:t xml:space="preserve">ésimo </w:t>
      </w:r>
      <w:r>
        <w:rPr>
          <w:rFonts w:ascii="Century Gothic" w:hAnsi="Century Gothic"/>
          <w:sz w:val="28"/>
          <w:szCs w:val="28"/>
        </w:rPr>
        <w:t>tercero</w:t>
      </w:r>
      <w:r w:rsidRPr="00C4661D">
        <w:rPr>
          <w:rFonts w:ascii="Century Gothic" w:hAnsi="Century Gothic"/>
          <w:sz w:val="28"/>
          <w:szCs w:val="28"/>
        </w:rPr>
        <w:t xml:space="preserve"> de los Lineamientos Estatales para la Difusión, Disposición y Evaluación de las Obligaciones de Transparencia Comunes y Específicas y </w:t>
      </w:r>
      <w:r w:rsidRPr="00C4661D">
        <w:rPr>
          <w:rFonts w:ascii="Century Gothic" w:hAnsi="Century Gothic"/>
          <w:sz w:val="28"/>
          <w:szCs w:val="28"/>
        </w:rPr>
        <w:lastRenderedPageBreak/>
        <w:t>el artículo 70, fracción X</w:t>
      </w:r>
      <w:r>
        <w:rPr>
          <w:rFonts w:ascii="Century Gothic" w:hAnsi="Century Gothic"/>
          <w:sz w:val="28"/>
          <w:szCs w:val="28"/>
        </w:rPr>
        <w:t>XXIII</w:t>
      </w:r>
      <w:r w:rsidRPr="00C4661D">
        <w:rPr>
          <w:rFonts w:ascii="Century Gothic" w:hAnsi="Century Gothic"/>
          <w:sz w:val="28"/>
          <w:szCs w:val="28"/>
        </w:rPr>
        <w:t xml:space="preserve"> de la Ley General de Transparencia y Acceso a la Información Pública, se advierte que los campos que comprenden esas disposiciones fueron llenados con la finalidad de respetar el formato de las celdas según se solicita en los citados lineamientos.</w:t>
      </w:r>
    </w:p>
    <w:p w:rsidR="005221D2" w:rsidRDefault="005221D2"/>
    <w:p w:rsidR="005221D2" w:rsidRDefault="005221D2"/>
    <w:p w:rsidR="005221D2" w:rsidRDefault="005221D2">
      <w:r>
        <w:t xml:space="preserve">No se genera información debido a que el IMES no tiene deuda pública </w:t>
      </w:r>
      <w:proofErr w:type="spellStart"/>
      <w:r>
        <w:t>por que</w:t>
      </w:r>
      <w:proofErr w:type="spellEnd"/>
      <w:r>
        <w:t xml:space="preserve"> con fundamento en el artículo 9° de su propia ley no tiene las facultades de solicitar créditos y su patrimonio se basa en lo establecido por el artículo 34 de la misma ley del IMES.</w:t>
      </w:r>
    </w:p>
    <w:p w:rsidR="005221D2" w:rsidRDefault="005221D2">
      <w:bookmarkStart w:id="0" w:name="_GoBack"/>
      <w:bookmarkEnd w:id="0"/>
    </w:p>
    <w:p w:rsidR="005221D2" w:rsidRDefault="005221D2"/>
    <w:p w:rsidR="005221D2" w:rsidRPr="005221D2" w:rsidRDefault="005221D2" w:rsidP="005221D2">
      <w:pPr>
        <w:spacing w:after="0" w:line="240" w:lineRule="auto"/>
        <w:rPr>
          <w:rFonts w:ascii="Calibri" w:eastAsia="Times New Roman" w:hAnsi="Calibri" w:cs="Calibri"/>
          <w:color w:val="000000"/>
          <w:lang w:eastAsia="es-MX"/>
        </w:rPr>
      </w:pPr>
      <w:r w:rsidRPr="005221D2">
        <w:rPr>
          <w:rFonts w:ascii="Calibri" w:eastAsia="Times New Roman" w:hAnsi="Calibri" w:cs="Calibri"/>
          <w:color w:val="000000"/>
          <w:lang w:eastAsia="es-MX"/>
        </w:rPr>
        <w:t>Le compete a la Secretaria de Finanzas la publicación de la información requerida, en virtud de lo establecido en los ordenamientos legales referidos.</w:t>
      </w:r>
      <w:r w:rsidRPr="005221D2">
        <w:rPr>
          <w:rFonts w:ascii="Calibri" w:eastAsia="Times New Roman" w:hAnsi="Calibri" w:cs="Calibri"/>
          <w:color w:val="000000"/>
          <w:lang w:eastAsia="es-MX"/>
        </w:rPr>
        <w:br/>
      </w:r>
      <w:r w:rsidRPr="005221D2">
        <w:rPr>
          <w:rFonts w:ascii="Calibri" w:eastAsia="Times New Roman" w:hAnsi="Calibri" w:cs="Calibri"/>
          <w:color w:val="000000"/>
          <w:lang w:eastAsia="es-MX"/>
        </w:rPr>
        <w:br/>
        <w:t>ARTICULO 33 LEY ORGANICA DEL ESTADO. A la Secretaría de Finanzas corresponde el despacho de los siguientes asuntos:</w:t>
      </w:r>
      <w:r w:rsidRPr="005221D2">
        <w:rPr>
          <w:rFonts w:ascii="Calibri" w:eastAsia="Times New Roman" w:hAnsi="Calibri" w:cs="Calibri"/>
          <w:color w:val="000000"/>
          <w:lang w:eastAsia="es-MX"/>
        </w:rPr>
        <w:br/>
      </w:r>
      <w:r w:rsidRPr="005221D2">
        <w:rPr>
          <w:rFonts w:ascii="Calibri" w:eastAsia="Times New Roman" w:hAnsi="Calibri" w:cs="Calibri"/>
          <w:color w:val="000000"/>
          <w:lang w:eastAsia="es-MX"/>
        </w:rPr>
        <w:br/>
        <w:t>I. Proponer e instrumentar la política fiscal y de deuda pública del Estado, tomando en cuenta los convenios celebrados por el Estado con la Federación y los Ayuntamientos, así como las disposiciones jurídicas sobre la materia;</w:t>
      </w:r>
      <w:r w:rsidRPr="005221D2">
        <w:rPr>
          <w:rFonts w:ascii="Calibri" w:eastAsia="Times New Roman" w:hAnsi="Calibri" w:cs="Calibri"/>
          <w:color w:val="000000"/>
          <w:lang w:eastAsia="es-MX"/>
        </w:rPr>
        <w:br/>
      </w:r>
      <w:r w:rsidRPr="005221D2">
        <w:rPr>
          <w:rFonts w:ascii="Calibri" w:eastAsia="Times New Roman" w:hAnsi="Calibri" w:cs="Calibri"/>
          <w:color w:val="000000"/>
          <w:lang w:eastAsia="es-MX"/>
        </w:rPr>
        <w:br/>
        <w:t>XVI. Negociar y administrar, previo acuerdo del Ejecutivo, la deuda pública del Estado, en términos de las disposiciones legales aplicables;</w:t>
      </w:r>
    </w:p>
    <w:p w:rsidR="005221D2" w:rsidRDefault="005221D2"/>
    <w:sectPr w:rsidR="005221D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1D2"/>
    <w:rsid w:val="00214596"/>
    <w:rsid w:val="005221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21D2"/>
    <w:pPr>
      <w:spacing w:after="160"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21D2"/>
    <w:pPr>
      <w:spacing w:after="160"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1957317">
      <w:bodyDiv w:val="1"/>
      <w:marLeft w:val="0"/>
      <w:marRight w:val="0"/>
      <w:marTop w:val="0"/>
      <w:marBottom w:val="0"/>
      <w:divBdr>
        <w:top w:val="none" w:sz="0" w:space="0" w:color="auto"/>
        <w:left w:val="none" w:sz="0" w:space="0" w:color="auto"/>
        <w:bottom w:val="none" w:sz="0" w:space="0" w:color="auto"/>
        <w:right w:val="none" w:sz="0" w:space="0" w:color="auto"/>
      </w:divBdr>
    </w:div>
    <w:div w:id="1644845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542</Words>
  <Characters>2981</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Oziel ...</dc:creator>
  <cp:lastModifiedBy>Oziel ...</cp:lastModifiedBy>
  <cp:revision>1</cp:revision>
  <dcterms:created xsi:type="dcterms:W3CDTF">2020-09-23T03:45:00Z</dcterms:created>
  <dcterms:modified xsi:type="dcterms:W3CDTF">2020-09-23T03:51:00Z</dcterms:modified>
</cp:coreProperties>
</file>