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9A2" w:rsidRPr="003D59EB" w:rsidRDefault="00AF59A2" w:rsidP="00AF59A2">
      <w:pPr>
        <w:spacing w:before="120" w:after="120" w:line="360" w:lineRule="auto"/>
        <w:jc w:val="both"/>
        <w:rPr>
          <w:color w:val="4472C4" w:themeColor="accent1"/>
        </w:rPr>
      </w:pPr>
      <w:bookmarkStart w:id="0" w:name="_Hlk536007373"/>
      <w:bookmarkStart w:id="1" w:name="_GoBack"/>
      <w:bookmarkEnd w:id="1"/>
      <w:r w:rsidRPr="003D59EB">
        <w:rPr>
          <w:b/>
          <w:color w:val="4472C4" w:themeColor="accent1"/>
        </w:rPr>
        <w:t>VISTO</w:t>
      </w:r>
      <w:r w:rsidRPr="003D59EB">
        <w:rPr>
          <w:color w:val="4472C4" w:themeColor="accent1"/>
        </w:rPr>
        <w:t xml:space="preserve"> el estado procesal del expediente citado al rubro, en el que: </w:t>
      </w:r>
    </w:p>
    <w:p w:rsidR="00AF59A2" w:rsidRPr="003D59EB" w:rsidRDefault="00AF59A2" w:rsidP="00AF59A2">
      <w:pPr>
        <w:spacing w:before="120" w:after="120" w:line="360" w:lineRule="auto"/>
        <w:jc w:val="both"/>
        <w:rPr>
          <w:color w:val="4472C4" w:themeColor="accent1"/>
        </w:rPr>
      </w:pPr>
    </w:p>
    <w:p w:rsidR="00AF59A2" w:rsidRPr="003D59EB" w:rsidRDefault="00AF59A2" w:rsidP="00AF59A2">
      <w:pPr>
        <w:pStyle w:val="Prrafodelista"/>
        <w:numPr>
          <w:ilvl w:val="0"/>
          <w:numId w:val="2"/>
        </w:numPr>
        <w:tabs>
          <w:tab w:val="left" w:pos="426"/>
        </w:tabs>
        <w:spacing w:before="120" w:after="120"/>
        <w:ind w:left="426" w:hanging="283"/>
        <w:rPr>
          <w:rFonts w:ascii="Arial" w:hAnsi="Arial" w:cs="Arial"/>
          <w:color w:val="4472C4" w:themeColor="accent1"/>
          <w:sz w:val="24"/>
          <w:lang w:val="es-MX"/>
        </w:rPr>
      </w:pPr>
      <w:r w:rsidRPr="003D59EB">
        <w:rPr>
          <w:rFonts w:ascii="Arial" w:hAnsi="Arial" w:cs="Arial"/>
          <w:color w:val="4472C4" w:themeColor="accent1"/>
          <w:sz w:val="24"/>
          <w:lang w:val="es-MX"/>
        </w:rPr>
        <w:t xml:space="preserve">El diez de octubre de dos mil dieciocho, </w:t>
      </w:r>
      <w:r w:rsidRPr="003D59EB">
        <w:rPr>
          <w:rFonts w:ascii="Arial" w:hAnsi="Arial" w:cs="Arial"/>
          <w:color w:val="4472C4" w:themeColor="accent1"/>
          <w:sz w:val="24"/>
        </w:rPr>
        <w:t>se resolvió en definitiva el presente recurso de revisión</w:t>
      </w:r>
      <w:r w:rsidRPr="003D59EB">
        <w:rPr>
          <w:rFonts w:ascii="Arial" w:eastAsia="Arial" w:hAnsi="Arial" w:cs="Arial"/>
          <w:color w:val="4472C4" w:themeColor="accent1"/>
          <w:spacing w:val="1"/>
          <w:sz w:val="24"/>
        </w:rPr>
        <w:t xml:space="preserve"> por acuerdo del Pleno de este Órgano Garante, en la que se </w:t>
      </w:r>
      <w:r w:rsidRPr="003D59EB">
        <w:rPr>
          <w:rFonts w:ascii="Arial" w:eastAsia="Arial" w:hAnsi="Arial" w:cs="Arial"/>
          <w:b/>
          <w:color w:val="4472C4" w:themeColor="accent1"/>
          <w:spacing w:val="1"/>
          <w:sz w:val="24"/>
        </w:rPr>
        <w:t xml:space="preserve">modificó </w:t>
      </w:r>
      <w:r w:rsidRPr="003D59EB">
        <w:rPr>
          <w:rFonts w:ascii="Arial" w:eastAsia="Arial" w:hAnsi="Arial" w:cs="Arial"/>
          <w:color w:val="4472C4" w:themeColor="accent1"/>
          <w:spacing w:val="1"/>
          <w:sz w:val="24"/>
        </w:rPr>
        <w:t>la respuesta emitida por el sujeto obligado para efectos de que:</w:t>
      </w:r>
    </w:p>
    <w:p w:rsidR="00AF59A2" w:rsidRPr="003D59EB" w:rsidRDefault="00AF59A2" w:rsidP="00AF59A2">
      <w:pPr>
        <w:pStyle w:val="Prrafodelista"/>
        <w:tabs>
          <w:tab w:val="left" w:pos="426"/>
        </w:tabs>
        <w:spacing w:before="120" w:after="120"/>
        <w:ind w:left="426"/>
        <w:rPr>
          <w:rFonts w:ascii="Arial" w:hAnsi="Arial" w:cs="Arial"/>
          <w:color w:val="4472C4" w:themeColor="accent1"/>
          <w:sz w:val="24"/>
          <w:lang w:val="es-MX"/>
        </w:rPr>
      </w:pPr>
    </w:p>
    <w:p w:rsidR="00AF59A2" w:rsidRPr="003D59EB" w:rsidRDefault="00AF59A2" w:rsidP="00AF59A2">
      <w:pPr>
        <w:spacing w:line="360" w:lineRule="auto"/>
        <w:ind w:left="1134" w:hanging="283"/>
        <w:jc w:val="both"/>
        <w:rPr>
          <w:rFonts w:eastAsia="Arial"/>
          <w:i/>
          <w:color w:val="4472C4" w:themeColor="accent1"/>
          <w:spacing w:val="1"/>
          <w:sz w:val="22"/>
          <w:szCs w:val="22"/>
        </w:rPr>
      </w:pPr>
      <w:r w:rsidRPr="003D59EB">
        <w:rPr>
          <w:rFonts w:eastAsia="Arial"/>
          <w:i/>
          <w:color w:val="4472C4" w:themeColor="accent1"/>
          <w:spacing w:val="1"/>
          <w:sz w:val="22"/>
          <w:szCs w:val="22"/>
        </w:rPr>
        <w:t xml:space="preserve">       […]</w:t>
      </w:r>
    </w:p>
    <w:p w:rsidR="00AF59A2" w:rsidRPr="003D59EB" w:rsidRDefault="00AF59A2" w:rsidP="00AF59A2">
      <w:pPr>
        <w:pStyle w:val="Prrafodelista"/>
        <w:numPr>
          <w:ilvl w:val="0"/>
          <w:numId w:val="1"/>
        </w:numPr>
        <w:spacing w:line="240" w:lineRule="auto"/>
        <w:ind w:right="1183"/>
        <w:rPr>
          <w:rFonts w:ascii="Arial" w:eastAsia="Arial" w:hAnsi="Arial" w:cs="Arial"/>
          <w:i/>
          <w:color w:val="4472C4" w:themeColor="accent1"/>
          <w:spacing w:val="1"/>
          <w:sz w:val="22"/>
          <w:szCs w:val="22"/>
        </w:rPr>
      </w:pPr>
      <w:r w:rsidRPr="003D59EB">
        <w:rPr>
          <w:rFonts w:ascii="Arial" w:eastAsia="Arial" w:hAnsi="Arial" w:cs="Arial"/>
          <w:i/>
          <w:color w:val="4472C4" w:themeColor="accent1"/>
          <w:spacing w:val="1"/>
          <w:sz w:val="22"/>
          <w:szCs w:val="22"/>
        </w:rPr>
        <w:t xml:space="preserve">Desclasifique las facturas solicitadas por el particular y las entregue en el estado en que se encuentran, esto es, sin eliminar o testar los datos contenidos en los documentos entregados al solicitante. </w:t>
      </w:r>
    </w:p>
    <w:p w:rsidR="00AF59A2" w:rsidRPr="003D59EB" w:rsidRDefault="00AF59A2" w:rsidP="00AF59A2">
      <w:pPr>
        <w:pStyle w:val="Prrafodelista"/>
        <w:spacing w:line="240" w:lineRule="auto"/>
        <w:ind w:left="6521" w:right="332"/>
        <w:rPr>
          <w:rFonts w:ascii="Arial" w:eastAsia="Arial" w:hAnsi="Arial" w:cs="Arial"/>
          <w:i/>
          <w:color w:val="4472C4" w:themeColor="accent1"/>
          <w:spacing w:val="1"/>
          <w:sz w:val="22"/>
          <w:szCs w:val="22"/>
        </w:rPr>
      </w:pPr>
      <w:r w:rsidRPr="003D59EB">
        <w:rPr>
          <w:rFonts w:ascii="Arial" w:eastAsia="Arial" w:hAnsi="Arial" w:cs="Arial"/>
          <w:i/>
          <w:color w:val="4472C4" w:themeColor="accent1"/>
          <w:spacing w:val="1"/>
          <w:sz w:val="22"/>
          <w:szCs w:val="22"/>
        </w:rPr>
        <w:t xml:space="preserve">               […]</w:t>
      </w:r>
    </w:p>
    <w:p w:rsidR="00AF59A2" w:rsidRPr="003D59EB" w:rsidRDefault="00AF59A2" w:rsidP="00AF59A2">
      <w:pPr>
        <w:pStyle w:val="Prrafodelista"/>
        <w:spacing w:before="120" w:after="120"/>
        <w:ind w:left="426"/>
        <w:rPr>
          <w:rFonts w:ascii="Arial" w:hAnsi="Arial" w:cs="Arial"/>
          <w:color w:val="4472C4" w:themeColor="accent1"/>
          <w:sz w:val="24"/>
          <w:lang w:val="es-MX"/>
        </w:rPr>
      </w:pPr>
    </w:p>
    <w:p w:rsidR="00AF59A2" w:rsidRPr="003D59EB" w:rsidRDefault="00AF59A2" w:rsidP="00AF59A2">
      <w:pPr>
        <w:pStyle w:val="Prrafodelista"/>
        <w:numPr>
          <w:ilvl w:val="0"/>
          <w:numId w:val="2"/>
        </w:numPr>
        <w:spacing w:before="120"/>
        <w:ind w:left="567" w:hanging="425"/>
        <w:rPr>
          <w:rFonts w:ascii="Arial" w:hAnsi="Arial" w:cs="Arial"/>
          <w:color w:val="4472C4" w:themeColor="accent1"/>
          <w:sz w:val="24"/>
          <w:lang w:val="es-MX"/>
        </w:rPr>
      </w:pPr>
      <w:r w:rsidRPr="003D59EB">
        <w:rPr>
          <w:rFonts w:ascii="Arial" w:hAnsi="Arial" w:cs="Arial"/>
          <w:color w:val="4472C4" w:themeColor="accent1"/>
          <w:sz w:val="24"/>
        </w:rPr>
        <w:t xml:space="preserve">El </w:t>
      </w:r>
      <w:r w:rsidR="008064F3" w:rsidRPr="003D59EB">
        <w:rPr>
          <w:rFonts w:ascii="Arial" w:hAnsi="Arial" w:cs="Arial"/>
          <w:color w:val="4472C4" w:themeColor="accent1"/>
          <w:sz w:val="24"/>
        </w:rPr>
        <w:t>veintidós</w:t>
      </w:r>
      <w:r w:rsidRPr="003D59EB">
        <w:rPr>
          <w:rFonts w:ascii="Arial" w:hAnsi="Arial" w:cs="Arial"/>
          <w:color w:val="4472C4" w:themeColor="accent1"/>
          <w:sz w:val="24"/>
        </w:rPr>
        <w:t xml:space="preserve"> de noviembre de dos mil dieciocho, se dictó un proveído en el que se tuvo por agregado el oficio IN/DG/UT/048/2019, de fecha veintiuno de noviembre de dos mil diecinueve, signado por el Director General y el Titular de la Unidad de Transparencia del Organismo Intermunicipal Metropolitano de Agua Potable, Alcantarillado, Saneamiento y Servicios Conexos de los Municipios de Cerro de San Pedro, San Luis Potosí y Soledad de Graciano Sánchez.</w:t>
      </w:r>
    </w:p>
    <w:p w:rsidR="00AF59A2" w:rsidRPr="003D59EB" w:rsidRDefault="00AF59A2" w:rsidP="00AF59A2">
      <w:pPr>
        <w:rPr>
          <w:color w:val="4472C4" w:themeColor="accent1"/>
        </w:rPr>
      </w:pPr>
    </w:p>
    <w:p w:rsidR="00AF59A2" w:rsidRPr="003D59EB" w:rsidRDefault="00AF59A2" w:rsidP="00AF59A2">
      <w:pPr>
        <w:pStyle w:val="Prrafodelista"/>
        <w:ind w:left="567"/>
        <w:rPr>
          <w:rFonts w:ascii="Arial" w:hAnsi="Arial" w:cs="Arial"/>
          <w:color w:val="4472C4" w:themeColor="accent1"/>
          <w:sz w:val="24"/>
        </w:rPr>
      </w:pPr>
      <w:r w:rsidRPr="003D59EB">
        <w:rPr>
          <w:rFonts w:ascii="Arial" w:hAnsi="Arial" w:cs="Arial"/>
          <w:color w:val="4472C4" w:themeColor="accent1"/>
          <w:sz w:val="24"/>
        </w:rPr>
        <w:t xml:space="preserve">Asimismo, en el acuerdo de referencia se dio vista con los documentos antes referidos al recurrente y al Sistema Estatal de Documentación y Archivo de esta Comisión Garante. </w:t>
      </w:r>
    </w:p>
    <w:p w:rsidR="00AF59A2" w:rsidRPr="003D59EB" w:rsidRDefault="00AF59A2" w:rsidP="00AF59A2">
      <w:pPr>
        <w:tabs>
          <w:tab w:val="left" w:pos="709"/>
        </w:tabs>
        <w:spacing w:before="240" w:after="240" w:line="360" w:lineRule="auto"/>
        <w:ind w:left="567"/>
        <w:jc w:val="both"/>
        <w:rPr>
          <w:color w:val="4472C4" w:themeColor="accent1"/>
        </w:rPr>
      </w:pPr>
      <w:r w:rsidRPr="003D59EB">
        <w:rPr>
          <w:color w:val="4472C4" w:themeColor="accent1"/>
        </w:rPr>
        <w:t xml:space="preserve">En ese tenor, de conformidad con lo previsto en los artículos 27, 28 y 185 de la Ley de Transparencia y Acceso a la Información Pública del Estado de San Luis Potosí, así como de los numerales 8 fracción II; y 30 fracciones XII y XIII, del Reglamento Interior de la Comisión Estatal de Garantía de Acceso a la Información Pública de San Luis Potosí, se procede a dictar el siguiente: </w:t>
      </w:r>
    </w:p>
    <w:p w:rsidR="00AF59A2" w:rsidRPr="003D59EB" w:rsidRDefault="00AF59A2" w:rsidP="00AF59A2">
      <w:pPr>
        <w:spacing w:line="360" w:lineRule="auto"/>
        <w:ind w:right="111"/>
        <w:jc w:val="center"/>
        <w:rPr>
          <w:rFonts w:eastAsia="Arial"/>
          <w:b/>
          <w:color w:val="4472C4" w:themeColor="accent1"/>
          <w:spacing w:val="1"/>
        </w:rPr>
      </w:pPr>
      <w:r w:rsidRPr="003D59EB">
        <w:rPr>
          <w:rFonts w:eastAsia="Arial"/>
          <w:b/>
          <w:color w:val="4472C4" w:themeColor="accent1"/>
          <w:spacing w:val="1"/>
        </w:rPr>
        <w:t xml:space="preserve">ACUERDO </w:t>
      </w:r>
    </w:p>
    <w:p w:rsidR="00AF59A2" w:rsidRPr="003D59EB" w:rsidRDefault="00AF59A2" w:rsidP="001D4536">
      <w:pPr>
        <w:tabs>
          <w:tab w:val="left" w:pos="567"/>
        </w:tabs>
        <w:spacing w:line="360" w:lineRule="auto"/>
        <w:ind w:left="567" w:right="111"/>
        <w:jc w:val="both"/>
        <w:rPr>
          <w:color w:val="4472C4" w:themeColor="accent1"/>
        </w:rPr>
      </w:pPr>
      <w:r w:rsidRPr="003D59EB">
        <w:rPr>
          <w:rFonts w:eastAsia="Arial"/>
          <w:b/>
          <w:color w:val="4472C4" w:themeColor="accent1"/>
          <w:spacing w:val="1"/>
        </w:rPr>
        <w:t xml:space="preserve">PRIMERO. </w:t>
      </w:r>
      <w:r w:rsidRPr="003D59EB">
        <w:rPr>
          <w:color w:val="4472C4" w:themeColor="accent1"/>
        </w:rPr>
        <w:t xml:space="preserve">Se tiene al </w:t>
      </w:r>
      <w:r w:rsidRPr="003D59EB">
        <w:rPr>
          <w:b/>
          <w:color w:val="4472C4" w:themeColor="accent1"/>
        </w:rPr>
        <w:t xml:space="preserve">ORGANISMO INTERMUNICIPAL METROPOLITANO DE AGUA POTABLE, ALCANTARILLADO, SANEAMIENTO Y SERVICIOS CONEXOS </w:t>
      </w:r>
      <w:r w:rsidRPr="003D59EB">
        <w:rPr>
          <w:color w:val="4472C4" w:themeColor="accent1"/>
        </w:rPr>
        <w:t>en adelante</w:t>
      </w:r>
      <w:r w:rsidRPr="003D59EB">
        <w:rPr>
          <w:b/>
          <w:color w:val="4472C4" w:themeColor="accent1"/>
        </w:rPr>
        <w:t xml:space="preserve"> INTERAPAS, </w:t>
      </w:r>
      <w:r w:rsidRPr="003D59EB">
        <w:rPr>
          <w:color w:val="4472C4" w:themeColor="accent1"/>
        </w:rPr>
        <w:t xml:space="preserve">por remitiendo las constancias de cuenta, las cuales obran en el expediente en el que se actúa, mismas que en el momento procesal </w:t>
      </w:r>
      <w:r w:rsidRPr="003D59EB">
        <w:rPr>
          <w:color w:val="4472C4" w:themeColor="accent1"/>
        </w:rPr>
        <w:lastRenderedPageBreak/>
        <w:t>correspondiente fueron presentadas a este Órgano Garante, así como notificadas al recurrente.</w:t>
      </w:r>
    </w:p>
    <w:p w:rsidR="00AF59A2" w:rsidRPr="003D59EB" w:rsidRDefault="00AF59A2" w:rsidP="00AF59A2">
      <w:pPr>
        <w:spacing w:before="240" w:after="240" w:line="360" w:lineRule="auto"/>
        <w:ind w:left="284"/>
        <w:jc w:val="both"/>
        <w:rPr>
          <w:color w:val="4472C4" w:themeColor="accent1"/>
        </w:rPr>
      </w:pPr>
      <w:r w:rsidRPr="003D59EB">
        <w:rPr>
          <w:b/>
          <w:color w:val="4472C4" w:themeColor="accent1"/>
        </w:rPr>
        <w:t xml:space="preserve">SEGUNDO.  </w:t>
      </w:r>
      <w:r w:rsidRPr="003D59EB">
        <w:rPr>
          <w:color w:val="4472C4" w:themeColor="accent1"/>
        </w:rPr>
        <w:t xml:space="preserve">El recurrente en su oportunidad no realizó manifestación alguna respecto de la información notificada por el Sujeto Obligado con motivo del cumplimiento de la resolución de </w:t>
      </w:r>
      <w:r w:rsidR="00497CD0" w:rsidRPr="003D59EB">
        <w:rPr>
          <w:color w:val="4472C4" w:themeColor="accent1"/>
        </w:rPr>
        <w:t>diez</w:t>
      </w:r>
      <w:r w:rsidRPr="003D59EB">
        <w:rPr>
          <w:color w:val="4472C4" w:themeColor="accent1"/>
        </w:rPr>
        <w:t xml:space="preserve"> de </w:t>
      </w:r>
      <w:r w:rsidR="00497CD0" w:rsidRPr="003D59EB">
        <w:rPr>
          <w:color w:val="4472C4" w:themeColor="accent1"/>
        </w:rPr>
        <w:t>octubre</w:t>
      </w:r>
      <w:r w:rsidRPr="003D59EB">
        <w:rPr>
          <w:color w:val="4472C4" w:themeColor="accent1"/>
        </w:rPr>
        <w:t xml:space="preserve"> de dos mil </w:t>
      </w:r>
      <w:r w:rsidR="00497CD0" w:rsidRPr="003D59EB">
        <w:rPr>
          <w:color w:val="4472C4" w:themeColor="accent1"/>
        </w:rPr>
        <w:t>dieciocho</w:t>
      </w:r>
      <w:r w:rsidRPr="003D59EB">
        <w:rPr>
          <w:color w:val="4472C4" w:themeColor="accent1"/>
        </w:rPr>
        <w:t>.</w:t>
      </w:r>
    </w:p>
    <w:p w:rsidR="00AF59A2" w:rsidRPr="003D59EB" w:rsidRDefault="00AF59A2" w:rsidP="00AF59A2">
      <w:pPr>
        <w:spacing w:before="240" w:after="240" w:line="360" w:lineRule="auto"/>
        <w:ind w:left="284"/>
        <w:jc w:val="both"/>
        <w:rPr>
          <w:color w:val="4472C4" w:themeColor="accent1"/>
        </w:rPr>
      </w:pPr>
      <w:r w:rsidRPr="003D59EB">
        <w:rPr>
          <w:b/>
          <w:color w:val="4472C4" w:themeColor="accent1"/>
        </w:rPr>
        <w:t xml:space="preserve">TERCERO. </w:t>
      </w:r>
      <w:r w:rsidRPr="003D59EB">
        <w:rPr>
          <w:color w:val="4472C4" w:themeColor="accent1"/>
        </w:rPr>
        <w:t xml:space="preserve">Con fundamento en el artículo 185 fracción I de la Ley de Transparencia y Acceso a la Información Pública del Estado de San Luis Potosí, se procede a determinar si en el presente asunto se encuentra cumplida la resolución dictada el </w:t>
      </w:r>
      <w:r w:rsidR="00497CD0" w:rsidRPr="003D59EB">
        <w:rPr>
          <w:color w:val="4472C4" w:themeColor="accent1"/>
        </w:rPr>
        <w:t>diez</w:t>
      </w:r>
      <w:r w:rsidRPr="003D59EB">
        <w:rPr>
          <w:color w:val="4472C4" w:themeColor="accent1"/>
        </w:rPr>
        <w:t xml:space="preserve"> de </w:t>
      </w:r>
      <w:r w:rsidR="00497CD0" w:rsidRPr="003D59EB">
        <w:rPr>
          <w:color w:val="4472C4" w:themeColor="accent1"/>
        </w:rPr>
        <w:t>octubre</w:t>
      </w:r>
      <w:r w:rsidRPr="003D59EB">
        <w:rPr>
          <w:color w:val="4472C4" w:themeColor="accent1"/>
        </w:rPr>
        <w:t xml:space="preserve"> de dos mil </w:t>
      </w:r>
      <w:r w:rsidR="00497CD0" w:rsidRPr="003D59EB">
        <w:rPr>
          <w:color w:val="4472C4" w:themeColor="accent1"/>
        </w:rPr>
        <w:t>dieciocho</w:t>
      </w:r>
      <w:r w:rsidRPr="003D59EB">
        <w:rPr>
          <w:color w:val="4472C4" w:themeColor="accent1"/>
        </w:rPr>
        <w:t xml:space="preserve">, en los siguientes términos:  </w:t>
      </w:r>
    </w:p>
    <w:p w:rsidR="00AF59A2" w:rsidRPr="003D59EB" w:rsidRDefault="00AF59A2" w:rsidP="00AF59A2">
      <w:pPr>
        <w:spacing w:before="240" w:after="240" w:line="360" w:lineRule="auto"/>
        <w:ind w:left="284"/>
        <w:jc w:val="both"/>
        <w:rPr>
          <w:color w:val="4472C4" w:themeColor="accent1"/>
        </w:rPr>
      </w:pPr>
      <w:r w:rsidRPr="003D59EB">
        <w:rPr>
          <w:color w:val="4472C4" w:themeColor="accent1"/>
        </w:rPr>
        <w:t xml:space="preserve">En el asunto en comento, el Pleno de este Órgano Garante instruyó al sujeto obligado para efecto de que </w:t>
      </w:r>
      <w:r w:rsidR="00497CD0" w:rsidRPr="003D59EB">
        <w:rPr>
          <w:color w:val="4472C4" w:themeColor="accent1"/>
        </w:rPr>
        <w:t>desclasificara las facturas solicitadas por el particular</w:t>
      </w:r>
      <w:r w:rsidR="00FD4D02" w:rsidRPr="003D59EB">
        <w:rPr>
          <w:color w:val="4472C4" w:themeColor="accent1"/>
        </w:rPr>
        <w:t xml:space="preserve"> y las entregara </w:t>
      </w:r>
      <w:r w:rsidR="00497CD0" w:rsidRPr="003D59EB">
        <w:rPr>
          <w:color w:val="4472C4" w:themeColor="accent1"/>
        </w:rPr>
        <w:t xml:space="preserve">sin testar </w:t>
      </w:r>
      <w:r w:rsidR="00FD4D02" w:rsidRPr="003D59EB">
        <w:rPr>
          <w:color w:val="4472C4" w:themeColor="accent1"/>
        </w:rPr>
        <w:t>ninguno de los</w:t>
      </w:r>
      <w:r w:rsidR="00497CD0" w:rsidRPr="003D59EB">
        <w:rPr>
          <w:color w:val="4472C4" w:themeColor="accent1"/>
        </w:rPr>
        <w:t xml:space="preserve"> datos</w:t>
      </w:r>
      <w:r w:rsidR="00FD4D02" w:rsidRPr="003D59EB">
        <w:rPr>
          <w:color w:val="4472C4" w:themeColor="accent1"/>
        </w:rPr>
        <w:t xml:space="preserve"> contenidos en dichos documentos</w:t>
      </w:r>
      <w:r w:rsidR="008D4039" w:rsidRPr="003D59EB">
        <w:rPr>
          <w:color w:val="4472C4" w:themeColor="accent1"/>
        </w:rPr>
        <w:t>.</w:t>
      </w:r>
    </w:p>
    <w:p w:rsidR="00AF59A2" w:rsidRPr="003D59EB" w:rsidRDefault="00AF59A2" w:rsidP="002D7B14">
      <w:pPr>
        <w:spacing w:after="240" w:line="360" w:lineRule="auto"/>
        <w:ind w:left="284" w:right="111"/>
        <w:jc w:val="both"/>
        <w:rPr>
          <w:color w:val="4472C4" w:themeColor="accent1"/>
        </w:rPr>
      </w:pPr>
      <w:r w:rsidRPr="003D59EB">
        <w:rPr>
          <w:color w:val="4472C4" w:themeColor="accent1"/>
        </w:rPr>
        <w:t>Ahora bien, como ya se precisó en el antecedente segundo del presente acuerdo, para efectos de acreditar el cumplimiento a la resolución, el sujeto obligado compareció por medio del oficio IN/DG/UT/</w:t>
      </w:r>
      <w:r w:rsidR="00E73A0F" w:rsidRPr="003D59EB">
        <w:rPr>
          <w:color w:val="4472C4" w:themeColor="accent1"/>
        </w:rPr>
        <w:t>048</w:t>
      </w:r>
      <w:r w:rsidRPr="003D59EB">
        <w:rPr>
          <w:color w:val="4472C4" w:themeColor="accent1"/>
        </w:rPr>
        <w:t>/2019</w:t>
      </w:r>
      <w:r w:rsidR="00E73A0F" w:rsidRPr="003D59EB">
        <w:rPr>
          <w:color w:val="4472C4" w:themeColor="accent1"/>
        </w:rPr>
        <w:t>,</w:t>
      </w:r>
      <w:r w:rsidRPr="003D59EB">
        <w:rPr>
          <w:color w:val="4472C4" w:themeColor="accent1"/>
        </w:rPr>
        <w:t xml:space="preserve"> de fecha </w:t>
      </w:r>
      <w:r w:rsidR="00E73A0F" w:rsidRPr="003D59EB">
        <w:rPr>
          <w:color w:val="4472C4" w:themeColor="accent1"/>
        </w:rPr>
        <w:t>veintiuno</w:t>
      </w:r>
      <w:r w:rsidRPr="003D59EB">
        <w:rPr>
          <w:color w:val="4472C4" w:themeColor="accent1"/>
        </w:rPr>
        <w:t xml:space="preserve"> de </w:t>
      </w:r>
      <w:r w:rsidR="00E73A0F" w:rsidRPr="003D59EB">
        <w:rPr>
          <w:color w:val="4472C4" w:themeColor="accent1"/>
        </w:rPr>
        <w:t>noviembre</w:t>
      </w:r>
      <w:r w:rsidRPr="003D59EB">
        <w:rPr>
          <w:color w:val="4472C4" w:themeColor="accent1"/>
        </w:rPr>
        <w:t xml:space="preserve"> de dos mil </w:t>
      </w:r>
      <w:r w:rsidR="00E73A0F" w:rsidRPr="003D59EB">
        <w:rPr>
          <w:color w:val="4472C4" w:themeColor="accent1"/>
        </w:rPr>
        <w:t>dieciocho</w:t>
      </w:r>
      <w:r w:rsidRPr="003D59EB">
        <w:rPr>
          <w:color w:val="4472C4" w:themeColor="accent1"/>
        </w:rPr>
        <w:t xml:space="preserve">, en el que acompañó </w:t>
      </w:r>
      <w:r w:rsidR="002D7B14" w:rsidRPr="003D59EB">
        <w:rPr>
          <w:color w:val="4472C4" w:themeColor="accent1"/>
        </w:rPr>
        <w:t xml:space="preserve">dos </w:t>
      </w:r>
      <w:r w:rsidRPr="003D59EB">
        <w:rPr>
          <w:color w:val="4472C4" w:themeColor="accent1"/>
        </w:rPr>
        <w:t>anexos</w:t>
      </w:r>
      <w:r w:rsidR="00E73A0F" w:rsidRPr="003D59EB">
        <w:rPr>
          <w:color w:val="4472C4" w:themeColor="accent1"/>
        </w:rPr>
        <w:t xml:space="preserve"> en copia certificada</w:t>
      </w:r>
      <w:r w:rsidRPr="003D59EB">
        <w:rPr>
          <w:color w:val="4472C4" w:themeColor="accent1"/>
        </w:rPr>
        <w:t xml:space="preserve">, correspondientes a </w:t>
      </w:r>
      <w:r w:rsidR="00E73A0F" w:rsidRPr="003D59EB">
        <w:rPr>
          <w:color w:val="4472C4" w:themeColor="accent1"/>
        </w:rPr>
        <w:t>la</w:t>
      </w:r>
      <w:r w:rsidRPr="003D59EB">
        <w:rPr>
          <w:color w:val="4472C4" w:themeColor="accent1"/>
        </w:rPr>
        <w:t xml:space="preserve"> captura de pantalla de bandeja de salida del correo electrónico del sujeto obligado, en la cual se puede visualizar </w:t>
      </w:r>
      <w:r w:rsidR="001D4536" w:rsidRPr="003D59EB">
        <w:rPr>
          <w:color w:val="4472C4" w:themeColor="accent1"/>
        </w:rPr>
        <w:t>el envío</w:t>
      </w:r>
      <w:r w:rsidRPr="003D59EB">
        <w:rPr>
          <w:color w:val="4472C4" w:themeColor="accent1"/>
        </w:rPr>
        <w:t xml:space="preserve"> de la información al promovente</w:t>
      </w:r>
      <w:r w:rsidR="002D7B14" w:rsidRPr="003D59EB">
        <w:rPr>
          <w:color w:val="4472C4" w:themeColor="accent1"/>
        </w:rPr>
        <w:t xml:space="preserve"> y</w:t>
      </w:r>
      <w:r w:rsidR="00116911" w:rsidRPr="003D59EB">
        <w:rPr>
          <w:color w:val="4472C4" w:themeColor="accent1"/>
        </w:rPr>
        <w:t xml:space="preserve"> las facturas con número 104, 105, 115 y 114</w:t>
      </w:r>
      <w:r w:rsidR="009E7EEB" w:rsidRPr="003D59EB">
        <w:rPr>
          <w:color w:val="4472C4" w:themeColor="accent1"/>
        </w:rPr>
        <w:t xml:space="preserve">, emitidas por la empresa “CUMARU, S DE RL DE CV”, que ampara el pago de las cantidades de $176,602.45 (ciento setenta y seis mil seiscientos dos pesos, cuarenta y cinco centavos 45/100M.N),  $176,602.45 (ciento setenta y seis mil seiscientos dos pesos, cuarenta y cinco centavos 45/100M.N), $96,900.79 (noventa y seis mil novecientos pesos setenta y nueve centavos 79/100 M.N) y $96,900.79 (noventa y seis mil novecientos pesos </w:t>
      </w:r>
      <w:r w:rsidR="002D7B14" w:rsidRPr="003D59EB">
        <w:rPr>
          <w:color w:val="4472C4" w:themeColor="accent1"/>
        </w:rPr>
        <w:t>ochenta</w:t>
      </w:r>
      <w:r w:rsidR="009E7EEB" w:rsidRPr="003D59EB">
        <w:rPr>
          <w:color w:val="4472C4" w:themeColor="accent1"/>
        </w:rPr>
        <w:t xml:space="preserve"> centavos </w:t>
      </w:r>
      <w:r w:rsidR="008D4039" w:rsidRPr="003D59EB">
        <w:rPr>
          <w:color w:val="4472C4" w:themeColor="accent1"/>
        </w:rPr>
        <w:t>79</w:t>
      </w:r>
      <w:r w:rsidR="009E7EEB" w:rsidRPr="003D59EB">
        <w:rPr>
          <w:color w:val="4472C4" w:themeColor="accent1"/>
        </w:rPr>
        <w:t>/100 M.N)</w:t>
      </w:r>
      <w:r w:rsidR="002D7B14" w:rsidRPr="003D59EB">
        <w:rPr>
          <w:color w:val="4472C4" w:themeColor="accent1"/>
        </w:rPr>
        <w:t>, respectivamente.</w:t>
      </w:r>
      <w:r w:rsidRPr="003D59EB">
        <w:rPr>
          <w:color w:val="4472C4" w:themeColor="accent1"/>
        </w:rPr>
        <w:t xml:space="preserve"> </w:t>
      </w:r>
    </w:p>
    <w:p w:rsidR="008D4039" w:rsidRPr="003D59EB" w:rsidRDefault="006925CC" w:rsidP="006925CC">
      <w:pPr>
        <w:spacing w:after="240" w:line="360" w:lineRule="auto"/>
        <w:ind w:left="284" w:right="111"/>
        <w:jc w:val="both"/>
        <w:rPr>
          <w:color w:val="4472C4" w:themeColor="accent1"/>
        </w:rPr>
      </w:pPr>
      <w:r w:rsidRPr="003D59EB">
        <w:rPr>
          <w:color w:val="4472C4" w:themeColor="accent1"/>
        </w:rPr>
        <w:t xml:space="preserve">En consecuencia, después de llevar a cabo el análisis de la documentación correspondiente, se determinó que el sujeto obligado dio cumplimiento a lo ordenado en la </w:t>
      </w:r>
      <w:r w:rsidR="001D4536" w:rsidRPr="003D59EB">
        <w:rPr>
          <w:color w:val="4472C4" w:themeColor="accent1"/>
        </w:rPr>
        <w:t>resolución dictada en el presente asunto</w:t>
      </w:r>
      <w:r w:rsidRPr="003D59EB">
        <w:rPr>
          <w:color w:val="4472C4" w:themeColor="accent1"/>
        </w:rPr>
        <w:t>,</w:t>
      </w:r>
      <w:r w:rsidR="008D4039" w:rsidRPr="003D59EB">
        <w:rPr>
          <w:color w:val="4472C4" w:themeColor="accent1"/>
        </w:rPr>
        <w:t xml:space="preserve"> ya que</w:t>
      </w:r>
      <w:r w:rsidRPr="003D59EB">
        <w:rPr>
          <w:color w:val="4472C4" w:themeColor="accent1"/>
        </w:rPr>
        <w:t xml:space="preserve"> desclasificó las facturas solicitadas por el recurrente y</w:t>
      </w:r>
      <w:r w:rsidR="008D4039" w:rsidRPr="003D59EB">
        <w:rPr>
          <w:color w:val="4472C4" w:themeColor="accent1"/>
        </w:rPr>
        <w:t xml:space="preserve"> fueron entregadas al recurrente, </w:t>
      </w:r>
      <w:r w:rsidR="008D4039" w:rsidRPr="003D59EB">
        <w:rPr>
          <w:color w:val="4472C4" w:themeColor="accent1"/>
          <w:szCs w:val="23"/>
        </w:rPr>
        <w:t xml:space="preserve">como se demuestra con </w:t>
      </w:r>
      <w:r w:rsidR="008D4039" w:rsidRPr="003D59EB">
        <w:rPr>
          <w:color w:val="4472C4" w:themeColor="accent1"/>
        </w:rPr>
        <w:t xml:space="preserve">la captura de pantalla de la bandeja de salida del </w:t>
      </w:r>
      <w:r w:rsidR="008D4039" w:rsidRPr="003D59EB">
        <w:rPr>
          <w:color w:val="4472C4" w:themeColor="accent1"/>
        </w:rPr>
        <w:lastRenderedPageBreak/>
        <w:t>correo electrónico del sujeto obligado, en donde se puede apreciar que dicha información efectivamente fue enviada al solicitante, de conformidad con el artículo 147 de la Ley de Transparencia Local.</w:t>
      </w:r>
    </w:p>
    <w:p w:rsidR="006925CC" w:rsidRPr="003D59EB" w:rsidRDefault="006925CC" w:rsidP="006925CC">
      <w:pPr>
        <w:spacing w:line="360" w:lineRule="auto"/>
        <w:jc w:val="both"/>
        <w:rPr>
          <w:color w:val="4472C4" w:themeColor="accent1"/>
        </w:rPr>
      </w:pPr>
      <w:r w:rsidRPr="003D59EB">
        <w:rPr>
          <w:color w:val="4472C4" w:themeColor="accent1"/>
        </w:rPr>
        <w:t xml:space="preserve">Por tanto, con base en el artículo 185 de la Ley de Transparencia y Acceso a la Información Pública del Estado, se declara </w:t>
      </w:r>
      <w:r w:rsidRPr="003D59EB">
        <w:rPr>
          <w:b/>
          <w:color w:val="4472C4" w:themeColor="accent1"/>
          <w:u w:val="single"/>
        </w:rPr>
        <w:t>cumplida</w:t>
      </w:r>
      <w:r w:rsidRPr="003D59EB">
        <w:rPr>
          <w:b/>
          <w:color w:val="4472C4" w:themeColor="accent1"/>
        </w:rPr>
        <w:t xml:space="preserve"> </w:t>
      </w:r>
      <w:r w:rsidRPr="003D59EB">
        <w:rPr>
          <w:color w:val="4472C4" w:themeColor="accent1"/>
        </w:rPr>
        <w:t>la resolución definitiva.</w:t>
      </w:r>
    </w:p>
    <w:p w:rsidR="006925CC" w:rsidRPr="003D59EB" w:rsidRDefault="006925CC" w:rsidP="006925CC">
      <w:pPr>
        <w:spacing w:line="360" w:lineRule="auto"/>
        <w:jc w:val="both"/>
        <w:rPr>
          <w:b/>
          <w:color w:val="4472C4" w:themeColor="accent1"/>
        </w:rPr>
      </w:pPr>
    </w:p>
    <w:p w:rsidR="006925CC" w:rsidRPr="003D59EB" w:rsidRDefault="006925CC" w:rsidP="006925CC">
      <w:pPr>
        <w:spacing w:line="360" w:lineRule="auto"/>
        <w:jc w:val="both"/>
        <w:rPr>
          <w:color w:val="4472C4" w:themeColor="accent1"/>
        </w:rPr>
      </w:pPr>
      <w:r w:rsidRPr="003D59EB">
        <w:rPr>
          <w:b/>
          <w:color w:val="4472C4" w:themeColor="accent1"/>
        </w:rPr>
        <w:t>Notifíquese personalmente.</w:t>
      </w:r>
    </w:p>
    <w:p w:rsidR="006925CC" w:rsidRPr="003D59EB" w:rsidRDefault="006925CC" w:rsidP="006925CC">
      <w:pPr>
        <w:spacing w:line="360" w:lineRule="auto"/>
        <w:jc w:val="both"/>
        <w:rPr>
          <w:i/>
          <w:color w:val="4472C4" w:themeColor="accent1"/>
          <w:sz w:val="22"/>
          <w:szCs w:val="22"/>
        </w:rPr>
      </w:pPr>
    </w:p>
    <w:p w:rsidR="006925CC" w:rsidRPr="003D59EB" w:rsidRDefault="006925CC" w:rsidP="006925CC">
      <w:pPr>
        <w:spacing w:line="360" w:lineRule="auto"/>
        <w:jc w:val="both"/>
        <w:rPr>
          <w:color w:val="4472C4" w:themeColor="accent1"/>
        </w:rPr>
      </w:pPr>
      <w:r w:rsidRPr="003D59EB">
        <w:rPr>
          <w:color w:val="4472C4" w:themeColor="accent1"/>
        </w:rPr>
        <w:t xml:space="preserve">Así lo acordó y firma </w:t>
      </w:r>
      <w:proofErr w:type="spellStart"/>
      <w:r w:rsidRPr="003D59EB">
        <w:rPr>
          <w:color w:val="4472C4" w:themeColor="accent1"/>
        </w:rPr>
        <w:t>Mariajosé</w:t>
      </w:r>
      <w:proofErr w:type="spellEnd"/>
      <w:r w:rsidRPr="003D59EB">
        <w:rPr>
          <w:color w:val="4472C4" w:themeColor="accent1"/>
        </w:rPr>
        <w:t xml:space="preserve"> González Zarzosa, Comisionada de la Comisión Estatal de Garantía de Acceso a la Información Pública, quien actúa con Rosa María Motilla García, Secretaria de Pleno que da fe, en San Luis Potosí, S.L.P., el diecisiete de marzo de dos mil veinte.</w:t>
      </w:r>
    </w:p>
    <w:p w:rsidR="006925CC" w:rsidRPr="003D59EB" w:rsidRDefault="006925CC" w:rsidP="006925CC">
      <w:pPr>
        <w:spacing w:line="360" w:lineRule="auto"/>
        <w:jc w:val="both"/>
        <w:rPr>
          <w:color w:val="4472C4" w:themeColor="accent1"/>
        </w:rPr>
      </w:pPr>
    </w:p>
    <w:p w:rsidR="006925CC" w:rsidRPr="003D59EB" w:rsidRDefault="006925CC" w:rsidP="006925CC">
      <w:pPr>
        <w:spacing w:line="360" w:lineRule="auto"/>
        <w:jc w:val="both"/>
        <w:rPr>
          <w:color w:val="4472C4" w:themeColor="accent1"/>
        </w:rPr>
      </w:pPr>
    </w:p>
    <w:p w:rsidR="006925CC" w:rsidRPr="003D59EB" w:rsidRDefault="006925CC" w:rsidP="006925CC">
      <w:pPr>
        <w:spacing w:line="360" w:lineRule="auto"/>
        <w:jc w:val="both"/>
        <w:rPr>
          <w:color w:val="4472C4" w:themeColor="accent1"/>
        </w:rPr>
      </w:pPr>
    </w:p>
    <w:p w:rsidR="006925CC" w:rsidRPr="003D59EB" w:rsidRDefault="006925CC" w:rsidP="006925CC">
      <w:pPr>
        <w:spacing w:line="360" w:lineRule="auto"/>
        <w:jc w:val="both"/>
        <w:rPr>
          <w:b/>
          <w:color w:val="4472C4" w:themeColor="accent1"/>
        </w:rPr>
      </w:pPr>
      <w:proofErr w:type="spellStart"/>
      <w:r w:rsidRPr="003D59EB">
        <w:rPr>
          <w:b/>
          <w:color w:val="4472C4" w:themeColor="accent1"/>
        </w:rPr>
        <w:t>Mariajosé</w:t>
      </w:r>
      <w:proofErr w:type="spellEnd"/>
      <w:r w:rsidRPr="003D59EB">
        <w:rPr>
          <w:b/>
          <w:color w:val="4472C4" w:themeColor="accent1"/>
        </w:rPr>
        <w:t xml:space="preserve"> González Zarzosa  </w:t>
      </w:r>
      <w:r w:rsidRPr="003D59EB">
        <w:rPr>
          <w:color w:val="4472C4" w:themeColor="accent1"/>
        </w:rPr>
        <w:t xml:space="preserve">              </w:t>
      </w:r>
      <w:r w:rsidRPr="003D59EB">
        <w:rPr>
          <w:b/>
          <w:color w:val="4472C4" w:themeColor="accent1"/>
        </w:rPr>
        <w:t>Rosa</w:t>
      </w:r>
      <w:r w:rsidRPr="003D59EB">
        <w:rPr>
          <w:color w:val="4472C4" w:themeColor="accent1"/>
        </w:rPr>
        <w:t xml:space="preserve"> </w:t>
      </w:r>
      <w:r w:rsidRPr="003D59EB">
        <w:rPr>
          <w:b/>
          <w:color w:val="4472C4" w:themeColor="accent1"/>
          <w:lang w:val="es-ES"/>
        </w:rPr>
        <w:t>María Motilla García</w:t>
      </w:r>
      <w:r w:rsidRPr="003D59EB">
        <w:rPr>
          <w:b/>
          <w:color w:val="4472C4" w:themeColor="accent1"/>
        </w:rPr>
        <w:t xml:space="preserve">   </w:t>
      </w:r>
    </w:p>
    <w:p w:rsidR="006925CC" w:rsidRPr="003D59EB" w:rsidRDefault="006925CC" w:rsidP="006925CC">
      <w:pPr>
        <w:spacing w:line="360" w:lineRule="auto"/>
        <w:jc w:val="both"/>
        <w:rPr>
          <w:b/>
          <w:color w:val="4472C4" w:themeColor="accent1"/>
        </w:rPr>
      </w:pPr>
      <w:r w:rsidRPr="003D59EB">
        <w:rPr>
          <w:b/>
          <w:color w:val="4472C4" w:themeColor="accent1"/>
        </w:rPr>
        <w:t xml:space="preserve">                Comisionada                                  Secretaria de Pleno</w:t>
      </w:r>
    </w:p>
    <w:p w:rsidR="006925CC" w:rsidRPr="003D59EB" w:rsidRDefault="006925CC" w:rsidP="006925CC">
      <w:pPr>
        <w:spacing w:line="360" w:lineRule="auto"/>
        <w:jc w:val="both"/>
        <w:rPr>
          <w:b/>
          <w:color w:val="4472C4" w:themeColor="accent1"/>
          <w:sz w:val="14"/>
        </w:rPr>
      </w:pPr>
    </w:p>
    <w:p w:rsidR="006925CC" w:rsidRPr="003D59EB" w:rsidRDefault="006925CC" w:rsidP="006925CC">
      <w:pPr>
        <w:spacing w:line="360" w:lineRule="auto"/>
        <w:jc w:val="both"/>
        <w:rPr>
          <w:color w:val="4472C4" w:themeColor="accent1"/>
          <w:sz w:val="18"/>
          <w:szCs w:val="18"/>
        </w:rPr>
      </w:pPr>
    </w:p>
    <w:p w:rsidR="006925CC" w:rsidRPr="003D59EB" w:rsidRDefault="006925CC" w:rsidP="006925CC">
      <w:pPr>
        <w:spacing w:line="360" w:lineRule="auto"/>
        <w:jc w:val="both"/>
        <w:rPr>
          <w:color w:val="4472C4" w:themeColor="accent1"/>
          <w:sz w:val="18"/>
          <w:szCs w:val="18"/>
        </w:rPr>
      </w:pPr>
      <w:r w:rsidRPr="003D59EB">
        <w:rPr>
          <w:color w:val="4472C4" w:themeColor="accent1"/>
          <w:sz w:val="18"/>
          <w:szCs w:val="18"/>
        </w:rPr>
        <w:t>Elaboró y revisó:</w:t>
      </w:r>
    </w:p>
    <w:p w:rsidR="006925CC" w:rsidRPr="003D59EB" w:rsidRDefault="006925CC" w:rsidP="006925CC">
      <w:pPr>
        <w:spacing w:line="360" w:lineRule="auto"/>
        <w:jc w:val="both"/>
        <w:rPr>
          <w:color w:val="4472C4" w:themeColor="accent1"/>
          <w:sz w:val="18"/>
          <w:szCs w:val="18"/>
        </w:rPr>
      </w:pPr>
    </w:p>
    <w:p w:rsidR="006925CC" w:rsidRPr="001D0AE8" w:rsidRDefault="006925CC" w:rsidP="006925CC">
      <w:pPr>
        <w:spacing w:line="360" w:lineRule="auto"/>
        <w:jc w:val="both"/>
        <w:rPr>
          <w:b/>
          <w:color w:val="4472C4" w:themeColor="accent1"/>
          <w:sz w:val="18"/>
          <w:szCs w:val="18"/>
        </w:rPr>
      </w:pPr>
      <w:r w:rsidRPr="003D59EB">
        <w:rPr>
          <w:color w:val="4472C4" w:themeColor="accent1"/>
          <w:sz w:val="18"/>
          <w:szCs w:val="18"/>
        </w:rPr>
        <w:t>CLA/GECA</w:t>
      </w:r>
    </w:p>
    <w:p w:rsidR="006925CC" w:rsidRPr="001D0AE8" w:rsidRDefault="006925CC" w:rsidP="006925CC">
      <w:pPr>
        <w:rPr>
          <w:color w:val="4472C4" w:themeColor="accent1"/>
        </w:rPr>
      </w:pPr>
    </w:p>
    <w:p w:rsidR="006925CC" w:rsidRPr="001D0AE8" w:rsidRDefault="006925CC" w:rsidP="006925CC">
      <w:pPr>
        <w:rPr>
          <w:color w:val="4472C4" w:themeColor="accent1"/>
        </w:rPr>
      </w:pPr>
    </w:p>
    <w:p w:rsidR="006925CC" w:rsidRPr="001D0AE8" w:rsidRDefault="006925CC" w:rsidP="006925CC">
      <w:pPr>
        <w:rPr>
          <w:color w:val="4472C4" w:themeColor="accent1"/>
        </w:rPr>
      </w:pPr>
    </w:p>
    <w:p w:rsidR="006925CC" w:rsidRPr="001D0AE8" w:rsidRDefault="006925CC" w:rsidP="006925CC">
      <w:pPr>
        <w:rPr>
          <w:color w:val="4472C4" w:themeColor="accent1"/>
        </w:rPr>
      </w:pPr>
    </w:p>
    <w:p w:rsidR="006925CC" w:rsidRPr="001D0AE8" w:rsidRDefault="006925CC" w:rsidP="006925CC">
      <w:pPr>
        <w:rPr>
          <w:color w:val="4472C4" w:themeColor="accent1"/>
        </w:rPr>
      </w:pPr>
    </w:p>
    <w:p w:rsidR="006925CC" w:rsidRPr="001D0AE8" w:rsidRDefault="006925CC" w:rsidP="006925CC">
      <w:pPr>
        <w:ind w:right="111"/>
        <w:rPr>
          <w:color w:val="4472C4" w:themeColor="accent1"/>
        </w:rPr>
      </w:pPr>
    </w:p>
    <w:p w:rsidR="006925CC" w:rsidRPr="001D0AE8" w:rsidRDefault="006925CC" w:rsidP="006925CC">
      <w:pPr>
        <w:rPr>
          <w:color w:val="4472C4" w:themeColor="accent1"/>
        </w:rPr>
      </w:pPr>
    </w:p>
    <w:p w:rsidR="006925CC" w:rsidRPr="001D0AE8" w:rsidRDefault="006925CC" w:rsidP="006925CC">
      <w:pPr>
        <w:rPr>
          <w:color w:val="4472C4" w:themeColor="accent1"/>
        </w:rPr>
      </w:pPr>
    </w:p>
    <w:p w:rsidR="006925CC" w:rsidRPr="001D0AE8" w:rsidRDefault="006925CC" w:rsidP="006925CC">
      <w:pPr>
        <w:rPr>
          <w:color w:val="4472C4" w:themeColor="accent1"/>
        </w:rPr>
      </w:pPr>
    </w:p>
    <w:p w:rsidR="006925CC" w:rsidRPr="001D0AE8" w:rsidRDefault="006925CC" w:rsidP="006925CC">
      <w:pPr>
        <w:rPr>
          <w:color w:val="4472C4" w:themeColor="accent1"/>
        </w:rPr>
      </w:pPr>
    </w:p>
    <w:p w:rsidR="006925CC" w:rsidRPr="001D0AE8" w:rsidRDefault="006925CC" w:rsidP="006925CC">
      <w:pPr>
        <w:rPr>
          <w:color w:val="4472C4" w:themeColor="accent1"/>
        </w:rPr>
      </w:pPr>
    </w:p>
    <w:p w:rsidR="006925CC" w:rsidRPr="001D0AE8" w:rsidRDefault="006925CC" w:rsidP="006925CC">
      <w:pPr>
        <w:rPr>
          <w:color w:val="4472C4" w:themeColor="accent1"/>
        </w:rPr>
      </w:pPr>
    </w:p>
    <w:p w:rsidR="006925CC" w:rsidRPr="001D0AE8" w:rsidRDefault="006925CC" w:rsidP="006925CC">
      <w:pPr>
        <w:rPr>
          <w:color w:val="4472C4" w:themeColor="accent1"/>
        </w:rPr>
      </w:pPr>
    </w:p>
    <w:p w:rsidR="006925CC" w:rsidRPr="001D0AE8" w:rsidRDefault="006925CC" w:rsidP="006925CC">
      <w:pPr>
        <w:rPr>
          <w:color w:val="4472C4" w:themeColor="accent1"/>
        </w:rPr>
      </w:pPr>
    </w:p>
    <w:p w:rsidR="006925CC" w:rsidRPr="001D0AE8" w:rsidRDefault="006925CC" w:rsidP="002D7B14">
      <w:pPr>
        <w:spacing w:after="240" w:line="360" w:lineRule="auto"/>
        <w:ind w:left="284" w:right="111"/>
        <w:jc w:val="both"/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bookmarkEnd w:id="0"/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AF59A2" w:rsidRPr="001D0AE8" w:rsidRDefault="00AF59A2" w:rsidP="00AF59A2">
      <w:pPr>
        <w:rPr>
          <w:color w:val="4472C4" w:themeColor="accent1"/>
        </w:rPr>
      </w:pPr>
    </w:p>
    <w:p w:rsidR="006567F1" w:rsidRPr="001D0AE8" w:rsidRDefault="006567F1">
      <w:pPr>
        <w:rPr>
          <w:color w:val="4472C4" w:themeColor="accent1"/>
        </w:rPr>
      </w:pPr>
    </w:p>
    <w:sectPr w:rsidR="006567F1" w:rsidRPr="001D0AE8" w:rsidSect="00CE44AA">
      <w:headerReference w:type="default" r:id="rId8"/>
      <w:pgSz w:w="12240" w:h="20160" w:code="5"/>
      <w:pgMar w:top="2665" w:right="851" w:bottom="2041" w:left="283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5FA" w:rsidRDefault="004345FA" w:rsidP="00AF59A2">
      <w:r>
        <w:separator/>
      </w:r>
    </w:p>
  </w:endnote>
  <w:endnote w:type="continuationSeparator" w:id="0">
    <w:p w:rsidR="004345FA" w:rsidRDefault="004345FA" w:rsidP="00AF5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5FA" w:rsidRDefault="004345FA" w:rsidP="00AF59A2">
      <w:r>
        <w:separator/>
      </w:r>
    </w:p>
  </w:footnote>
  <w:footnote w:type="continuationSeparator" w:id="0">
    <w:p w:rsidR="004345FA" w:rsidRDefault="004345FA" w:rsidP="00AF59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03FD" w:rsidRPr="009C03FD" w:rsidRDefault="00665DA9" w:rsidP="00E15401">
    <w:pPr>
      <w:tabs>
        <w:tab w:val="left" w:pos="7227"/>
        <w:tab w:val="right" w:pos="8554"/>
      </w:tabs>
      <w:spacing w:before="120" w:after="120" w:line="360" w:lineRule="auto"/>
      <w:rPr>
        <w:b/>
      </w:rPr>
    </w:pPr>
    <w:r>
      <w:rPr>
        <w:b/>
      </w:rPr>
      <w:t>RR-</w:t>
    </w:r>
    <w:r w:rsidR="00AF59A2">
      <w:rPr>
        <w:b/>
      </w:rPr>
      <w:t>651</w:t>
    </w:r>
    <w:r w:rsidRPr="009C03FD">
      <w:rPr>
        <w:b/>
      </w:rPr>
      <w:t>/201</w:t>
    </w:r>
    <w:r>
      <w:rPr>
        <w:b/>
      </w:rPr>
      <w:t>9</w:t>
    </w:r>
    <w:r w:rsidRPr="009C03FD">
      <w:rPr>
        <w:b/>
      </w:rPr>
      <w:t>-3</w:t>
    </w:r>
  </w:p>
  <w:p w:rsidR="009C03FD" w:rsidRDefault="004345F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D62C2"/>
    <w:multiLevelType w:val="hybridMultilevel"/>
    <w:tmpl w:val="D2C67D40"/>
    <w:lvl w:ilvl="0" w:tplc="080A000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">
    <w:nsid w:val="65146C59"/>
    <w:multiLevelType w:val="hybridMultilevel"/>
    <w:tmpl w:val="E55A64BE"/>
    <w:lvl w:ilvl="0" w:tplc="34DC50A6">
      <w:start w:val="1"/>
      <w:numFmt w:val="upperRoman"/>
      <w:lvlText w:val="%1."/>
      <w:lvlJc w:val="left"/>
      <w:pPr>
        <w:ind w:left="928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648" w:hanging="360"/>
      </w:pPr>
    </w:lvl>
    <w:lvl w:ilvl="2" w:tplc="080A001B">
      <w:start w:val="1"/>
      <w:numFmt w:val="lowerRoman"/>
      <w:lvlText w:val="%3."/>
      <w:lvlJc w:val="right"/>
      <w:pPr>
        <w:ind w:left="2368" w:hanging="180"/>
      </w:pPr>
    </w:lvl>
    <w:lvl w:ilvl="3" w:tplc="080A000F">
      <w:start w:val="1"/>
      <w:numFmt w:val="decimal"/>
      <w:lvlText w:val="%4."/>
      <w:lvlJc w:val="left"/>
      <w:pPr>
        <w:ind w:left="3088" w:hanging="360"/>
      </w:pPr>
    </w:lvl>
    <w:lvl w:ilvl="4" w:tplc="080A0019">
      <w:start w:val="1"/>
      <w:numFmt w:val="lowerLetter"/>
      <w:lvlText w:val="%5."/>
      <w:lvlJc w:val="left"/>
      <w:pPr>
        <w:ind w:left="3808" w:hanging="360"/>
      </w:pPr>
    </w:lvl>
    <w:lvl w:ilvl="5" w:tplc="080A001B">
      <w:start w:val="1"/>
      <w:numFmt w:val="lowerRoman"/>
      <w:lvlText w:val="%6."/>
      <w:lvlJc w:val="right"/>
      <w:pPr>
        <w:ind w:left="4528" w:hanging="180"/>
      </w:pPr>
    </w:lvl>
    <w:lvl w:ilvl="6" w:tplc="080A000F">
      <w:start w:val="1"/>
      <w:numFmt w:val="decimal"/>
      <w:lvlText w:val="%7."/>
      <w:lvlJc w:val="left"/>
      <w:pPr>
        <w:ind w:left="5248" w:hanging="360"/>
      </w:pPr>
    </w:lvl>
    <w:lvl w:ilvl="7" w:tplc="080A0019">
      <w:start w:val="1"/>
      <w:numFmt w:val="lowerLetter"/>
      <w:lvlText w:val="%8."/>
      <w:lvlJc w:val="left"/>
      <w:pPr>
        <w:ind w:left="5968" w:hanging="360"/>
      </w:pPr>
    </w:lvl>
    <w:lvl w:ilvl="8" w:tplc="080A001B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9A2"/>
    <w:rsid w:val="00116911"/>
    <w:rsid w:val="001D0AE8"/>
    <w:rsid w:val="001D4536"/>
    <w:rsid w:val="002D7B14"/>
    <w:rsid w:val="00335236"/>
    <w:rsid w:val="003D59EB"/>
    <w:rsid w:val="004345FA"/>
    <w:rsid w:val="00497CD0"/>
    <w:rsid w:val="004C0E3C"/>
    <w:rsid w:val="0053577F"/>
    <w:rsid w:val="005875C4"/>
    <w:rsid w:val="006476B3"/>
    <w:rsid w:val="006567F1"/>
    <w:rsid w:val="00665DA9"/>
    <w:rsid w:val="006925CC"/>
    <w:rsid w:val="007E59A9"/>
    <w:rsid w:val="008064F3"/>
    <w:rsid w:val="008D4039"/>
    <w:rsid w:val="00961707"/>
    <w:rsid w:val="009E7EEB"/>
    <w:rsid w:val="00AF59A2"/>
    <w:rsid w:val="00D61E35"/>
    <w:rsid w:val="00E73A0F"/>
    <w:rsid w:val="00F01774"/>
    <w:rsid w:val="00FD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9A2"/>
    <w:pPr>
      <w:spacing w:after="0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F59A2"/>
    <w:pPr>
      <w:spacing w:line="360" w:lineRule="auto"/>
      <w:ind w:left="720"/>
      <w:contextualSpacing/>
      <w:jc w:val="both"/>
    </w:pPr>
    <w:rPr>
      <w:rFonts w:ascii="Calibri" w:hAnsi="Calibri" w:cs="Times New Roman"/>
      <w:sz w:val="2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AF59A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F59A2"/>
    <w:rPr>
      <w:rFonts w:ascii="Arial" w:eastAsia="Times New Roman" w:hAnsi="Arial" w:cs="Arial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F59A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9A2"/>
    <w:rPr>
      <w:rFonts w:ascii="Arial" w:eastAsia="Times New Roman" w:hAnsi="Arial" w:cs="Arial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9A2"/>
    <w:pPr>
      <w:spacing w:after="0" w:line="240" w:lineRule="auto"/>
    </w:pPr>
    <w:rPr>
      <w:rFonts w:ascii="Arial" w:eastAsia="Times New Roman" w:hAnsi="Arial" w:cs="Arial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F59A2"/>
    <w:pPr>
      <w:spacing w:line="360" w:lineRule="auto"/>
      <w:ind w:left="720"/>
      <w:contextualSpacing/>
      <w:jc w:val="both"/>
    </w:pPr>
    <w:rPr>
      <w:rFonts w:ascii="Calibri" w:hAnsi="Calibri" w:cs="Times New Roman"/>
      <w:sz w:val="2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AF59A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F59A2"/>
    <w:rPr>
      <w:rFonts w:ascii="Arial" w:eastAsia="Times New Roman" w:hAnsi="Arial" w:cs="Arial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F59A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9A2"/>
    <w:rPr>
      <w:rFonts w:ascii="Arial" w:eastAsia="Times New Roman" w:hAnsi="Arial" w:cs="Arial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769</Words>
  <Characters>4231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Cegaip</dc:creator>
  <cp:lastModifiedBy>Makakita</cp:lastModifiedBy>
  <cp:revision>2</cp:revision>
  <dcterms:created xsi:type="dcterms:W3CDTF">2020-10-09T17:54:00Z</dcterms:created>
  <dcterms:modified xsi:type="dcterms:W3CDTF">2020-10-09T17:54:00Z</dcterms:modified>
</cp:coreProperties>
</file>