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16E5" w:rsidRPr="003D768B" w:rsidRDefault="004E16E5" w:rsidP="003829B1">
      <w:pPr>
        <w:spacing w:line="240" w:lineRule="auto"/>
        <w:jc w:val="both"/>
        <w:rPr>
          <w:rFonts w:ascii="Arial" w:hAnsi="Arial" w:cs="Arial"/>
          <w:sz w:val="24"/>
          <w:szCs w:val="24"/>
        </w:rPr>
      </w:pPr>
    </w:p>
    <w:p w:rsidR="00340FCC" w:rsidRDefault="004E16E5" w:rsidP="00340FCC">
      <w:pPr>
        <w:spacing w:after="0" w:line="360" w:lineRule="auto"/>
        <w:jc w:val="center"/>
        <w:rPr>
          <w:rFonts w:ascii="Arial" w:hAnsi="Arial" w:cs="Arial"/>
          <w:sz w:val="24"/>
          <w:szCs w:val="24"/>
        </w:rPr>
      </w:pPr>
      <w:r w:rsidRPr="004E16E5">
        <w:rPr>
          <w:rFonts w:ascii="Arial" w:hAnsi="Arial" w:cs="Arial"/>
          <w:sz w:val="24"/>
          <w:szCs w:val="24"/>
        </w:rPr>
        <w:t xml:space="preserve">Ley de Transparencia y Acceso a la Información Pública del Estado de San Luis Potosí, </w:t>
      </w:r>
      <w:r w:rsidRPr="003829B1">
        <w:rPr>
          <w:rFonts w:ascii="Arial" w:hAnsi="Arial" w:cs="Arial"/>
          <w:b/>
          <w:sz w:val="24"/>
          <w:szCs w:val="24"/>
        </w:rPr>
        <w:t>Artículo 84</w:t>
      </w:r>
      <w:r w:rsidRPr="004E16E5">
        <w:rPr>
          <w:rFonts w:ascii="Arial" w:hAnsi="Arial" w:cs="Arial"/>
          <w:sz w:val="24"/>
          <w:szCs w:val="24"/>
        </w:rPr>
        <w:t xml:space="preserve">, </w:t>
      </w:r>
      <w:r w:rsidRPr="003829B1">
        <w:rPr>
          <w:rFonts w:ascii="Arial" w:hAnsi="Arial" w:cs="Arial"/>
          <w:b/>
          <w:sz w:val="24"/>
          <w:szCs w:val="24"/>
        </w:rPr>
        <w:t>Fracción XVII</w:t>
      </w:r>
      <w:r w:rsidRPr="004E16E5">
        <w:rPr>
          <w:rFonts w:ascii="Arial" w:hAnsi="Arial" w:cs="Arial"/>
          <w:sz w:val="24"/>
          <w:szCs w:val="24"/>
        </w:rPr>
        <w:t xml:space="preserve">; </w:t>
      </w:r>
    </w:p>
    <w:p w:rsidR="00492DF0" w:rsidRDefault="004E16E5" w:rsidP="00340FCC">
      <w:pPr>
        <w:spacing w:after="0" w:line="360" w:lineRule="auto"/>
        <w:jc w:val="center"/>
        <w:rPr>
          <w:rFonts w:ascii="Arial" w:hAnsi="Arial" w:cs="Arial"/>
          <w:sz w:val="24"/>
          <w:szCs w:val="24"/>
        </w:rPr>
      </w:pPr>
      <w:r w:rsidRPr="004E16E5">
        <w:rPr>
          <w:rFonts w:ascii="Arial" w:hAnsi="Arial" w:cs="Arial"/>
          <w:sz w:val="24"/>
          <w:szCs w:val="24"/>
        </w:rPr>
        <w:t>Declaraciones de situación patrimonial.</w:t>
      </w:r>
    </w:p>
    <w:p w:rsidR="00F27E33" w:rsidRDefault="00F27E33" w:rsidP="00340FCC">
      <w:pPr>
        <w:spacing w:after="0" w:line="360" w:lineRule="auto"/>
        <w:jc w:val="center"/>
        <w:rPr>
          <w:rFonts w:ascii="Arial" w:hAnsi="Arial" w:cs="Arial"/>
          <w:sz w:val="24"/>
          <w:szCs w:val="24"/>
        </w:rPr>
      </w:pPr>
      <w:bookmarkStart w:id="0" w:name="_GoBack"/>
      <w:bookmarkEnd w:id="0"/>
    </w:p>
    <w:p w:rsidR="004E16E5" w:rsidRDefault="004E16E5" w:rsidP="00340FCC">
      <w:pPr>
        <w:spacing w:line="360" w:lineRule="auto"/>
        <w:jc w:val="both"/>
        <w:rPr>
          <w:rFonts w:ascii="Arial" w:hAnsi="Arial" w:cs="Arial"/>
          <w:sz w:val="24"/>
          <w:szCs w:val="24"/>
        </w:rPr>
      </w:pPr>
      <w:r w:rsidRPr="00492DF0">
        <w:rPr>
          <w:rFonts w:ascii="Arial" w:hAnsi="Arial" w:cs="Arial"/>
          <w:sz w:val="24"/>
          <w:szCs w:val="24"/>
        </w:rPr>
        <w:t>Se publicará la versión pública de la declaración de situación patrimonial de los(as) servidores(as) públicos(as), integrantes, miembros del sujeto obligado y/o toda persona que desempeñe un empleo, cargo o comisión y/o ejerza actos de autoridad, y que tiene la obligación de presentar declaración de situación patrimonial en sus tres modalidades: inicio, modificación y de conclusión, de conformidad con la normatividad que resulte aplicable.</w:t>
      </w:r>
    </w:p>
    <w:p w:rsidR="00261206" w:rsidRDefault="00992867" w:rsidP="00340FCC">
      <w:pPr>
        <w:spacing w:line="360" w:lineRule="auto"/>
        <w:jc w:val="both"/>
        <w:rPr>
          <w:rFonts w:ascii="Arial" w:hAnsi="Arial" w:cs="Arial"/>
          <w:sz w:val="24"/>
          <w:szCs w:val="24"/>
        </w:rPr>
      </w:pPr>
      <w:r w:rsidRPr="004E16E5">
        <w:rPr>
          <w:rFonts w:ascii="Arial" w:hAnsi="Arial" w:cs="Arial"/>
          <w:sz w:val="24"/>
          <w:szCs w:val="24"/>
        </w:rPr>
        <w:t xml:space="preserve">En el período que comprende del 1º al </w:t>
      </w:r>
      <w:r w:rsidR="00CF1FA2">
        <w:rPr>
          <w:rFonts w:ascii="Arial" w:hAnsi="Arial" w:cs="Arial"/>
          <w:sz w:val="24"/>
          <w:szCs w:val="24"/>
        </w:rPr>
        <w:t>3</w:t>
      </w:r>
      <w:r w:rsidR="00F27E33">
        <w:rPr>
          <w:rFonts w:ascii="Arial" w:hAnsi="Arial" w:cs="Arial"/>
          <w:sz w:val="24"/>
          <w:szCs w:val="24"/>
        </w:rPr>
        <w:t>0</w:t>
      </w:r>
      <w:r w:rsidRPr="004E16E5">
        <w:rPr>
          <w:rFonts w:ascii="Arial" w:hAnsi="Arial" w:cs="Arial"/>
          <w:sz w:val="24"/>
          <w:szCs w:val="24"/>
        </w:rPr>
        <w:t xml:space="preserve"> de </w:t>
      </w:r>
      <w:r w:rsidR="00F27E33">
        <w:rPr>
          <w:rFonts w:ascii="Arial" w:hAnsi="Arial" w:cs="Arial"/>
          <w:sz w:val="24"/>
          <w:szCs w:val="24"/>
        </w:rPr>
        <w:t>junio</w:t>
      </w:r>
      <w:r w:rsidRPr="004E16E5">
        <w:rPr>
          <w:rFonts w:ascii="Arial" w:hAnsi="Arial" w:cs="Arial"/>
          <w:sz w:val="24"/>
          <w:szCs w:val="24"/>
        </w:rPr>
        <w:t xml:space="preserve"> del 2020</w:t>
      </w:r>
      <w:r w:rsidR="003829B1">
        <w:rPr>
          <w:rFonts w:ascii="Arial" w:hAnsi="Arial" w:cs="Arial"/>
          <w:sz w:val="24"/>
          <w:szCs w:val="24"/>
        </w:rPr>
        <w:t xml:space="preserve"> no se generó información</w:t>
      </w:r>
      <w:r w:rsidRPr="004E16E5">
        <w:rPr>
          <w:rFonts w:ascii="Arial" w:hAnsi="Arial" w:cs="Arial"/>
          <w:sz w:val="24"/>
          <w:szCs w:val="24"/>
        </w:rPr>
        <w:t xml:space="preserve">, </w:t>
      </w:r>
      <w:r w:rsidR="003829B1">
        <w:rPr>
          <w:rFonts w:ascii="Arial" w:hAnsi="Arial" w:cs="Arial"/>
          <w:sz w:val="24"/>
          <w:szCs w:val="24"/>
        </w:rPr>
        <w:t xml:space="preserve">ya que la Secretaría de Cultura </w:t>
      </w:r>
      <w:r w:rsidRPr="004E16E5">
        <w:rPr>
          <w:rFonts w:ascii="Arial" w:hAnsi="Arial" w:cs="Arial"/>
          <w:sz w:val="24"/>
          <w:szCs w:val="24"/>
        </w:rPr>
        <w:t xml:space="preserve">no recibió </w:t>
      </w:r>
      <w:r w:rsidR="00261206">
        <w:rPr>
          <w:rFonts w:ascii="Arial" w:hAnsi="Arial" w:cs="Arial"/>
          <w:sz w:val="24"/>
          <w:szCs w:val="24"/>
        </w:rPr>
        <w:t>notificación alguna por parte de ningún Servidor Público adscrito a</w:t>
      </w:r>
      <w:r w:rsidR="00361EF7">
        <w:rPr>
          <w:rFonts w:ascii="Arial" w:hAnsi="Arial" w:cs="Arial"/>
          <w:sz w:val="24"/>
          <w:szCs w:val="24"/>
        </w:rPr>
        <w:t xml:space="preserve"> esta Dependencia Gubernamental</w:t>
      </w:r>
      <w:r w:rsidR="00261206">
        <w:rPr>
          <w:rFonts w:ascii="Arial" w:hAnsi="Arial" w:cs="Arial"/>
          <w:sz w:val="24"/>
          <w:szCs w:val="24"/>
        </w:rPr>
        <w:t xml:space="preserve"> </w:t>
      </w:r>
      <w:r w:rsidR="003829B1">
        <w:rPr>
          <w:rFonts w:ascii="Arial" w:hAnsi="Arial" w:cs="Arial"/>
          <w:sz w:val="24"/>
          <w:szCs w:val="24"/>
        </w:rPr>
        <w:t>con respecto a la presentación de</w:t>
      </w:r>
      <w:r w:rsidR="00261206">
        <w:rPr>
          <w:rFonts w:ascii="Arial" w:hAnsi="Arial" w:cs="Arial"/>
          <w:sz w:val="24"/>
          <w:szCs w:val="24"/>
        </w:rPr>
        <w:t xml:space="preserve"> su</w:t>
      </w:r>
      <w:r w:rsidR="003829B1">
        <w:rPr>
          <w:rFonts w:ascii="Arial" w:hAnsi="Arial" w:cs="Arial"/>
          <w:sz w:val="24"/>
          <w:szCs w:val="24"/>
        </w:rPr>
        <w:t xml:space="preserve"> </w:t>
      </w:r>
      <w:r w:rsidR="00695CD3" w:rsidRPr="004E16E5">
        <w:rPr>
          <w:rFonts w:ascii="Arial" w:hAnsi="Arial" w:cs="Arial"/>
          <w:sz w:val="24"/>
          <w:szCs w:val="24"/>
        </w:rPr>
        <w:t xml:space="preserve">documento inicial, de modificación o de conclusión de </w:t>
      </w:r>
      <w:r w:rsidR="00261206">
        <w:rPr>
          <w:rFonts w:ascii="Arial" w:hAnsi="Arial" w:cs="Arial"/>
          <w:sz w:val="24"/>
          <w:szCs w:val="24"/>
        </w:rPr>
        <w:t xml:space="preserve">su propia </w:t>
      </w:r>
      <w:r w:rsidRPr="004E16E5">
        <w:rPr>
          <w:rFonts w:ascii="Arial" w:hAnsi="Arial" w:cs="Arial"/>
          <w:sz w:val="24"/>
          <w:szCs w:val="24"/>
        </w:rPr>
        <w:t xml:space="preserve">Declaración de Situación Patrimonial, Declaración de Intereses </w:t>
      </w:r>
      <w:r w:rsidR="00695CD3" w:rsidRPr="004E16E5">
        <w:rPr>
          <w:rFonts w:ascii="Arial" w:hAnsi="Arial" w:cs="Arial"/>
          <w:sz w:val="24"/>
          <w:szCs w:val="24"/>
        </w:rPr>
        <w:t>o</w:t>
      </w:r>
      <w:r w:rsidRPr="004E16E5">
        <w:rPr>
          <w:rFonts w:ascii="Arial" w:hAnsi="Arial" w:cs="Arial"/>
          <w:sz w:val="24"/>
          <w:szCs w:val="24"/>
        </w:rPr>
        <w:t xml:space="preserve"> Constancia de Presentación de Declaración Fiscal</w:t>
      </w:r>
      <w:r w:rsidR="00261206">
        <w:rPr>
          <w:rFonts w:ascii="Arial" w:hAnsi="Arial" w:cs="Arial"/>
          <w:sz w:val="24"/>
          <w:szCs w:val="24"/>
        </w:rPr>
        <w:t>.</w:t>
      </w:r>
      <w:r w:rsidRPr="004E16E5">
        <w:rPr>
          <w:rFonts w:ascii="Arial" w:hAnsi="Arial" w:cs="Arial"/>
          <w:sz w:val="24"/>
          <w:szCs w:val="24"/>
        </w:rPr>
        <w:t xml:space="preserve"> </w:t>
      </w:r>
      <w:r w:rsidR="00381711">
        <w:rPr>
          <w:rFonts w:ascii="Arial" w:hAnsi="Arial" w:cs="Arial"/>
          <w:sz w:val="24"/>
          <w:szCs w:val="24"/>
        </w:rPr>
        <w:t>De igual manera, al buscar en el sitio web habilitado por la Contraloría General del Estado para Consultar Declaracio</w:t>
      </w:r>
      <w:r w:rsidR="00381711" w:rsidRPr="00381711">
        <w:rPr>
          <w:rFonts w:ascii="Arial" w:hAnsi="Arial" w:cs="Arial"/>
          <w:sz w:val="24"/>
          <w:szCs w:val="24"/>
        </w:rPr>
        <w:t>nes de Servidores Públicos del Poder Ejecutivo del Estado de San Luis Potosí (Versión Pública IMCO)</w:t>
      </w:r>
      <w:r w:rsidR="00381711">
        <w:rPr>
          <w:rFonts w:ascii="Arial" w:hAnsi="Arial" w:cs="Arial"/>
          <w:sz w:val="24"/>
          <w:szCs w:val="24"/>
        </w:rPr>
        <w:t xml:space="preserve">, este tampoco arrojó información con respecto a la presentación de su </w:t>
      </w:r>
      <w:r w:rsidR="00381711" w:rsidRPr="004E16E5">
        <w:rPr>
          <w:rFonts w:ascii="Arial" w:hAnsi="Arial" w:cs="Arial"/>
          <w:sz w:val="24"/>
          <w:szCs w:val="24"/>
        </w:rPr>
        <w:t>documento inicial, de modificación o de conclusión de Declaración de Situación Patrimonial, Declaración de Intereses o Constancia de Presentación de Declaración Fiscal</w:t>
      </w:r>
      <w:r w:rsidR="00381711">
        <w:rPr>
          <w:rFonts w:ascii="Arial" w:hAnsi="Arial" w:cs="Arial"/>
          <w:sz w:val="24"/>
          <w:szCs w:val="24"/>
        </w:rPr>
        <w:t xml:space="preserve"> de ningún Servidor Público de esta Dependencia.</w:t>
      </w:r>
    </w:p>
    <w:p w:rsidR="00F27E33" w:rsidRDefault="00F27E33" w:rsidP="00340FCC">
      <w:pPr>
        <w:spacing w:line="360" w:lineRule="auto"/>
        <w:jc w:val="both"/>
        <w:rPr>
          <w:rFonts w:ascii="Arial" w:hAnsi="Arial" w:cs="Arial"/>
          <w:sz w:val="24"/>
          <w:szCs w:val="24"/>
        </w:rPr>
      </w:pPr>
      <w:r>
        <w:rPr>
          <w:rFonts w:ascii="Arial" w:hAnsi="Arial" w:cs="Arial"/>
          <w:sz w:val="24"/>
          <w:szCs w:val="24"/>
        </w:rPr>
        <w:t>También se menciona que la Contraloría General del Estado indicó que la fecha límite para la presentación de la Declaración Patrimonial, de Intereses y Fiscal es el 31 de julio del 2020.</w:t>
      </w:r>
    </w:p>
    <w:p w:rsidR="00F27E33" w:rsidRDefault="00F27E33" w:rsidP="00340FCC">
      <w:pPr>
        <w:spacing w:line="360" w:lineRule="auto"/>
        <w:jc w:val="both"/>
        <w:rPr>
          <w:rFonts w:ascii="Arial" w:hAnsi="Arial" w:cs="Arial"/>
          <w:sz w:val="24"/>
          <w:szCs w:val="24"/>
        </w:rPr>
      </w:pPr>
      <w:r>
        <w:rPr>
          <w:rFonts w:ascii="Arial" w:hAnsi="Arial" w:cs="Arial"/>
          <w:noProof/>
          <w:sz w:val="24"/>
          <w:szCs w:val="24"/>
          <w:lang w:eastAsia="es-MX"/>
        </w:rPr>
        <w:lastRenderedPageBreak/>
        <w:drawing>
          <wp:inline distT="0" distB="0" distL="0" distR="0">
            <wp:extent cx="5941060" cy="5941060"/>
            <wp:effectExtent l="0" t="0" r="2540" b="254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eclaranet2020.jpg"/>
                    <pic:cNvPicPr/>
                  </pic:nvPicPr>
                  <pic:blipFill>
                    <a:blip r:embed="rId6">
                      <a:extLst>
                        <a:ext uri="{28A0092B-C50C-407E-A947-70E740481C1C}">
                          <a14:useLocalDpi xmlns:a14="http://schemas.microsoft.com/office/drawing/2010/main" val="0"/>
                        </a:ext>
                      </a:extLst>
                    </a:blip>
                    <a:stretch>
                      <a:fillRect/>
                    </a:stretch>
                  </pic:blipFill>
                  <pic:spPr>
                    <a:xfrm>
                      <a:off x="0" y="0"/>
                      <a:ext cx="5941060" cy="5941060"/>
                    </a:xfrm>
                    <a:prstGeom prst="rect">
                      <a:avLst/>
                    </a:prstGeom>
                  </pic:spPr>
                </pic:pic>
              </a:graphicData>
            </a:graphic>
          </wp:inline>
        </w:drawing>
      </w:r>
    </w:p>
    <w:p w:rsidR="00992867" w:rsidRDefault="00261206" w:rsidP="00340FCC">
      <w:pPr>
        <w:spacing w:line="360" w:lineRule="auto"/>
        <w:jc w:val="both"/>
        <w:rPr>
          <w:rFonts w:ascii="Arial" w:hAnsi="Arial" w:cs="Arial"/>
          <w:sz w:val="24"/>
          <w:szCs w:val="24"/>
        </w:rPr>
      </w:pPr>
      <w:r>
        <w:rPr>
          <w:rFonts w:ascii="Arial" w:hAnsi="Arial" w:cs="Arial"/>
          <w:sz w:val="24"/>
          <w:szCs w:val="24"/>
        </w:rPr>
        <w:t>E</w:t>
      </w:r>
      <w:r w:rsidR="004E16E5" w:rsidRPr="004E16E5">
        <w:rPr>
          <w:rFonts w:ascii="Arial" w:hAnsi="Arial" w:cs="Arial"/>
          <w:sz w:val="24"/>
          <w:szCs w:val="24"/>
        </w:rPr>
        <w:t xml:space="preserve">sto </w:t>
      </w:r>
      <w:r w:rsidR="00992867" w:rsidRPr="004E16E5">
        <w:rPr>
          <w:rFonts w:ascii="Arial" w:hAnsi="Arial" w:cs="Arial"/>
          <w:sz w:val="24"/>
          <w:szCs w:val="24"/>
        </w:rPr>
        <w:t xml:space="preserve">conforme a lo establecido </w:t>
      </w:r>
      <w:r>
        <w:rPr>
          <w:rFonts w:ascii="Arial" w:hAnsi="Arial" w:cs="Arial"/>
          <w:sz w:val="24"/>
          <w:szCs w:val="24"/>
        </w:rPr>
        <w:t xml:space="preserve">en el Artículo 19 de la Ley de Transparencia del Estado de San Luis Potosí </w:t>
      </w:r>
      <w:r w:rsidRPr="004E16E5">
        <w:rPr>
          <w:rFonts w:ascii="Arial" w:hAnsi="Arial" w:cs="Arial"/>
          <w:sz w:val="24"/>
          <w:szCs w:val="24"/>
        </w:rPr>
        <w:t>(publicada en el Periódico Ofici</w:t>
      </w:r>
      <w:r>
        <w:rPr>
          <w:rFonts w:ascii="Arial" w:hAnsi="Arial" w:cs="Arial"/>
          <w:sz w:val="24"/>
          <w:szCs w:val="24"/>
        </w:rPr>
        <w:t xml:space="preserve">al del Estado el 04/06/2019), </w:t>
      </w:r>
      <w:r w:rsidR="00992867" w:rsidRPr="004E16E5">
        <w:rPr>
          <w:rFonts w:ascii="Arial" w:hAnsi="Arial" w:cs="Arial"/>
          <w:sz w:val="24"/>
          <w:szCs w:val="24"/>
        </w:rPr>
        <w:t xml:space="preserve">en los Artículos </w:t>
      </w:r>
      <w:r w:rsidR="00695CD3" w:rsidRPr="004E16E5">
        <w:rPr>
          <w:rFonts w:ascii="Arial" w:hAnsi="Arial" w:cs="Arial"/>
          <w:sz w:val="24"/>
          <w:szCs w:val="24"/>
        </w:rPr>
        <w:t>32</w:t>
      </w:r>
      <w:r w:rsidR="004E16E5" w:rsidRPr="004E16E5">
        <w:rPr>
          <w:rFonts w:ascii="Arial" w:hAnsi="Arial" w:cs="Arial"/>
          <w:sz w:val="24"/>
          <w:szCs w:val="24"/>
        </w:rPr>
        <w:t>,</w:t>
      </w:r>
      <w:r w:rsidR="00695CD3" w:rsidRPr="004E16E5">
        <w:rPr>
          <w:rFonts w:ascii="Arial" w:hAnsi="Arial" w:cs="Arial"/>
          <w:sz w:val="24"/>
          <w:szCs w:val="24"/>
        </w:rPr>
        <w:t xml:space="preserve"> 33</w:t>
      </w:r>
      <w:r w:rsidR="004E16E5" w:rsidRPr="004E16E5">
        <w:rPr>
          <w:rFonts w:ascii="Arial" w:hAnsi="Arial" w:cs="Arial"/>
          <w:sz w:val="24"/>
          <w:szCs w:val="24"/>
        </w:rPr>
        <w:t>, 34, 35, 36, 37, 38, 39, 40 y 41</w:t>
      </w:r>
      <w:r w:rsidR="00695CD3" w:rsidRPr="004E16E5">
        <w:rPr>
          <w:rFonts w:ascii="Arial" w:hAnsi="Arial" w:cs="Arial"/>
          <w:sz w:val="24"/>
          <w:szCs w:val="24"/>
        </w:rPr>
        <w:t xml:space="preserve"> de la Ley de Responsabilidades Administrativas para el Estado y Municipios del Estado de San Luis Potosí (publicada en el Periódico Ofici</w:t>
      </w:r>
      <w:r>
        <w:rPr>
          <w:rFonts w:ascii="Arial" w:hAnsi="Arial" w:cs="Arial"/>
          <w:sz w:val="24"/>
          <w:szCs w:val="24"/>
        </w:rPr>
        <w:t xml:space="preserve">al del Estado el 03/07/2017), </w:t>
      </w:r>
      <w:r w:rsidR="00492DF0">
        <w:rPr>
          <w:rFonts w:ascii="Arial" w:hAnsi="Arial" w:cs="Arial"/>
          <w:sz w:val="24"/>
          <w:szCs w:val="24"/>
        </w:rPr>
        <w:t xml:space="preserve">y </w:t>
      </w:r>
      <w:r w:rsidR="00695CD3" w:rsidRPr="004E16E5">
        <w:rPr>
          <w:rFonts w:ascii="Arial" w:hAnsi="Arial" w:cs="Arial"/>
          <w:sz w:val="24"/>
          <w:szCs w:val="24"/>
        </w:rPr>
        <w:t>el Artículo 150 de la Ley del Impuesto Sobre la Renta (última modificación publicada en el Diario Oficial de la Federación el 09/12/2019).</w:t>
      </w:r>
    </w:p>
    <w:p w:rsidR="00F27E33" w:rsidRDefault="00F27E33" w:rsidP="00340FCC">
      <w:pPr>
        <w:spacing w:line="360" w:lineRule="auto"/>
        <w:jc w:val="both"/>
        <w:rPr>
          <w:rFonts w:ascii="Arial" w:hAnsi="Arial" w:cs="Arial"/>
          <w:sz w:val="20"/>
          <w:szCs w:val="20"/>
        </w:rPr>
      </w:pPr>
    </w:p>
    <w:p w:rsidR="00381711" w:rsidRPr="00381711" w:rsidRDefault="00381711" w:rsidP="00340FCC">
      <w:pPr>
        <w:spacing w:line="360" w:lineRule="auto"/>
        <w:jc w:val="both"/>
        <w:rPr>
          <w:rFonts w:ascii="Arial" w:hAnsi="Arial" w:cs="Arial"/>
          <w:sz w:val="20"/>
          <w:szCs w:val="20"/>
        </w:rPr>
      </w:pPr>
      <w:r w:rsidRPr="00381711">
        <w:rPr>
          <w:rFonts w:ascii="Arial" w:hAnsi="Arial" w:cs="Arial"/>
          <w:sz w:val="20"/>
          <w:szCs w:val="20"/>
        </w:rPr>
        <w:t>Captura de pantalla del sitio web para Consultar Declaraciones de Servidores Públicos del Poder Ejecutivo del Estado de San Luis Potosí (Versión Pública IMCO), el cual es habilitado por la Contraloría General del Estado con la finalidad de dar cumplimiento al Artículo 84, Fracción XVII de la Ley de Transparencia y Acceso a la Información Pública del Estado de San Luis Potosí.</w:t>
      </w:r>
    </w:p>
    <w:p w:rsidR="00381711" w:rsidRDefault="00F27E33" w:rsidP="00340FCC">
      <w:pPr>
        <w:spacing w:line="360" w:lineRule="auto"/>
        <w:jc w:val="both"/>
        <w:rPr>
          <w:rFonts w:ascii="Arial" w:hAnsi="Arial" w:cs="Arial"/>
          <w:sz w:val="24"/>
          <w:szCs w:val="24"/>
        </w:rPr>
      </w:pPr>
      <w:r>
        <w:rPr>
          <w:noProof/>
          <w:lang w:eastAsia="es-MX"/>
        </w:rPr>
        <w:drawing>
          <wp:inline distT="0" distB="0" distL="0" distR="0" wp14:anchorId="5FD83444" wp14:editId="488DA27E">
            <wp:extent cx="5941060" cy="3197225"/>
            <wp:effectExtent l="19050" t="19050" r="21590" b="2222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t="4277"/>
                    <a:stretch/>
                  </pic:blipFill>
                  <pic:spPr bwMode="auto">
                    <a:xfrm>
                      <a:off x="0" y="0"/>
                      <a:ext cx="5941060" cy="3197225"/>
                    </a:xfrm>
                    <a:prstGeom prst="rect">
                      <a:avLst/>
                    </a:prstGeom>
                    <a:ln w="9525" cap="flat" cmpd="sng" algn="ctr">
                      <a:solidFill>
                        <a:sysClr val="window" lastClr="FFFFFF">
                          <a:lumMod val="50000"/>
                        </a:sysClr>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381711" w:rsidRDefault="00381711" w:rsidP="00340FCC">
      <w:pPr>
        <w:spacing w:line="360" w:lineRule="auto"/>
        <w:jc w:val="both"/>
        <w:rPr>
          <w:rFonts w:ascii="Arial" w:hAnsi="Arial" w:cs="Arial"/>
          <w:sz w:val="24"/>
          <w:szCs w:val="24"/>
        </w:rPr>
      </w:pPr>
    </w:p>
    <w:p w:rsidR="00381711" w:rsidRDefault="00381711" w:rsidP="00340FCC">
      <w:pPr>
        <w:spacing w:line="360" w:lineRule="auto"/>
        <w:jc w:val="both"/>
        <w:rPr>
          <w:rFonts w:ascii="Arial" w:hAnsi="Arial" w:cs="Arial"/>
          <w:sz w:val="24"/>
          <w:szCs w:val="24"/>
        </w:rPr>
      </w:pPr>
    </w:p>
    <w:p w:rsidR="00381711" w:rsidRDefault="00381711" w:rsidP="00340FCC">
      <w:pPr>
        <w:spacing w:line="360" w:lineRule="auto"/>
        <w:jc w:val="both"/>
        <w:rPr>
          <w:rFonts w:ascii="Arial" w:hAnsi="Arial" w:cs="Arial"/>
          <w:sz w:val="24"/>
          <w:szCs w:val="24"/>
        </w:rPr>
      </w:pPr>
    </w:p>
    <w:p w:rsidR="00381711" w:rsidRDefault="00381711" w:rsidP="00340FCC">
      <w:pPr>
        <w:spacing w:line="360" w:lineRule="auto"/>
        <w:jc w:val="both"/>
        <w:rPr>
          <w:rFonts w:ascii="Arial" w:hAnsi="Arial" w:cs="Arial"/>
          <w:sz w:val="24"/>
          <w:szCs w:val="24"/>
        </w:rPr>
      </w:pPr>
    </w:p>
    <w:p w:rsidR="00381711" w:rsidRPr="004E16E5" w:rsidRDefault="00381711" w:rsidP="00340FCC">
      <w:pPr>
        <w:spacing w:line="360" w:lineRule="auto"/>
        <w:jc w:val="both"/>
        <w:rPr>
          <w:rFonts w:ascii="Arial" w:hAnsi="Arial" w:cs="Arial"/>
          <w:sz w:val="24"/>
          <w:szCs w:val="24"/>
        </w:rPr>
      </w:pPr>
    </w:p>
    <w:sectPr w:rsidR="00381711" w:rsidRPr="004E16E5" w:rsidSect="00340FCC">
      <w:headerReference w:type="default" r:id="rId8"/>
      <w:footerReference w:type="default" r:id="rId9"/>
      <w:pgSz w:w="12240" w:h="15840"/>
      <w:pgMar w:top="1417" w:right="1183"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308B8" w:rsidRDefault="002308B8" w:rsidP="002F7AB3">
      <w:pPr>
        <w:spacing w:after="0" w:line="240" w:lineRule="auto"/>
      </w:pPr>
      <w:r>
        <w:separator/>
      </w:r>
    </w:p>
  </w:endnote>
  <w:endnote w:type="continuationSeparator" w:id="0">
    <w:p w:rsidR="002308B8" w:rsidRDefault="002308B8" w:rsidP="002F7A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598C" w:rsidRDefault="00D7598C">
    <w:pPr>
      <w:pStyle w:val="Piedepgina"/>
    </w:pPr>
    <w:r>
      <w:rPr>
        <w:rFonts w:ascii="Arial" w:hAnsi="Arial"/>
        <w:noProof/>
        <w:color w:val="808080" w:themeColor="background1" w:themeShade="80"/>
        <w:sz w:val="18"/>
        <w:szCs w:val="18"/>
        <w:lang w:eastAsia="es-MX"/>
      </w:rPr>
      <w:drawing>
        <wp:anchor distT="0" distB="0" distL="114300" distR="114300" simplePos="0" relativeHeight="251659264" behindDoc="1" locked="0" layoutInCell="1" allowOverlap="1" wp14:anchorId="00D54833" wp14:editId="113F7391">
          <wp:simplePos x="0" y="0"/>
          <wp:positionH relativeFrom="column">
            <wp:posOffset>-1570007</wp:posOffset>
          </wp:positionH>
          <wp:positionV relativeFrom="paragraph">
            <wp:posOffset>-250166</wp:posOffset>
          </wp:positionV>
          <wp:extent cx="6899275" cy="795020"/>
          <wp:effectExtent l="0" t="0" r="0" b="5080"/>
          <wp:wrapNone/>
          <wp:docPr id="10" name="Imagen 10" descr="AB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BN"/>
                  <pic:cNvPicPr>
                    <a:picLocks noChangeAspect="1" noChangeArrowheads="1"/>
                  </pic:cNvPicPr>
                </pic:nvPicPr>
                <pic:blipFill rotWithShape="1">
                  <a:blip r:embed="rId1">
                    <a:extLst>
                      <a:ext uri="{28A0092B-C50C-407E-A947-70E740481C1C}">
                        <a14:useLocalDpi xmlns:a14="http://schemas.microsoft.com/office/drawing/2010/main" val="0"/>
                      </a:ext>
                    </a:extLst>
                  </a:blip>
                  <a:srcRect b="40655"/>
                  <a:stretch/>
                </pic:blipFill>
                <pic:spPr bwMode="auto">
                  <a:xfrm>
                    <a:off x="0" y="0"/>
                    <a:ext cx="6899275" cy="7950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308B8" w:rsidRDefault="002308B8" w:rsidP="002F7AB3">
      <w:pPr>
        <w:spacing w:after="0" w:line="240" w:lineRule="auto"/>
      </w:pPr>
      <w:r>
        <w:separator/>
      </w:r>
    </w:p>
  </w:footnote>
  <w:footnote w:type="continuationSeparator" w:id="0">
    <w:p w:rsidR="002308B8" w:rsidRDefault="002308B8" w:rsidP="002F7AB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598C" w:rsidRDefault="00D7598C">
    <w:pPr>
      <w:pStyle w:val="Encabezado"/>
    </w:pPr>
    <w:r>
      <w:rPr>
        <w:noProof/>
        <w:lang w:eastAsia="es-MX"/>
      </w:rPr>
      <w:drawing>
        <wp:anchor distT="0" distB="0" distL="114300" distR="114300" simplePos="0" relativeHeight="251657216" behindDoc="1" locked="0" layoutInCell="1" allowOverlap="1">
          <wp:simplePos x="0" y="0"/>
          <wp:positionH relativeFrom="column">
            <wp:posOffset>-165172</wp:posOffset>
          </wp:positionH>
          <wp:positionV relativeFrom="paragraph">
            <wp:posOffset>-380198</wp:posOffset>
          </wp:positionV>
          <wp:extent cx="4911306" cy="786130"/>
          <wp:effectExtent l="0" t="0" r="3810" b="0"/>
          <wp:wrapNone/>
          <wp:docPr id="9" name="Imagen 9" descr="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12455" t="27089"/>
                  <a:stretch/>
                </pic:blipFill>
                <pic:spPr bwMode="auto">
                  <a:xfrm>
                    <a:off x="0" y="0"/>
                    <a:ext cx="4911306" cy="7861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2A5F"/>
    <w:rsid w:val="000A02CF"/>
    <w:rsid w:val="001370F0"/>
    <w:rsid w:val="002308B8"/>
    <w:rsid w:val="00257393"/>
    <w:rsid w:val="00261206"/>
    <w:rsid w:val="002D2582"/>
    <w:rsid w:val="002F7AB3"/>
    <w:rsid w:val="00340FCC"/>
    <w:rsid w:val="00361EF7"/>
    <w:rsid w:val="003731D5"/>
    <w:rsid w:val="00381711"/>
    <w:rsid w:val="003829B1"/>
    <w:rsid w:val="00393DFF"/>
    <w:rsid w:val="003D768B"/>
    <w:rsid w:val="00427D21"/>
    <w:rsid w:val="00492DF0"/>
    <w:rsid w:val="004E16E5"/>
    <w:rsid w:val="00515435"/>
    <w:rsid w:val="00522E96"/>
    <w:rsid w:val="005C4768"/>
    <w:rsid w:val="005F2D9A"/>
    <w:rsid w:val="0068124C"/>
    <w:rsid w:val="00695CD3"/>
    <w:rsid w:val="006E48CA"/>
    <w:rsid w:val="007037E8"/>
    <w:rsid w:val="00751583"/>
    <w:rsid w:val="00777F1E"/>
    <w:rsid w:val="007E2A5F"/>
    <w:rsid w:val="00842682"/>
    <w:rsid w:val="00886F05"/>
    <w:rsid w:val="00922B5E"/>
    <w:rsid w:val="00941864"/>
    <w:rsid w:val="00992867"/>
    <w:rsid w:val="00CD1675"/>
    <w:rsid w:val="00CF1FA2"/>
    <w:rsid w:val="00D7598C"/>
    <w:rsid w:val="00DF77AC"/>
    <w:rsid w:val="00E055ED"/>
    <w:rsid w:val="00EB5016"/>
    <w:rsid w:val="00F27E33"/>
    <w:rsid w:val="00F50472"/>
    <w:rsid w:val="00F531A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3F9466B-C814-4300-8EF9-93530E1832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2A5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F7AB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F7AB3"/>
  </w:style>
  <w:style w:type="paragraph" w:styleId="Piedepgina">
    <w:name w:val="footer"/>
    <w:basedOn w:val="Normal"/>
    <w:link w:val="PiedepginaCar"/>
    <w:uiPriority w:val="99"/>
    <w:unhideWhenUsed/>
    <w:rsid w:val="002F7AB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F7AB3"/>
  </w:style>
  <w:style w:type="paragraph" w:styleId="Textodeglobo">
    <w:name w:val="Balloon Text"/>
    <w:basedOn w:val="Normal"/>
    <w:link w:val="TextodegloboCar"/>
    <w:uiPriority w:val="99"/>
    <w:semiHidden/>
    <w:unhideWhenUsed/>
    <w:rsid w:val="0026120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6120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408</Words>
  <Characters>2248</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NORMA</dc:creator>
  <cp:lastModifiedBy>TRANSPARENCIA</cp:lastModifiedBy>
  <cp:revision>3</cp:revision>
  <cp:lastPrinted>2019-02-06T17:45:00Z</cp:lastPrinted>
  <dcterms:created xsi:type="dcterms:W3CDTF">2020-07-06T16:04:00Z</dcterms:created>
  <dcterms:modified xsi:type="dcterms:W3CDTF">2020-07-06T16:08:00Z</dcterms:modified>
</cp:coreProperties>
</file>