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2CA6C276"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5257B">
        <w:rPr>
          <w:rFonts w:ascii="AvantGarde Bk BT" w:hAnsi="AvantGarde Bk BT" w:cs="Arial"/>
          <w:b/>
          <w:color w:val="000000" w:themeColor="text1"/>
          <w:sz w:val="24"/>
          <w:szCs w:val="24"/>
        </w:rPr>
        <w:t>1625</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757175">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B21CC0">
        <w:rPr>
          <w:rFonts w:ascii="AvantGarde Bk BT" w:hAnsi="AvantGarde Bk BT" w:cs="Arial"/>
          <w:b/>
          <w:color w:val="000000" w:themeColor="text1"/>
          <w:sz w:val="24"/>
          <w:szCs w:val="24"/>
        </w:rPr>
        <w:t>PLATAFORMA</w:t>
      </w:r>
      <w:r w:rsidR="00757175">
        <w:rPr>
          <w:rFonts w:ascii="AvantGarde Bk BT" w:hAnsi="AvantGarde Bk BT" w:cs="Arial"/>
          <w:b/>
          <w:color w:val="000000" w:themeColor="text1"/>
          <w:sz w:val="24"/>
          <w:szCs w:val="24"/>
        </w:rPr>
        <w: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11A11858" w:rsidR="0004274F" w:rsidRPr="007C5605" w:rsidRDefault="0043684F"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AYUNTAMIENTO DE </w:t>
      </w:r>
      <w:r w:rsidR="00473F5F">
        <w:rPr>
          <w:rFonts w:ascii="AvantGarde Bk BT" w:hAnsi="AvantGarde Bk BT" w:cs="Arial"/>
          <w:b/>
          <w:color w:val="000000" w:themeColor="text1"/>
          <w:sz w:val="24"/>
          <w:szCs w:val="24"/>
        </w:rPr>
        <w:t>SAN LUIS POTOSÍ</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362CA33D"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E5257B">
        <w:rPr>
          <w:rFonts w:ascii="AvantGarde Bk BT" w:hAnsi="AvantGarde Bk BT" w:cs="Arial"/>
          <w:color w:val="000000" w:themeColor="text1"/>
          <w:sz w:val="24"/>
          <w:szCs w:val="24"/>
        </w:rPr>
        <w:t>12 doce de noviembre</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13165279" w14:textId="60DE4AA7" w:rsidR="0018577C" w:rsidRPr="00E5257B" w:rsidRDefault="0004274F" w:rsidP="00E5257B">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7F3640">
        <w:rPr>
          <w:rFonts w:ascii="AvantGarde Bk BT" w:hAnsi="AvantGarde Bk BT" w:cs="Arial"/>
          <w:color w:val="000000" w:themeColor="text1"/>
          <w:sz w:val="24"/>
          <w:szCs w:val="24"/>
        </w:rPr>
        <w:t>26 veintiséis</w:t>
      </w:r>
      <w:r w:rsidR="00473F5F">
        <w:rPr>
          <w:rFonts w:ascii="AvantGarde Bk BT" w:hAnsi="AvantGarde Bk BT" w:cs="Arial"/>
          <w:color w:val="000000" w:themeColor="text1"/>
          <w:sz w:val="24"/>
          <w:szCs w:val="24"/>
        </w:rPr>
        <w:t xml:space="preserve"> de </w:t>
      </w:r>
      <w:r w:rsidR="00E5257B">
        <w:rPr>
          <w:rFonts w:ascii="AvantGarde Bk BT" w:hAnsi="AvantGarde Bk BT" w:cs="Arial"/>
          <w:color w:val="000000" w:themeColor="text1"/>
          <w:sz w:val="24"/>
          <w:szCs w:val="24"/>
        </w:rPr>
        <w:t>julio</w:t>
      </w:r>
      <w:r w:rsidR="00A46BD1">
        <w:rPr>
          <w:rFonts w:ascii="AvantGarde Bk BT" w:hAnsi="AvantGarde Bk BT" w:cs="Arial"/>
          <w:color w:val="000000" w:themeColor="text1"/>
          <w:sz w:val="24"/>
          <w:szCs w:val="24"/>
        </w:rPr>
        <w:t xml:space="preserve"> de 2019 dos mil </w:t>
      </w:r>
      <w:r w:rsidR="00176806">
        <w:rPr>
          <w:rFonts w:ascii="AvantGarde Bk BT" w:hAnsi="AvantGarde Bk BT" w:cs="Arial"/>
          <w:color w:val="000000" w:themeColor="text1"/>
          <w:sz w:val="24"/>
          <w:szCs w:val="24"/>
        </w:rPr>
        <w:t>diecinueve</w:t>
      </w:r>
      <w:r w:rsidR="00126008">
        <w:rPr>
          <w:rFonts w:ascii="AvantGarde Bk BT" w:hAnsi="AvantGarde Bk BT" w:cs="Arial"/>
          <w:color w:val="000000" w:themeColor="text1"/>
          <w:sz w:val="24"/>
          <w:szCs w:val="24"/>
        </w:rPr>
        <w:t xml:space="preserve"> </w:t>
      </w:r>
      <w:r w:rsidR="005E613C">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473F5F">
        <w:rPr>
          <w:rFonts w:ascii="AvantGarde Bk BT" w:hAnsi="AvantGarde Bk BT" w:cs="Arial"/>
          <w:b/>
          <w:color w:val="000000" w:themeColor="text1"/>
          <w:sz w:val="24"/>
          <w:szCs w:val="24"/>
        </w:rPr>
        <w:t>AYUNTAMIENTO DE SAN LUIS POTOSÍ</w:t>
      </w:r>
      <w:r w:rsidR="005171D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w:t>
      </w:r>
      <w:r w:rsidR="00473F5F">
        <w:rPr>
          <w:rFonts w:ascii="AvantGarde Bk BT" w:hAnsi="AvantGarde Bk BT" w:cs="Arial"/>
          <w:color w:val="000000" w:themeColor="text1"/>
          <w:sz w:val="24"/>
          <w:szCs w:val="24"/>
        </w:rPr>
        <w:t>orma Nacional de Transparencia San Luis P</w:t>
      </w:r>
      <w:r w:rsidR="00BD5459">
        <w:rPr>
          <w:rFonts w:ascii="AvantGarde Bk BT" w:hAnsi="AvantGarde Bk BT" w:cs="Arial"/>
          <w:color w:val="000000" w:themeColor="text1"/>
          <w:sz w:val="24"/>
          <w:szCs w:val="24"/>
        </w:rPr>
        <w:t>otosí</w:t>
      </w:r>
      <w:r w:rsidR="000B3669">
        <w:rPr>
          <w:rFonts w:ascii="AvantGarde Bk BT" w:hAnsi="AvantGarde Bk BT" w:cs="Arial"/>
          <w:color w:val="000000" w:themeColor="text1"/>
          <w:sz w:val="24"/>
          <w:szCs w:val="24"/>
        </w:rPr>
        <w:t xml:space="preserve">, misma que quedó registrada con número de folio </w:t>
      </w:r>
      <w:r w:rsidR="00E5257B">
        <w:rPr>
          <w:rFonts w:ascii="AvantGarde Bk BT" w:hAnsi="AvantGarde Bk BT" w:cs="Arial"/>
          <w:color w:val="000000" w:themeColor="text1"/>
          <w:sz w:val="24"/>
          <w:szCs w:val="24"/>
        </w:rPr>
        <w:t>010464</w:t>
      </w:r>
      <w:r w:rsidR="00A46BD1">
        <w:rPr>
          <w:rFonts w:ascii="AvantGarde Bk BT" w:hAnsi="AvantGarde Bk BT" w:cs="Arial"/>
          <w:color w:val="000000" w:themeColor="text1"/>
          <w:sz w:val="24"/>
          <w:szCs w:val="24"/>
        </w:rPr>
        <w:t>19</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E5257B">
        <w:rPr>
          <w:rFonts w:ascii="AvantGarde Bk BT" w:hAnsi="AvantGarde Bk BT" w:cs="Arial"/>
          <w:color w:val="000000" w:themeColor="text1"/>
          <w:sz w:val="24"/>
          <w:szCs w:val="24"/>
        </w:rPr>
        <w:t>02</w:t>
      </w:r>
      <w:r w:rsidR="005171D3">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57F03339" w:rsidR="00B400A9" w:rsidRDefault="0004274F" w:rsidP="00E5257B">
      <w:pPr>
        <w:pStyle w:val="corte4fondo"/>
        <w:tabs>
          <w:tab w:val="left" w:pos="709"/>
        </w:tabs>
        <w:spacing w:after="240"/>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E613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473F5F">
        <w:rPr>
          <w:rFonts w:ascii="AvantGarde Bk BT" w:hAnsi="AvantGarde Bk BT" w:cs="Arial"/>
          <w:b/>
          <w:color w:val="000000" w:themeColor="text1"/>
          <w:sz w:val="24"/>
          <w:szCs w:val="24"/>
        </w:rPr>
        <w:t>AYUNTAMIENTO DE SAN LUIS POTOSÍ</w:t>
      </w:r>
      <w:r w:rsidR="00473F5F">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E5257B">
        <w:rPr>
          <w:rFonts w:ascii="AvantGarde Bk BT" w:hAnsi="AvantGarde Bk BT" w:cs="Arial"/>
          <w:color w:val="000000" w:themeColor="text1"/>
          <w:sz w:val="24"/>
          <w:szCs w:val="24"/>
        </w:rPr>
        <w:t>12 doce de agosto</w:t>
      </w:r>
      <w:r w:rsidR="00A46BD1">
        <w:rPr>
          <w:rFonts w:ascii="AvantGarde Bk BT" w:hAnsi="AvantGarde Bk BT" w:cs="Arial"/>
          <w:color w:val="000000" w:themeColor="text1"/>
          <w:sz w:val="24"/>
          <w:szCs w:val="24"/>
        </w:rPr>
        <w:t xml:space="preserve"> de 2019 dos mil </w:t>
      </w:r>
      <w:r w:rsidR="00C24128">
        <w:rPr>
          <w:rFonts w:ascii="AvantGarde Bk BT" w:hAnsi="AvantGarde Bk BT" w:cs="Arial"/>
          <w:color w:val="000000" w:themeColor="text1"/>
          <w:sz w:val="24"/>
          <w:szCs w:val="24"/>
        </w:rPr>
        <w:t>diecinueve</w:t>
      </w:r>
      <w:r w:rsidR="006B34E7">
        <w:rPr>
          <w:rFonts w:ascii="AvantGarde Bk BT" w:hAnsi="AvantGarde Bk BT" w:cs="Arial"/>
          <w:color w:val="000000" w:themeColor="text1"/>
          <w:sz w:val="24"/>
          <w:szCs w:val="24"/>
        </w:rPr>
        <w:t>.</w:t>
      </w:r>
      <w:r w:rsidR="00E5257B">
        <w:rPr>
          <w:rFonts w:ascii="AvantGarde Bk BT" w:hAnsi="AvantGarde Bk BT" w:cs="Arial"/>
          <w:color w:val="000000" w:themeColor="text1"/>
          <w:sz w:val="24"/>
          <w:szCs w:val="24"/>
        </w:rPr>
        <w:t xml:space="preserve"> (Visible de</w:t>
      </w:r>
      <w:r w:rsidR="00E630DA">
        <w:rPr>
          <w:rFonts w:ascii="AvantGarde Bk BT" w:hAnsi="AvantGarde Bk BT" w:cs="Arial"/>
          <w:color w:val="000000" w:themeColor="text1"/>
          <w:sz w:val="24"/>
          <w:szCs w:val="24"/>
        </w:rPr>
        <w:t xml:space="preserve"> foja</w:t>
      </w:r>
      <w:r w:rsidR="00A46BD1">
        <w:rPr>
          <w:rFonts w:ascii="AvantGarde Bk BT" w:hAnsi="AvantGarde Bk BT" w:cs="Arial"/>
          <w:color w:val="000000" w:themeColor="text1"/>
          <w:sz w:val="24"/>
          <w:szCs w:val="24"/>
        </w:rPr>
        <w:t xml:space="preserve"> </w:t>
      </w:r>
      <w:r w:rsidR="00E5257B">
        <w:rPr>
          <w:rFonts w:ascii="AvantGarde Bk BT" w:hAnsi="AvantGarde Bk BT" w:cs="Arial"/>
          <w:color w:val="000000" w:themeColor="text1"/>
          <w:sz w:val="24"/>
          <w:szCs w:val="24"/>
        </w:rPr>
        <w:t>04 a 07</w:t>
      </w:r>
      <w:r w:rsidR="00B21CC0">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del sumario</w:t>
      </w:r>
      <w:r w:rsidR="00E5257B">
        <w:rPr>
          <w:rFonts w:ascii="AvantGarde Bk BT" w:hAnsi="AvantGarde Bk BT" w:cs="Arial"/>
          <w:color w:val="000000" w:themeColor="text1"/>
          <w:sz w:val="24"/>
          <w:szCs w:val="24"/>
        </w:rPr>
        <w:t>).</w:t>
      </w:r>
    </w:p>
    <w:p w14:paraId="6D089B31" w14:textId="279E5956" w:rsidR="00CC35B6" w:rsidRPr="0092495A" w:rsidRDefault="00CC35B6" w:rsidP="00E5257B">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w:t>
      </w:r>
      <w:r w:rsidR="00931413">
        <w:rPr>
          <w:rFonts w:ascii="AvantGarde Bk BT" w:hAnsi="AvantGarde Bk BT" w:cs="Arial"/>
          <w:color w:val="000000" w:themeColor="text1"/>
          <w:sz w:val="24"/>
          <w:szCs w:val="24"/>
        </w:rPr>
        <w:t xml:space="preserve"> </w:t>
      </w:r>
      <w:r w:rsidR="00296541">
        <w:rPr>
          <w:rFonts w:ascii="AvantGarde Bk BT" w:hAnsi="AvantGarde Bk BT" w:cs="Arial"/>
          <w:color w:val="000000" w:themeColor="text1"/>
          <w:sz w:val="24"/>
          <w:szCs w:val="24"/>
        </w:rPr>
        <w:t>21 veintiuno de agosto</w:t>
      </w:r>
      <w:r w:rsidR="00931413">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7E369B89" w14:textId="0E6F7392"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96541">
        <w:rPr>
          <w:rFonts w:ascii="AvantGarde Bk BT" w:hAnsi="AvantGarde Bk BT" w:cs="Arial"/>
          <w:color w:val="000000" w:themeColor="text1"/>
          <w:sz w:val="24"/>
          <w:szCs w:val="24"/>
        </w:rPr>
        <w:t>23 veintitrés de agosto</w:t>
      </w:r>
      <w:r w:rsidR="0077067C">
        <w:rPr>
          <w:rFonts w:ascii="AvantGarde Bk BT" w:hAnsi="AvantGarde Bk BT" w:cs="Arial"/>
          <w:color w:val="000000" w:themeColor="text1"/>
          <w:sz w:val="24"/>
          <w:szCs w:val="24"/>
        </w:rPr>
        <w:t xml:space="preserve"> de </w:t>
      </w:r>
      <w:r w:rsidR="0077067C">
        <w:rPr>
          <w:rFonts w:ascii="AvantGarde Bk BT" w:hAnsi="AvantGarde Bk BT" w:cs="Arial"/>
          <w:color w:val="000000" w:themeColor="text1"/>
          <w:sz w:val="24"/>
          <w:szCs w:val="24"/>
        </w:rPr>
        <w:lastRenderedPageBreak/>
        <w:t xml:space="preserve">2019 dos mi diecinueve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57E0B40" w14:textId="7DCDF428" w:rsidR="00CC35B6" w:rsidRPr="007C5605" w:rsidRDefault="00CC35B6" w:rsidP="00296541">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96541">
        <w:rPr>
          <w:rFonts w:ascii="AvantGarde Bk BT" w:hAnsi="AvantGarde Bk BT" w:cs="Arial"/>
          <w:color w:val="000000" w:themeColor="text1"/>
          <w:sz w:val="24"/>
          <w:szCs w:val="24"/>
        </w:rPr>
        <w:t>30 treinta de agosto</w:t>
      </w:r>
      <w:r w:rsidR="0077067C">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1F826082" w14:textId="172D607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w:t>
      </w:r>
      <w:r w:rsidR="005F382C">
        <w:rPr>
          <w:rFonts w:ascii="AvantGarde Bk BT" w:hAnsi="AvantGarde Bk BT" w:cs="Arial"/>
          <w:color w:val="000000" w:themeColor="text1"/>
          <w:sz w:val="24"/>
          <w:szCs w:val="24"/>
        </w:rPr>
        <w:t>s</w:t>
      </w:r>
      <w:r w:rsidR="00FF46AB">
        <w:rPr>
          <w:rFonts w:ascii="AvantGarde Bk BT" w:hAnsi="AvantGarde Bk BT" w:cs="Arial"/>
          <w:color w:val="000000" w:themeColor="text1"/>
          <w:sz w:val="24"/>
          <w:szCs w:val="24"/>
        </w:rPr>
        <w:t xml:space="preserve"> hipótesis estable</w:t>
      </w:r>
      <w:r w:rsidR="00717599">
        <w:rPr>
          <w:rFonts w:ascii="AvantGarde Bk BT" w:hAnsi="AvantGarde Bk BT" w:cs="Arial"/>
          <w:color w:val="000000" w:themeColor="text1"/>
          <w:sz w:val="24"/>
          <w:szCs w:val="24"/>
        </w:rPr>
        <w:t>cida</w:t>
      </w:r>
      <w:r w:rsidR="005F382C">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en </w:t>
      </w:r>
      <w:r w:rsidR="005F382C">
        <w:rPr>
          <w:rFonts w:ascii="AvantGarde Bk BT" w:hAnsi="AvantGarde Bk BT" w:cs="Arial"/>
          <w:color w:val="000000" w:themeColor="text1"/>
          <w:sz w:val="24"/>
          <w:szCs w:val="24"/>
        </w:rPr>
        <w:t>las fracciones</w:t>
      </w:r>
      <w:r w:rsidR="00717599">
        <w:rPr>
          <w:rFonts w:ascii="AvantGarde Bk BT" w:hAnsi="AvantGarde Bk BT" w:cs="Arial"/>
          <w:color w:val="000000" w:themeColor="text1"/>
          <w:sz w:val="24"/>
          <w:szCs w:val="24"/>
        </w:rPr>
        <w:t xml:space="preserve"> </w:t>
      </w:r>
      <w:r w:rsidR="00296541">
        <w:rPr>
          <w:rFonts w:ascii="AvantGarde Bk BT" w:hAnsi="AvantGarde Bk BT" w:cs="Arial"/>
          <w:color w:val="000000" w:themeColor="text1"/>
          <w:sz w:val="24"/>
          <w:szCs w:val="24"/>
        </w:rPr>
        <w:t>I y X</w:t>
      </w:r>
      <w:r w:rsidR="007F3640">
        <w:rPr>
          <w:rFonts w:ascii="AvantGarde Bk BT" w:hAnsi="AvantGarde Bk BT" w:cs="Arial"/>
          <w:color w:val="000000" w:themeColor="text1"/>
          <w:sz w:val="24"/>
          <w:szCs w:val="24"/>
        </w:rPr>
        <w:t>I</w:t>
      </w:r>
      <w:r w:rsidR="005F382C">
        <w:rPr>
          <w:rFonts w:ascii="AvantGarde Bk BT" w:hAnsi="AvantGarde Bk BT" w:cs="Arial"/>
          <w:color w:val="000000" w:themeColor="text1"/>
          <w:sz w:val="24"/>
          <w:szCs w:val="24"/>
        </w:rPr>
        <w:t>I</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709FA84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296541">
        <w:rPr>
          <w:rFonts w:ascii="AvantGarde Bk BT" w:hAnsi="AvantGarde Bk BT" w:cs="Arial"/>
          <w:b/>
          <w:color w:val="000000" w:themeColor="text1"/>
          <w:sz w:val="24"/>
          <w:szCs w:val="24"/>
        </w:rPr>
        <w:t>1625</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77067C">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B21CC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AF280AC" w14:textId="4EC88487"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012E2D">
        <w:rPr>
          <w:rFonts w:ascii="AvantGarde Bk BT" w:hAnsi="AvantGarde Bk BT" w:cs="Arial"/>
          <w:b/>
          <w:color w:val="000000" w:themeColor="text1"/>
          <w:sz w:val="24"/>
          <w:szCs w:val="24"/>
        </w:rPr>
        <w:t xml:space="preserve"> </w:t>
      </w:r>
      <w:r w:rsidR="005F382C">
        <w:rPr>
          <w:rFonts w:ascii="AvantGarde Bk BT" w:hAnsi="AvantGarde Bk BT" w:cs="Arial"/>
          <w:b/>
          <w:color w:val="000000" w:themeColor="text1"/>
          <w:sz w:val="24"/>
          <w:szCs w:val="24"/>
        </w:rPr>
        <w:t>AYUNTAMIENTO DE SAN LUIS POTOSÍ</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AE51FBF" w:rsidR="00CC35B6" w:rsidRPr="007C5605" w:rsidRDefault="00CC35B6" w:rsidP="00296541">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7145E715" w:rsidR="00CC0E73" w:rsidRDefault="00CC35B6"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296541">
        <w:rPr>
          <w:rFonts w:ascii="AvantGarde Bk BT" w:hAnsi="AvantGarde Bk BT" w:cs="Arial"/>
          <w:color w:val="000000" w:themeColor="text1"/>
          <w:sz w:val="24"/>
          <w:szCs w:val="24"/>
        </w:rPr>
        <w:t>25 veinticinco de septiembre</w:t>
      </w:r>
      <w:r w:rsidR="00B21CC0">
        <w:rPr>
          <w:rFonts w:ascii="AvantGarde Bk BT" w:hAnsi="AvantGarde Bk BT" w:cs="Arial"/>
          <w:color w:val="000000" w:themeColor="text1"/>
          <w:sz w:val="24"/>
          <w:szCs w:val="24"/>
        </w:rPr>
        <w:t xml:space="preserve"> </w:t>
      </w:r>
      <w:r w:rsidR="005171D3">
        <w:rPr>
          <w:rFonts w:ascii="AvantGarde Bk BT" w:hAnsi="AvantGarde Bk BT" w:cs="Arial"/>
          <w:color w:val="000000" w:themeColor="text1"/>
          <w:sz w:val="24"/>
          <w:szCs w:val="24"/>
        </w:rPr>
        <w:t>del 2019 dos mil diecinueve</w:t>
      </w:r>
      <w:r w:rsidR="00CC0E73">
        <w:rPr>
          <w:rFonts w:ascii="AvantGarde Bk BT" w:hAnsi="AvantGarde Bk BT" w:cs="Arial"/>
          <w:color w:val="000000" w:themeColor="text1"/>
          <w:sz w:val="24"/>
          <w:szCs w:val="24"/>
        </w:rPr>
        <w:t xml:space="preserve"> el ponente:</w:t>
      </w:r>
    </w:p>
    <w:p w14:paraId="463FA77F" w14:textId="3BA7D5CB" w:rsidR="0088364D" w:rsidRDefault="0088364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el informe rendido por </w:t>
      </w:r>
      <w:r w:rsidR="0077067C">
        <w:rPr>
          <w:rFonts w:ascii="AvantGarde Bk BT" w:hAnsi="AvantGarde Bk BT" w:cs="Arial"/>
          <w:color w:val="000000" w:themeColor="text1"/>
          <w:sz w:val="24"/>
          <w:szCs w:val="24"/>
        </w:rPr>
        <w:t>l</w:t>
      </w:r>
      <w:r w:rsidR="005F382C">
        <w:rPr>
          <w:rFonts w:ascii="AvantGarde Bk BT" w:hAnsi="AvantGarde Bk BT" w:cs="Arial"/>
          <w:color w:val="000000" w:themeColor="text1"/>
          <w:sz w:val="24"/>
          <w:szCs w:val="24"/>
        </w:rPr>
        <w:t>a</w:t>
      </w:r>
      <w:r w:rsidR="0077067C">
        <w:rPr>
          <w:rFonts w:ascii="AvantGarde Bk BT" w:hAnsi="AvantGarde Bk BT" w:cs="Arial"/>
          <w:color w:val="000000" w:themeColor="text1"/>
          <w:sz w:val="24"/>
          <w:szCs w:val="24"/>
        </w:rPr>
        <w:t xml:space="preserve"> </w:t>
      </w:r>
      <w:r w:rsidR="005F382C">
        <w:rPr>
          <w:rFonts w:ascii="AvantGarde Bk BT" w:hAnsi="AvantGarde Bk BT" w:cs="Arial"/>
          <w:color w:val="000000" w:themeColor="text1"/>
          <w:sz w:val="24"/>
          <w:szCs w:val="24"/>
        </w:rPr>
        <w:t>Titular</w:t>
      </w:r>
      <w:r w:rsidR="008E5D6D">
        <w:rPr>
          <w:rFonts w:ascii="AvantGarde Bk BT" w:hAnsi="AvantGarde Bk BT" w:cs="Arial"/>
          <w:color w:val="000000" w:themeColor="text1"/>
          <w:sz w:val="24"/>
          <w:szCs w:val="24"/>
        </w:rPr>
        <w:t xml:space="preserve"> de la Unidad de Transparencia</w:t>
      </w:r>
      <w:r w:rsidR="005171D3">
        <w:rPr>
          <w:rFonts w:ascii="AvantGarde Bk BT" w:hAnsi="AvantGarde Bk BT" w:cs="Arial"/>
          <w:color w:val="000000" w:themeColor="text1"/>
          <w:sz w:val="24"/>
          <w:szCs w:val="24"/>
        </w:rPr>
        <w:t xml:space="preserve"> del sujeto obligado</w:t>
      </w:r>
      <w:r>
        <w:rPr>
          <w:rFonts w:ascii="AvantGarde Bk BT" w:hAnsi="AvantGarde Bk BT" w:cs="Arial"/>
          <w:color w:val="000000" w:themeColor="text1"/>
          <w:sz w:val="24"/>
          <w:szCs w:val="24"/>
        </w:rPr>
        <w:t>.</w:t>
      </w:r>
    </w:p>
    <w:p w14:paraId="2AE3ACEE" w14:textId="1BF33EE9" w:rsidR="00012E2D" w:rsidRDefault="00012E2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FB2238">
        <w:rPr>
          <w:rFonts w:ascii="AvantGarde Bk BT" w:hAnsi="AvantGarde Bk BT" w:cs="Arial"/>
          <w:color w:val="000000" w:themeColor="text1"/>
          <w:sz w:val="24"/>
          <w:szCs w:val="24"/>
        </w:rPr>
        <w:t>personería con la que comparecieron</w:t>
      </w:r>
      <w:r>
        <w:rPr>
          <w:rFonts w:ascii="AvantGarde Bk BT" w:hAnsi="AvantGarde Bk BT" w:cs="Arial"/>
          <w:color w:val="000000" w:themeColor="text1"/>
          <w:sz w:val="24"/>
          <w:szCs w:val="24"/>
        </w:rPr>
        <w:t xml:space="preserve"> dentro de los autos </w:t>
      </w:r>
      <w:proofErr w:type="gramStart"/>
      <w:r w:rsidR="00FB2238">
        <w:rPr>
          <w:rFonts w:ascii="AvantGarde Bk BT" w:hAnsi="AvantGarde Bk BT" w:cs="Arial"/>
          <w:color w:val="000000" w:themeColor="text1"/>
          <w:sz w:val="24"/>
          <w:szCs w:val="24"/>
        </w:rPr>
        <w:t>el  Titular</w:t>
      </w:r>
      <w:proofErr w:type="gramEnd"/>
      <w:r w:rsidR="00FB2238">
        <w:rPr>
          <w:rFonts w:ascii="AvantGarde Bk BT" w:hAnsi="AvantGarde Bk BT" w:cs="Arial"/>
          <w:color w:val="000000" w:themeColor="text1"/>
          <w:sz w:val="24"/>
          <w:szCs w:val="24"/>
        </w:rPr>
        <w:t xml:space="preserve"> de la Unidad de Transparencia</w:t>
      </w:r>
      <w:r>
        <w:rPr>
          <w:rFonts w:ascii="AvantGarde Bk BT" w:hAnsi="AvantGarde Bk BT" w:cs="Arial"/>
          <w:color w:val="000000" w:themeColor="text1"/>
          <w:sz w:val="24"/>
          <w:szCs w:val="24"/>
        </w:rPr>
        <w:t>.</w:t>
      </w:r>
    </w:p>
    <w:p w14:paraId="4F139F77" w14:textId="428B74FD"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w:t>
      </w:r>
      <w:r w:rsidR="00012E2D">
        <w:rPr>
          <w:rFonts w:ascii="AvantGarde Bk BT" w:hAnsi="AvantGarde Bk BT" w:cs="Arial"/>
          <w:color w:val="000000" w:themeColor="text1"/>
          <w:sz w:val="24"/>
          <w:szCs w:val="24"/>
        </w:rPr>
        <w:t xml:space="preserve">uvo </w:t>
      </w:r>
      <w:r w:rsidR="00513D7A">
        <w:rPr>
          <w:rFonts w:ascii="AvantGarde Bk BT" w:hAnsi="AvantGarde Bk BT" w:cs="Arial"/>
          <w:color w:val="000000" w:themeColor="text1"/>
          <w:sz w:val="24"/>
          <w:szCs w:val="24"/>
        </w:rPr>
        <w:t>al recurrente por omiso en ofrecer pruebas y en rendir manifestaciones en vía de alegatos</w:t>
      </w:r>
      <w:r w:rsidR="00012E2D">
        <w:rPr>
          <w:rFonts w:ascii="AvantGarde Bk BT" w:hAnsi="AvantGarde Bk BT" w:cs="Arial"/>
          <w:color w:val="000000" w:themeColor="text1"/>
          <w:sz w:val="24"/>
          <w:szCs w:val="24"/>
        </w:rPr>
        <w:t>.</w:t>
      </w:r>
    </w:p>
    <w:p w14:paraId="4246813D" w14:textId="1BD4F67D" w:rsidR="00906E32" w:rsidRPr="00296541" w:rsidRDefault="00BD03EC" w:rsidP="00296541">
      <w:pPr>
        <w:pStyle w:val="corte4fondo"/>
        <w:numPr>
          <w:ilvl w:val="0"/>
          <w:numId w:val="1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0C72F3DF" w14:textId="5F164EA7" w:rsidR="00E215D2" w:rsidRDefault="00CC35B6" w:rsidP="00296541">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7C5605">
        <w:rPr>
          <w:rFonts w:ascii="AvantGarde Bk BT" w:hAnsi="AvantGarde Bk BT" w:cs="Arial"/>
          <w:color w:val="000000" w:themeColor="text1"/>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proofErr w:type="gramStart"/>
      <w:r w:rsidR="00D47B22" w:rsidRPr="007C5605">
        <w:rPr>
          <w:rFonts w:ascii="AvantGarde Bk BT" w:hAnsi="AvantGarde Bk BT" w:cs="Arial"/>
          <w:color w:val="000000" w:themeColor="text1"/>
          <w:sz w:val="24"/>
          <w:szCs w:val="24"/>
        </w:rPr>
        <w:t xml:space="preserve">166 </w:t>
      </w:r>
      <w:r w:rsidR="007C31AD">
        <w:rPr>
          <w:rFonts w:ascii="AvantGarde Bk BT" w:hAnsi="AvantGarde Bk BT" w:cs="Arial"/>
          <w:color w:val="000000" w:themeColor="text1"/>
          <w:sz w:val="24"/>
          <w:szCs w:val="24"/>
        </w:rPr>
        <w:t xml:space="preserve"> y</w:t>
      </w:r>
      <w:proofErr w:type="gramEnd"/>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73C6E2B1" w14:textId="46E45574" w:rsidR="00E215D2" w:rsidRPr="00EA2555" w:rsidRDefault="007B1265"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2355A529"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296541">
        <w:rPr>
          <w:rFonts w:ascii="AvantGarde Bk BT" w:hAnsi="AvantGarde Bk BT" w:cs="Arial"/>
          <w:color w:val="000000" w:themeColor="text1"/>
          <w:sz w:val="24"/>
          <w:szCs w:val="24"/>
        </w:rPr>
        <w:t>12 doce de agosto</w:t>
      </w:r>
      <w:r w:rsidR="0077067C">
        <w:rPr>
          <w:rFonts w:ascii="AvantGarde Bk BT" w:hAnsi="AvantGarde Bk BT" w:cs="Arial"/>
          <w:color w:val="000000" w:themeColor="text1"/>
          <w:sz w:val="24"/>
          <w:szCs w:val="24"/>
        </w:rPr>
        <w:t xml:space="preserve"> de 2019 dos mil diecinueve</w:t>
      </w:r>
      <w:r w:rsidR="0048065E">
        <w:rPr>
          <w:rFonts w:ascii="AvantGarde Bk BT" w:hAnsi="AvantGarde Bk BT" w:cs="Arial"/>
          <w:color w:val="000000" w:themeColor="text1"/>
          <w:sz w:val="24"/>
          <w:szCs w:val="24"/>
        </w:rPr>
        <w:t>, recibió respuesta por parte del sujeto obligado.</w:t>
      </w:r>
    </w:p>
    <w:p w14:paraId="31473C44" w14:textId="3E60F94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296541">
        <w:rPr>
          <w:rFonts w:ascii="AvantGarde Bk BT" w:hAnsi="AvantGarde Bk BT" w:cs="Arial"/>
          <w:color w:val="000000" w:themeColor="text1"/>
          <w:sz w:val="24"/>
          <w:szCs w:val="24"/>
        </w:rPr>
        <w:t>13 trece de agosto al 02 dos de septiembre</w:t>
      </w:r>
      <w:r w:rsidR="005F382C">
        <w:rPr>
          <w:rFonts w:ascii="AvantGarde Bk BT" w:hAnsi="AvantGarde Bk BT" w:cs="Arial"/>
          <w:color w:val="000000" w:themeColor="text1"/>
          <w:sz w:val="24"/>
          <w:szCs w:val="24"/>
        </w:rPr>
        <w:t xml:space="preserve"> </w:t>
      </w:r>
      <w:r w:rsidR="00727354">
        <w:rPr>
          <w:rFonts w:ascii="AvantGarde Bk BT" w:hAnsi="AvantGarde Bk BT" w:cs="Arial"/>
          <w:color w:val="000000" w:themeColor="text1"/>
          <w:sz w:val="24"/>
          <w:szCs w:val="24"/>
        </w:rPr>
        <w:t xml:space="preserve">de </w:t>
      </w:r>
      <w:r w:rsidR="0077067C">
        <w:rPr>
          <w:rFonts w:ascii="AvantGarde Bk BT" w:hAnsi="AvantGarde Bk BT" w:cs="Arial"/>
          <w:color w:val="000000" w:themeColor="text1"/>
          <w:sz w:val="24"/>
          <w:szCs w:val="24"/>
        </w:rPr>
        <w:t>2019</w:t>
      </w:r>
      <w:r w:rsidR="002E7959">
        <w:rPr>
          <w:rFonts w:ascii="AvantGarde Bk BT" w:hAnsi="AvantGarde Bk BT" w:cs="Arial"/>
          <w:color w:val="000000" w:themeColor="text1"/>
          <w:sz w:val="24"/>
          <w:szCs w:val="24"/>
        </w:rPr>
        <w:t xml:space="preserve"> dos mil </w:t>
      </w:r>
      <w:r w:rsidR="0077067C">
        <w:rPr>
          <w:rFonts w:ascii="AvantGarde Bk BT" w:hAnsi="AvantGarde Bk BT" w:cs="Arial"/>
          <w:color w:val="000000" w:themeColor="text1"/>
          <w:sz w:val="24"/>
          <w:szCs w:val="24"/>
        </w:rPr>
        <w:t>diecinueve</w:t>
      </w:r>
      <w:r w:rsidRPr="00EA2555">
        <w:rPr>
          <w:rFonts w:ascii="AvantGarde Bk BT" w:hAnsi="AvantGarde Bk BT" w:cs="Arial"/>
          <w:color w:val="000000" w:themeColor="text1"/>
          <w:sz w:val="24"/>
          <w:szCs w:val="24"/>
        </w:rPr>
        <w:t>.</w:t>
      </w:r>
    </w:p>
    <w:p w14:paraId="14DFC649" w14:textId="10BE09C6"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77067C" w:rsidRPr="00EA2555">
        <w:rPr>
          <w:rFonts w:ascii="AvantGarde Bk BT" w:hAnsi="AvantGarde Bk BT" w:cs="Arial"/>
          <w:color w:val="000000" w:themeColor="text1"/>
          <w:sz w:val="24"/>
          <w:szCs w:val="24"/>
        </w:rPr>
        <w:t>días</w:t>
      </w:r>
      <w:r w:rsidR="0077067C">
        <w:rPr>
          <w:rFonts w:ascii="AvantGarde Bk BT" w:hAnsi="AvantGarde Bk BT" w:cs="Arial"/>
          <w:color w:val="000000" w:themeColor="text1"/>
          <w:sz w:val="24"/>
          <w:szCs w:val="24"/>
        </w:rPr>
        <w:t xml:space="preserve"> </w:t>
      </w:r>
      <w:r w:rsidR="00296541">
        <w:rPr>
          <w:rFonts w:ascii="AvantGarde Bk BT" w:hAnsi="AvantGarde Bk BT" w:cs="Arial"/>
          <w:color w:val="000000" w:themeColor="text1"/>
          <w:sz w:val="24"/>
          <w:szCs w:val="24"/>
        </w:rPr>
        <w:t xml:space="preserve">10 diez, 11 once, 17 diecisiete, </w:t>
      </w:r>
      <w:r w:rsidR="005F382C">
        <w:rPr>
          <w:rFonts w:ascii="AvantGarde Bk BT" w:hAnsi="AvantGarde Bk BT" w:cs="Arial"/>
          <w:color w:val="000000" w:themeColor="text1"/>
          <w:sz w:val="24"/>
          <w:szCs w:val="24"/>
        </w:rPr>
        <w:t xml:space="preserve">18 dieciocho, </w:t>
      </w:r>
      <w:r w:rsidR="00296541">
        <w:rPr>
          <w:rFonts w:ascii="AvantGarde Bk BT" w:hAnsi="AvantGarde Bk BT" w:cs="Arial"/>
          <w:color w:val="000000" w:themeColor="text1"/>
          <w:sz w:val="24"/>
          <w:szCs w:val="24"/>
        </w:rPr>
        <w:t>24 veinticuatro</w:t>
      </w:r>
      <w:r w:rsidR="005F382C">
        <w:rPr>
          <w:rFonts w:ascii="AvantGarde Bk BT" w:hAnsi="AvantGarde Bk BT" w:cs="Arial"/>
          <w:color w:val="000000" w:themeColor="text1"/>
          <w:sz w:val="24"/>
          <w:szCs w:val="24"/>
        </w:rPr>
        <w:t>, 25 veintici</w:t>
      </w:r>
      <w:r w:rsidR="00296541">
        <w:rPr>
          <w:rFonts w:ascii="AvantGarde Bk BT" w:hAnsi="AvantGarde Bk BT" w:cs="Arial"/>
          <w:color w:val="000000" w:themeColor="text1"/>
          <w:sz w:val="24"/>
          <w:szCs w:val="24"/>
        </w:rPr>
        <w:t>nco y</w:t>
      </w:r>
      <w:r w:rsidR="005F382C">
        <w:rPr>
          <w:rFonts w:ascii="AvantGarde Bk BT" w:hAnsi="AvantGarde Bk BT" w:cs="Arial"/>
          <w:color w:val="000000" w:themeColor="text1"/>
          <w:sz w:val="24"/>
          <w:szCs w:val="24"/>
        </w:rPr>
        <w:t xml:space="preserve"> </w:t>
      </w:r>
      <w:r w:rsidR="00296541">
        <w:rPr>
          <w:rFonts w:ascii="AvantGarde Bk BT" w:hAnsi="AvantGarde Bk BT" w:cs="Arial"/>
          <w:color w:val="000000" w:themeColor="text1"/>
          <w:sz w:val="24"/>
          <w:szCs w:val="24"/>
        </w:rPr>
        <w:t>31 treinta y uno de agosto</w:t>
      </w:r>
      <w:r w:rsidR="005F382C">
        <w:rPr>
          <w:rFonts w:ascii="AvantGarde Bk BT" w:hAnsi="AvantGarde Bk BT" w:cs="Arial"/>
          <w:color w:val="000000" w:themeColor="text1"/>
          <w:sz w:val="24"/>
          <w:szCs w:val="24"/>
        </w:rPr>
        <w:t xml:space="preserve">; así como los días 01 uno de </w:t>
      </w:r>
      <w:r w:rsidR="00296541">
        <w:rPr>
          <w:rFonts w:ascii="AvantGarde Bk BT" w:hAnsi="AvantGarde Bk BT" w:cs="Arial"/>
          <w:color w:val="000000" w:themeColor="text1"/>
          <w:sz w:val="24"/>
          <w:szCs w:val="24"/>
        </w:rPr>
        <w:t>septiembre</w:t>
      </w:r>
      <w:r w:rsidR="0077067C">
        <w:rPr>
          <w:rFonts w:ascii="AvantGarde Bk BT" w:hAnsi="AvantGarde Bk BT" w:cs="Arial"/>
          <w:color w:val="000000" w:themeColor="text1"/>
          <w:sz w:val="24"/>
          <w:szCs w:val="24"/>
        </w:rPr>
        <w:t xml:space="preserve"> </w:t>
      </w:r>
      <w:r w:rsidR="00F036FC">
        <w:rPr>
          <w:rFonts w:ascii="AvantGarde Bk BT" w:hAnsi="AvantGarde Bk BT" w:cs="Arial"/>
          <w:color w:val="000000" w:themeColor="text1"/>
          <w:sz w:val="24"/>
          <w:szCs w:val="24"/>
        </w:rPr>
        <w:t>de</w:t>
      </w:r>
      <w:r w:rsidR="006429EB">
        <w:rPr>
          <w:rFonts w:ascii="AvantGarde Bk BT" w:hAnsi="AvantGarde Bk BT" w:cs="Arial"/>
          <w:color w:val="000000" w:themeColor="text1"/>
          <w:sz w:val="24"/>
          <w:szCs w:val="24"/>
        </w:rPr>
        <w:t xml:space="preserve"> </w:t>
      </w:r>
      <w:r w:rsidR="0077067C">
        <w:rPr>
          <w:rFonts w:ascii="AvantGarde Bk BT" w:hAnsi="AvantGarde Bk BT" w:cs="Arial"/>
          <w:color w:val="000000" w:themeColor="text1"/>
          <w:sz w:val="24"/>
          <w:szCs w:val="24"/>
        </w:rPr>
        <w:t>2019 dos mil diecinueve</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50080F59" w:rsidR="00E215D2" w:rsidRPr="007C5605" w:rsidRDefault="00E215D2" w:rsidP="00296541">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96541">
        <w:rPr>
          <w:rFonts w:ascii="AvantGarde Bk BT" w:hAnsi="AvantGarde Bk BT" w:cs="Arial"/>
          <w:color w:val="000000" w:themeColor="text1"/>
          <w:sz w:val="24"/>
          <w:szCs w:val="24"/>
        </w:rPr>
        <w:t>21 veintiuno de agoto</w:t>
      </w:r>
      <w:r w:rsidR="00B23B36">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44707499" w:rsidR="00852B70" w:rsidRPr="00296541" w:rsidRDefault="00E215D2" w:rsidP="00296541">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51D56B0A" w:rsidR="008540CA" w:rsidRDefault="00852B70" w:rsidP="00296541">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5BCB0B31" w14:textId="78969E47" w:rsidR="005171D3" w:rsidRDefault="00AA7BDA"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603D451E" w14:textId="411C22BB" w:rsidR="0048065E" w:rsidRPr="00296541" w:rsidRDefault="0048065E" w:rsidP="00296541">
      <w:pPr>
        <w:pStyle w:val="corte4fondo"/>
        <w:tabs>
          <w:tab w:val="left" w:pos="567"/>
        </w:tabs>
        <w:spacing w:after="240"/>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t>“</w:t>
      </w:r>
      <w:r w:rsidR="00296541" w:rsidRPr="00296541">
        <w:rPr>
          <w:rFonts w:ascii="AvantGarde Bk BT" w:hAnsi="AvantGarde Bk BT" w:cs="Arial"/>
          <w:i/>
          <w:color w:val="000000" w:themeColor="text1"/>
          <w:sz w:val="20"/>
          <w:szCs w:val="24"/>
        </w:rPr>
        <w:t>SOLICITO SE ME MUESTRE EL NÚMERO DE EXPEDIENTE Y VERSIONES PÚBLICAS DEL EXPEDIENTE QUE SE ABRIÓ A CAUSA DE LA NOTIFICACIÓN REALIZADA POR LA CEGAIP  MEDIANTE OFICIOS DDP-014/2019 EXPEDIENTE IP-002/I/2019 Y DDP-015/2019 EXPEDIENTE IP-003/II/2019,  NECESITO SABER SI SE INICIÓ INVESTIGACIÓN O NO, SI SE INICIÓ SE ME INDIQUE CUANDO Y EN QUÉ ETAPA VAN Y CUALES FALTAN, EN CUANTO TIEMPOS E RESOLVERÁ, SOLICITO COPIA POR ESTE MEDIO EN VERSIÓN PUBLICA DE LOS DOCUMENTOS QUE PRUEBEN LO DICHO Y SI NO SE INICIÓ SE ME INDIQUE PORQUE, LOS FUNDAMENTOS LEGALES QUE ABALEN SU DETERMINACIÓN.</w:t>
      </w:r>
      <w:r w:rsidR="00B23B36">
        <w:rPr>
          <w:rFonts w:ascii="AvantGarde Bk BT" w:hAnsi="AvantGarde Bk BT" w:cs="Arial"/>
          <w:i/>
          <w:color w:val="000000" w:themeColor="text1"/>
          <w:sz w:val="24"/>
          <w:szCs w:val="24"/>
        </w:rPr>
        <w:t>”</w:t>
      </w:r>
      <w:r w:rsidR="00C83785">
        <w:rPr>
          <w:rFonts w:ascii="AvantGarde Bk BT" w:hAnsi="AvantGarde Bk BT" w:cs="Arial"/>
          <w:i/>
          <w:color w:val="000000" w:themeColor="text1"/>
          <w:sz w:val="24"/>
          <w:szCs w:val="24"/>
        </w:rPr>
        <w:t xml:space="preserve"> </w:t>
      </w:r>
      <w:r w:rsidR="00C83785" w:rsidRPr="00C83785">
        <w:rPr>
          <w:rFonts w:ascii="AvantGarde Bk BT" w:hAnsi="AvantGarde Bk BT" w:cs="Arial"/>
          <w:b/>
          <w:color w:val="000000" w:themeColor="text1"/>
          <w:sz w:val="24"/>
          <w:szCs w:val="24"/>
        </w:rPr>
        <w:t>SIC</w:t>
      </w:r>
      <w:r w:rsidR="00C83785">
        <w:rPr>
          <w:rFonts w:ascii="AvantGarde Bk BT" w:hAnsi="AvantGarde Bk BT" w:cs="Arial"/>
          <w:color w:val="000000" w:themeColor="text1"/>
          <w:sz w:val="24"/>
          <w:szCs w:val="24"/>
        </w:rPr>
        <w:t xml:space="preserve"> (Visible a foja 02 de autos).</w:t>
      </w:r>
    </w:p>
    <w:p w14:paraId="12997EFC" w14:textId="1738AC73" w:rsidR="007F3640" w:rsidRDefault="00C83785" w:rsidP="00296541">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4B03C2F3" wp14:editId="101A6185">
            <wp:simplePos x="0" y="0"/>
            <wp:positionH relativeFrom="page">
              <wp:align>center</wp:align>
            </wp:positionH>
            <wp:positionV relativeFrom="paragraph">
              <wp:posOffset>660400</wp:posOffset>
            </wp:positionV>
            <wp:extent cx="5479415" cy="2762250"/>
            <wp:effectExtent l="0" t="0" r="698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441" t="29302" r="31251" b="37400"/>
                    <a:stretch/>
                  </pic:blipFill>
                  <pic:spPr bwMode="auto">
                    <a:xfrm>
                      <a:off x="0" y="0"/>
                      <a:ext cx="5479415" cy="2762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74762" w:rsidRPr="00C27EFC">
        <w:rPr>
          <w:rFonts w:ascii="AvantGarde Bk BT" w:hAnsi="AvantGarde Bk BT" w:cs="Arial"/>
          <w:color w:val="000000" w:themeColor="text1"/>
          <w:sz w:val="24"/>
          <w:szCs w:val="24"/>
        </w:rPr>
        <w:t>A dicha solicitud recayó la respuesta emitida por el sujeto obligado</w:t>
      </w:r>
      <w:r w:rsidR="001D4709" w:rsidRPr="00C27EFC">
        <w:rPr>
          <w:rFonts w:ascii="AvantGarde Bk BT" w:hAnsi="AvantGarde Bk BT" w:cs="Arial"/>
          <w:color w:val="000000" w:themeColor="text1"/>
          <w:sz w:val="24"/>
          <w:szCs w:val="24"/>
        </w:rPr>
        <w:t>, mediante la cual señaló:</w:t>
      </w:r>
    </w:p>
    <w:p w14:paraId="7EC69C0A"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120A8919"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274E3451"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5C4A3611"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0C1C4318"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2A17FAAB"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2CF949E8"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4311C59E"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4B9C6E59" w14:textId="79026C08" w:rsidR="00C83785" w:rsidRDefault="00C83785" w:rsidP="00C83785">
      <w:pPr>
        <w:spacing w:line="360" w:lineRule="auto"/>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60288" behindDoc="0" locked="0" layoutInCell="1" allowOverlap="1" wp14:anchorId="3D9AA99E" wp14:editId="55318783">
            <wp:simplePos x="0" y="0"/>
            <wp:positionH relativeFrom="margin">
              <wp:align>center</wp:align>
            </wp:positionH>
            <wp:positionV relativeFrom="paragraph">
              <wp:posOffset>0</wp:posOffset>
            </wp:positionV>
            <wp:extent cx="5235575" cy="1524000"/>
            <wp:effectExtent l="0" t="0" r="317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441" t="66276" r="31251" b="14491"/>
                    <a:stretch/>
                  </pic:blipFill>
                  <pic:spPr bwMode="auto">
                    <a:xfrm>
                      <a:off x="0" y="0"/>
                      <a:ext cx="5235575" cy="1524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4C05AA" w14:textId="77777777" w:rsidR="00C83785" w:rsidRDefault="00C83785" w:rsidP="00C83785">
      <w:pPr>
        <w:spacing w:line="360" w:lineRule="auto"/>
        <w:jc w:val="both"/>
        <w:rPr>
          <w:rFonts w:ascii="AvantGarde Bk BT" w:hAnsi="AvantGarde Bk BT" w:cs="Arial"/>
          <w:color w:val="000000" w:themeColor="text1"/>
          <w:sz w:val="24"/>
          <w:szCs w:val="24"/>
        </w:rPr>
      </w:pPr>
    </w:p>
    <w:p w14:paraId="7377051C"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41AC9836" w14:textId="216012D1" w:rsidR="00C83785" w:rsidRDefault="00C83785" w:rsidP="007F364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el sujeto obligado acompañó el siguiente oficio:</w:t>
      </w:r>
    </w:p>
    <w:p w14:paraId="5AF30BC3" w14:textId="7DBE9C96" w:rsidR="00C27EFC" w:rsidRDefault="00C83785" w:rsidP="007F364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61312" behindDoc="0" locked="0" layoutInCell="1" allowOverlap="1" wp14:anchorId="67B477F4" wp14:editId="7550640A">
            <wp:simplePos x="0" y="0"/>
            <wp:positionH relativeFrom="page">
              <wp:align>center</wp:align>
            </wp:positionH>
            <wp:positionV relativeFrom="paragraph">
              <wp:posOffset>-134620</wp:posOffset>
            </wp:positionV>
            <wp:extent cx="4956775" cy="64389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3247" t="15717" r="33056" b="6765"/>
                    <a:stretch/>
                  </pic:blipFill>
                  <pic:spPr bwMode="auto">
                    <a:xfrm>
                      <a:off x="0" y="0"/>
                      <a:ext cx="4956775" cy="6438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DD28E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5E63D17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38623F3A"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4D175D6B"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433EC9A2"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1C8B0FD4"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222046FA"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670EC8D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24571800"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43E33BCC"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6AC5B041"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08A3159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26C09FC6"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5F82B325"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51F161B1"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42968A6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4444FAEC"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0C3A81C8"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7CB4D5FF"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0F63FAAC"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590D0D9B" w14:textId="77777777" w:rsidR="00C83785" w:rsidRDefault="00C83785" w:rsidP="00296541">
      <w:pPr>
        <w:spacing w:after="0" w:line="360" w:lineRule="auto"/>
        <w:ind w:firstLine="709"/>
        <w:jc w:val="both"/>
        <w:rPr>
          <w:rFonts w:ascii="AvantGarde Bk BT" w:hAnsi="AvantGarde Bk BT" w:cs="Arial"/>
          <w:color w:val="000000" w:themeColor="text1"/>
          <w:sz w:val="24"/>
          <w:szCs w:val="24"/>
        </w:rPr>
      </w:pPr>
    </w:p>
    <w:p w14:paraId="6DB76C2B" w14:textId="3097A8A5" w:rsidR="00C83785" w:rsidRDefault="00C83785" w:rsidP="00296541">
      <w:pPr>
        <w:spacing w:after="0"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62336" behindDoc="0" locked="0" layoutInCell="1" allowOverlap="1" wp14:anchorId="436AC35B" wp14:editId="6D5304D0">
            <wp:simplePos x="0" y="0"/>
            <wp:positionH relativeFrom="margin">
              <wp:align>center</wp:align>
            </wp:positionH>
            <wp:positionV relativeFrom="paragraph">
              <wp:posOffset>10160</wp:posOffset>
            </wp:positionV>
            <wp:extent cx="5219700" cy="6928485"/>
            <wp:effectExtent l="0" t="0" r="0" b="571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3397" t="16782" r="33507" b="5434"/>
                    <a:stretch/>
                  </pic:blipFill>
                  <pic:spPr bwMode="auto">
                    <a:xfrm>
                      <a:off x="0" y="0"/>
                      <a:ext cx="5219700" cy="6928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7C0F6F" w14:textId="36797CD9" w:rsidR="00755C38" w:rsidRPr="00755C38" w:rsidRDefault="00343B68" w:rsidP="00296541">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textualmente señaló como agravio lo siguiente:</w:t>
      </w:r>
    </w:p>
    <w:p w14:paraId="759FDAA2" w14:textId="5BAE68BC" w:rsidR="005D6548" w:rsidRDefault="00343B68" w:rsidP="00296541">
      <w:pPr>
        <w:pStyle w:val="corte4fondo"/>
        <w:tabs>
          <w:tab w:val="left" w:pos="567"/>
        </w:tabs>
        <w:spacing w:after="240"/>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t>“</w:t>
      </w:r>
      <w:r w:rsidR="00C83785" w:rsidRPr="00C83785">
        <w:rPr>
          <w:rFonts w:ascii="AvantGarde Bk BT" w:hAnsi="AvantGarde Bk BT" w:cs="Arial"/>
          <w:i/>
          <w:color w:val="000000" w:themeColor="text1"/>
          <w:sz w:val="20"/>
          <w:szCs w:val="24"/>
        </w:rPr>
        <w:t>SE ME NEGÓ LA INFORMACIÓN ARGUMENTANDO QUE ES INFORMACIÓN RESERVADA PERO NO SE ME DA UN DOCUMENTO PROBATORIO DE LA RESERVA</w:t>
      </w:r>
      <w:r w:rsidR="007F3640" w:rsidRPr="007F3640">
        <w:rPr>
          <w:rFonts w:ascii="AvantGarde Bk BT" w:hAnsi="AvantGarde Bk BT" w:cs="Arial"/>
          <w:i/>
          <w:color w:val="000000" w:themeColor="text1"/>
          <w:sz w:val="24"/>
          <w:szCs w:val="24"/>
        </w:rPr>
        <w:t>.</w:t>
      </w:r>
      <w:r w:rsidR="003F4CB9" w:rsidRPr="003F4CB9">
        <w:rPr>
          <w:rFonts w:ascii="AvantGarde Bk BT" w:hAnsi="AvantGarde Bk BT" w:cs="Arial"/>
          <w:i/>
          <w:color w:val="000000" w:themeColor="text1"/>
          <w:sz w:val="24"/>
          <w:szCs w:val="24"/>
        </w:rPr>
        <w:t>”</w:t>
      </w:r>
      <w:r w:rsidR="003F4CB9">
        <w:rPr>
          <w:rFonts w:ascii="AvantGarde Bk BT" w:hAnsi="AvantGarde Bk BT" w:cs="Arial"/>
          <w:color w:val="000000" w:themeColor="text1"/>
          <w:sz w:val="24"/>
          <w:szCs w:val="24"/>
        </w:rPr>
        <w:t xml:space="preserve"> </w:t>
      </w:r>
      <w:r w:rsidR="00C83785">
        <w:rPr>
          <w:rFonts w:ascii="AvantGarde Bk BT" w:hAnsi="AvantGarde Bk BT" w:cs="Arial"/>
          <w:color w:val="000000" w:themeColor="text1"/>
          <w:sz w:val="24"/>
          <w:szCs w:val="24"/>
        </w:rPr>
        <w:t>(Visible a foja 01 de autos.)</w:t>
      </w:r>
    </w:p>
    <w:p w14:paraId="05AC9E5F" w14:textId="792EA00E" w:rsidR="00C24589" w:rsidRDefault="0087692F" w:rsidP="00C83785">
      <w:pPr>
        <w:pStyle w:val="corte4fondo"/>
        <w:tabs>
          <w:tab w:val="left" w:pos="567"/>
        </w:tabs>
        <w:spacing w:after="240"/>
        <w:ind w:firstLine="680"/>
        <w:rPr>
          <w:rFonts w:ascii="AvantGarde Bk BT" w:hAnsi="AvantGarde Bk BT" w:cs="Arial"/>
          <w:color w:val="000000" w:themeColor="text1"/>
          <w:sz w:val="24"/>
          <w:szCs w:val="24"/>
        </w:rPr>
      </w:pPr>
      <w:r w:rsidRPr="00B4188F">
        <w:rPr>
          <w:rFonts w:ascii="AvantGarde Bk BT" w:hAnsi="AvantGarde Bk BT" w:cs="Arial"/>
          <w:color w:val="000000" w:themeColor="text1"/>
          <w:sz w:val="24"/>
          <w:szCs w:val="24"/>
        </w:rPr>
        <w:lastRenderedPageBreak/>
        <w:t>Por otro lado, el sujeto obligado al momento de rendir el informe o</w:t>
      </w:r>
      <w:r w:rsidR="00A02893" w:rsidRPr="00B4188F">
        <w:rPr>
          <w:rFonts w:ascii="AvantGarde Bk BT" w:hAnsi="AvantGarde Bk BT" w:cs="Arial"/>
          <w:color w:val="000000" w:themeColor="text1"/>
          <w:sz w:val="24"/>
          <w:szCs w:val="24"/>
        </w:rPr>
        <w:t xml:space="preserve">rdenado en el auto de admisión del presente </w:t>
      </w:r>
      <w:r w:rsidR="001B550E">
        <w:rPr>
          <w:rFonts w:ascii="AvantGarde Bk BT" w:hAnsi="AvantGarde Bk BT" w:cs="Arial"/>
          <w:color w:val="000000" w:themeColor="text1"/>
          <w:sz w:val="24"/>
          <w:szCs w:val="24"/>
        </w:rPr>
        <w:t>medio de impugnación</w:t>
      </w:r>
      <w:r w:rsidR="00A02893" w:rsidRPr="00B4188F">
        <w:rPr>
          <w:rFonts w:ascii="AvantGarde Bk BT" w:hAnsi="AvantGarde Bk BT" w:cs="Arial"/>
          <w:color w:val="000000" w:themeColor="text1"/>
          <w:sz w:val="24"/>
          <w:szCs w:val="24"/>
        </w:rPr>
        <w:t xml:space="preserve"> </w:t>
      </w:r>
      <w:r w:rsidR="00821E71" w:rsidRPr="00B4188F">
        <w:rPr>
          <w:rFonts w:ascii="AvantGarde Bk BT" w:hAnsi="AvantGarde Bk BT" w:cs="Arial"/>
          <w:color w:val="000000" w:themeColor="text1"/>
          <w:sz w:val="24"/>
          <w:szCs w:val="24"/>
        </w:rPr>
        <w:t>solicitó que el recurso de revisión fuera sobreseído, en virtud de que modificó el acto impugnado.</w:t>
      </w:r>
    </w:p>
    <w:p w14:paraId="57341FD9" w14:textId="0AB08CCC" w:rsidR="004A3822" w:rsidRDefault="00475FF2" w:rsidP="00E24A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el sujeto obligado acompañó a su informe </w:t>
      </w:r>
      <w:r w:rsidR="00B4188F">
        <w:rPr>
          <w:rFonts w:ascii="AvantGarde Bk BT" w:hAnsi="AvantGarde Bk BT" w:cs="Arial"/>
          <w:color w:val="000000" w:themeColor="text1"/>
          <w:sz w:val="24"/>
          <w:szCs w:val="24"/>
        </w:rPr>
        <w:t>capturas de pantalla de un correo electrónico, mismo que</w:t>
      </w:r>
      <w:r w:rsidR="004A7B5A">
        <w:rPr>
          <w:rFonts w:ascii="AvantGarde Bk BT" w:hAnsi="AvantGarde Bk BT" w:cs="Arial"/>
          <w:color w:val="000000" w:themeColor="text1"/>
          <w:sz w:val="24"/>
          <w:szCs w:val="24"/>
        </w:rPr>
        <w:t xml:space="preserve"> se encuentra visible a fojas 32 y 33</w:t>
      </w:r>
      <w:r w:rsidR="00B4188F">
        <w:rPr>
          <w:rFonts w:ascii="AvantGarde Bk BT" w:hAnsi="AvantGarde Bk BT" w:cs="Arial"/>
          <w:color w:val="000000" w:themeColor="text1"/>
          <w:sz w:val="24"/>
          <w:szCs w:val="24"/>
        </w:rPr>
        <w:t xml:space="preserve"> de autos y del cual a simple vista se advierte </w:t>
      </w:r>
      <w:r w:rsidR="00300F04">
        <w:rPr>
          <w:rFonts w:ascii="AvantGarde Bk BT" w:hAnsi="AvantGarde Bk BT" w:cs="Arial"/>
          <w:color w:val="000000" w:themeColor="text1"/>
          <w:sz w:val="24"/>
          <w:szCs w:val="24"/>
        </w:rPr>
        <w:t xml:space="preserve">que </w:t>
      </w:r>
      <w:r w:rsidR="00B4188F">
        <w:rPr>
          <w:rFonts w:ascii="AvantGarde Bk BT" w:hAnsi="AvantGarde Bk BT" w:cs="Arial"/>
          <w:color w:val="000000" w:themeColor="text1"/>
          <w:sz w:val="24"/>
          <w:szCs w:val="24"/>
        </w:rPr>
        <w:t xml:space="preserve">envió </w:t>
      </w:r>
      <w:r w:rsidR="004A7B5A">
        <w:rPr>
          <w:rFonts w:ascii="AvantGarde Bk BT" w:hAnsi="AvantGarde Bk BT" w:cs="Arial"/>
          <w:color w:val="000000" w:themeColor="text1"/>
          <w:sz w:val="24"/>
          <w:szCs w:val="24"/>
        </w:rPr>
        <w:t>dos archivos, el primero de ellos con terminación “.</w:t>
      </w:r>
      <w:proofErr w:type="spellStart"/>
      <w:r w:rsidR="004A7B5A">
        <w:rPr>
          <w:rFonts w:ascii="AvantGarde Bk BT" w:hAnsi="AvantGarde Bk BT" w:cs="Arial"/>
          <w:color w:val="000000" w:themeColor="text1"/>
          <w:sz w:val="24"/>
          <w:szCs w:val="24"/>
        </w:rPr>
        <w:t>doc</w:t>
      </w:r>
      <w:proofErr w:type="spellEnd"/>
      <w:r w:rsidR="004A7B5A">
        <w:rPr>
          <w:rFonts w:ascii="AvantGarde Bk BT" w:hAnsi="AvantGarde Bk BT" w:cs="Arial"/>
          <w:color w:val="000000" w:themeColor="text1"/>
          <w:sz w:val="24"/>
          <w:szCs w:val="24"/>
        </w:rPr>
        <w:t>” y el segundo con terminación</w:t>
      </w:r>
      <w:r w:rsidR="00B4188F">
        <w:rPr>
          <w:rFonts w:ascii="AvantGarde Bk BT" w:hAnsi="AvantGarde Bk BT" w:cs="Arial"/>
          <w:color w:val="000000" w:themeColor="text1"/>
          <w:sz w:val="24"/>
          <w:szCs w:val="24"/>
        </w:rPr>
        <w:t xml:space="preserve"> “.</w:t>
      </w:r>
      <w:proofErr w:type="spellStart"/>
      <w:r w:rsidR="00B4188F">
        <w:rPr>
          <w:rFonts w:ascii="AvantGarde Bk BT" w:hAnsi="AvantGarde Bk BT" w:cs="Arial"/>
          <w:color w:val="000000" w:themeColor="text1"/>
          <w:sz w:val="24"/>
          <w:szCs w:val="24"/>
        </w:rPr>
        <w:t>jpg</w:t>
      </w:r>
      <w:proofErr w:type="spellEnd"/>
      <w:r w:rsidR="00B4188F">
        <w:rPr>
          <w:rFonts w:ascii="AvantGarde Bk BT" w:hAnsi="AvantGarde Bk BT" w:cs="Arial"/>
          <w:color w:val="000000" w:themeColor="text1"/>
          <w:sz w:val="24"/>
          <w:szCs w:val="24"/>
        </w:rPr>
        <w:t>”.</w:t>
      </w:r>
    </w:p>
    <w:p w14:paraId="5B3763CF"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 esto en razón de las siguientes consideraciones:</w:t>
      </w:r>
    </w:p>
    <w:p w14:paraId="76FCD5BC" w14:textId="77777777" w:rsidR="00F32542" w:rsidRDefault="00F32542" w:rsidP="00F32542">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5CA08FD2"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lastRenderedPageBreak/>
        <w:t>concordancia entre el requerimiento formulado por el particular y la respuesta proporcionada</w:t>
      </w:r>
      <w:r>
        <w:rPr>
          <w:rFonts w:ascii="AvantGarde Bk BT" w:hAnsi="AvantGarde Bk BT" w:cs="Arial"/>
          <w:sz w:val="24"/>
          <w:szCs w:val="24"/>
        </w:rPr>
        <w:t>.</w:t>
      </w:r>
    </w:p>
    <w:p w14:paraId="16BA5551"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567B8BB"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02/17. Congruencia y </w:t>
      </w:r>
      <w:proofErr w:type="gramStart"/>
      <w:r w:rsidRPr="00B96B2A">
        <w:rPr>
          <w:rFonts w:ascii="AvantGarde Bk BT" w:hAnsi="AvantGarde Bk BT" w:cs="Arial"/>
          <w:b/>
          <w:i/>
          <w:sz w:val="20"/>
          <w:szCs w:val="24"/>
        </w:rPr>
        <w:t>exhaustividad.-</w:t>
      </w:r>
      <w:proofErr w:type="gramEnd"/>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726892A" w14:textId="77777777" w:rsidR="00F32542" w:rsidRPr="00E638C1" w:rsidRDefault="00F32542" w:rsidP="00F32542">
      <w:pPr>
        <w:pStyle w:val="corte4fondo"/>
        <w:tabs>
          <w:tab w:val="left" w:pos="567"/>
        </w:tabs>
        <w:spacing w:after="240"/>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1C69090B" w14:textId="77777777" w:rsidR="00F32542" w:rsidRPr="00B96B2A" w:rsidRDefault="00F32542" w:rsidP="00F32542">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B96B2A">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B96B2A">
        <w:rPr>
          <w:rFonts w:ascii="AvantGarde Bk BT" w:hAnsi="AvantGarde Bk BT" w:cs="Arial"/>
          <w:i/>
          <w:color w:val="000000" w:themeColor="text1"/>
          <w:sz w:val="20"/>
        </w:rPr>
        <w:t>Noviembre</w:t>
      </w:r>
      <w:proofErr w:type="gramEnd"/>
      <w:r w:rsidRPr="00B96B2A">
        <w:rPr>
          <w:rFonts w:ascii="AvantGarde Bk BT" w:hAnsi="AvantGarde Bk BT" w:cs="Arial"/>
          <w:i/>
          <w:color w:val="000000" w:themeColor="text1"/>
          <w:sz w:val="20"/>
        </w:rPr>
        <w:t xml:space="preserve"> de 1994, Pág. 450.</w:t>
      </w:r>
    </w:p>
    <w:p w14:paraId="7F002BB5" w14:textId="4392BBE0" w:rsidR="00F32542" w:rsidRPr="00F32542" w:rsidRDefault="00F32542" w:rsidP="00F32542">
      <w:pPr>
        <w:pStyle w:val="corte4fondo"/>
        <w:spacing w:after="240"/>
        <w:rPr>
          <w:rFonts w:ascii="AvantGarde Bk BT" w:hAnsi="AvantGarde Bk BT" w:cs="Arial"/>
          <w:i/>
          <w:color w:val="000000" w:themeColor="text1"/>
          <w:sz w:val="24"/>
        </w:rPr>
      </w:pPr>
      <w:r w:rsidRPr="00B96B2A">
        <w:rPr>
          <w:rFonts w:ascii="AvantGarde Bk BT" w:hAnsi="AvantGarde Bk BT" w:cs="Arial"/>
          <w:b/>
          <w:i/>
          <w:color w:val="000000" w:themeColor="text1"/>
          <w:sz w:val="20"/>
        </w:rPr>
        <w:t>Fundamentación y motivación, concepto de.-</w:t>
      </w:r>
      <w:r w:rsidRPr="00B96B2A">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w:t>
      </w:r>
      <w:r w:rsidRPr="00B96B2A">
        <w:rPr>
          <w:rFonts w:ascii="AvantGarde Bk BT" w:hAnsi="AvantGarde Bk BT" w:cs="Arial"/>
          <w:i/>
          <w:color w:val="000000" w:themeColor="text1"/>
          <w:sz w:val="20"/>
        </w:rPr>
        <w:lastRenderedPageBreak/>
        <w:t>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6A92FCBC" w14:textId="0C1463FB" w:rsidR="00F32542" w:rsidRPr="00FB726F" w:rsidRDefault="00F32542" w:rsidP="00F32542">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t xml:space="preserve">A este respecto, </w:t>
      </w:r>
      <w:r>
        <w:rPr>
          <w:rFonts w:ascii="AvantGarde Bk BT" w:eastAsia="Times New Roman" w:hAnsi="AvantGarde Bk BT" w:cs="Arial"/>
          <w:color w:val="000000"/>
          <w:sz w:val="24"/>
          <w:szCs w:val="24"/>
        </w:rPr>
        <w:t>es menester señalar</w:t>
      </w:r>
      <w:r w:rsidRPr="00FB726F">
        <w:rPr>
          <w:rFonts w:ascii="AvantGarde Bk BT" w:eastAsia="Times New Roman" w:hAnsi="AvantGarde Bk BT" w:cs="Arial"/>
          <w:color w:val="000000"/>
          <w:sz w:val="24"/>
          <w:szCs w:val="24"/>
        </w:rPr>
        <w:t xml:space="preserve"> que en principio toda la información en posesión de los sujetos obligados es pública y por ende, </w:t>
      </w:r>
      <w:r w:rsidRPr="00FB726F">
        <w:rPr>
          <w:rFonts w:ascii="AvantGarde Bk BT" w:eastAsia="Times New Roman" w:hAnsi="AvantGarde Bk BT" w:cs="Arial"/>
          <w:color w:val="000000"/>
          <w:sz w:val="24"/>
          <w:szCs w:val="24"/>
          <w:lang w:val="es-ES"/>
        </w:rPr>
        <w:t>se encuentran constreñidos a proporcionar la información que conforme a sus atribuciones tengan la obligación de poseer, archivar y/o generar, lo anterior para efecto de permitir que el derecho de acceso a la información se encuentre satisfecho.</w:t>
      </w:r>
      <w:r w:rsidRPr="00FB726F">
        <w:rPr>
          <w:rFonts w:ascii="AvantGarde Bk BT" w:eastAsia="Times New Roman" w:hAnsi="AvantGarde Bk BT" w:cs="Arial"/>
          <w:color w:val="000000"/>
          <w:sz w:val="24"/>
          <w:szCs w:val="24"/>
          <w:vertAlign w:val="superscript"/>
          <w:lang w:val="es-ES"/>
        </w:rPr>
        <w:footnoteReference w:id="3"/>
      </w:r>
    </w:p>
    <w:p w14:paraId="23F6B3A2" w14:textId="77777777" w:rsidR="00F32542" w:rsidRPr="00FB726F" w:rsidRDefault="00F32542" w:rsidP="00F32542">
      <w:pPr>
        <w:tabs>
          <w:tab w:val="left" w:pos="567"/>
        </w:tabs>
        <w:spacing w:after="240" w:line="360" w:lineRule="auto"/>
        <w:ind w:firstLine="680"/>
        <w:jc w:val="both"/>
        <w:rPr>
          <w:rFonts w:ascii="AvantGarde Bk BT" w:eastAsia="Times New Roman" w:hAnsi="AvantGarde Bk BT" w:cs="Arial"/>
          <w:color w:val="000000"/>
          <w:sz w:val="24"/>
          <w:szCs w:val="24"/>
          <w:lang w:val="es-ES"/>
        </w:rPr>
      </w:pPr>
      <w:r w:rsidRPr="00FB726F">
        <w:rPr>
          <w:rFonts w:ascii="AvantGarde Bk BT" w:eastAsia="Times New Roman" w:hAnsi="AvantGarde Bk BT" w:cs="Arial"/>
          <w:color w:val="000000"/>
          <w:sz w:val="24"/>
          <w:szCs w:val="24"/>
          <w:lang w:val="es-ES"/>
        </w:rPr>
        <w:t>No obstante lo anterior, la ley de transparencia prevé dos casos de excepción al derecho de acceso a la información como lo es la información clasificada como reservada o confidencial.</w:t>
      </w:r>
      <w:r w:rsidRPr="00FB726F">
        <w:rPr>
          <w:rFonts w:ascii="AvantGarde Bk BT" w:eastAsia="Times New Roman" w:hAnsi="AvantGarde Bk BT" w:cs="Arial"/>
          <w:color w:val="000000"/>
          <w:sz w:val="24"/>
          <w:szCs w:val="24"/>
          <w:vertAlign w:val="superscript"/>
          <w:lang w:val="es-ES"/>
        </w:rPr>
        <w:footnoteReference w:id="4"/>
      </w:r>
    </w:p>
    <w:p w14:paraId="4A560094" w14:textId="48AFC320" w:rsidR="00F32542" w:rsidRPr="00FB726F" w:rsidRDefault="00F32542" w:rsidP="00F32542">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Así pues, es imprescindible puntualizar que por información clasificada como reservada debemos entender que es aquélla información que, conforme a los procedimientos previstos en la ley de transparencia, determinen los comités de transparencia de cada sujeto obligado mediante el acuerdo correspondiente cuando la publicación de dicha información: </w:t>
      </w:r>
    </w:p>
    <w:p w14:paraId="6061067B"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Comprometa la seguridad pública y cuente con un propósito genuino y un efecto demostrable; </w:t>
      </w:r>
    </w:p>
    <w:p w14:paraId="054278ED"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menoscabar la conducción de las negociaciones y relaciones internacionales; </w:t>
      </w:r>
    </w:p>
    <w:p w14:paraId="6225C036"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5D4BC696"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lastRenderedPageBreak/>
        <w:t xml:space="preserve">Pueda poner en riesgo la vida, seguridad o salud de una persona física; </w:t>
      </w:r>
    </w:p>
    <w:p w14:paraId="3F0E42B5"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las actividades de verificación, inspección y auditoría relativas al cumplimiento de las leyes o afecte la recaudación de contribuciones; </w:t>
      </w:r>
    </w:p>
    <w:p w14:paraId="2121E7E8"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 prevención o persecución de los delitos; </w:t>
      </w:r>
    </w:p>
    <w:p w14:paraId="2CCA7411"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6DD38046"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los procedimientos para fincar responsabilidad a los Servidores Públicos, en tanto no se haya dictado la resolución administrativa; </w:t>
      </w:r>
    </w:p>
    <w:p w14:paraId="65ECDDEF"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Afecte los derechos del debido proceso; </w:t>
      </w:r>
    </w:p>
    <w:p w14:paraId="4B0B183A"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Vulnere la conducción de los Expedientes judiciales o de los procedimientos administrativos seguidos en forma de juicio, en tanto no hayan causado estado; </w:t>
      </w:r>
    </w:p>
    <w:p w14:paraId="03AD5353" w14:textId="77777777" w:rsidR="00F32542" w:rsidRPr="00FB726F" w:rsidRDefault="00F32542" w:rsidP="00F32542">
      <w:pPr>
        <w:numPr>
          <w:ilvl w:val="0"/>
          <w:numId w:val="37"/>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Se encuentre contenida dentro de las investigaciones de hechos que la ley señale como delitos y se tramiten ante el Ministerio Público, y</w:t>
      </w:r>
    </w:p>
    <w:p w14:paraId="2B6239FF" w14:textId="77777777" w:rsidR="00F32542" w:rsidRPr="00FB726F" w:rsidRDefault="00F32542" w:rsidP="00F32542">
      <w:pPr>
        <w:numPr>
          <w:ilvl w:val="0"/>
          <w:numId w:val="37"/>
        </w:numPr>
        <w:tabs>
          <w:tab w:val="left" w:pos="567"/>
        </w:tabs>
        <w:spacing w:after="24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 Las que por disposición expresa de una ley tengan tal carácter, siempre que sean acordes con las bases, principios y disposiciones establecidos en esta Ley y no la contravengan; así como las previstas en tratados internacionales.</w:t>
      </w:r>
      <w:r w:rsidRPr="00FB726F">
        <w:rPr>
          <w:rFonts w:ascii="AvantGarde Bk BT" w:eastAsia="Times New Roman" w:hAnsi="AvantGarde Bk BT" w:cs="Arial"/>
          <w:color w:val="000000"/>
          <w:sz w:val="24"/>
          <w:szCs w:val="24"/>
          <w:vertAlign w:val="superscript"/>
        </w:rPr>
        <w:footnoteReference w:id="5"/>
      </w:r>
    </w:p>
    <w:p w14:paraId="2319D9CE" w14:textId="77777777" w:rsidR="00B87F75" w:rsidRPr="00B87F75" w:rsidRDefault="00B87F75" w:rsidP="00B87F75">
      <w:pPr>
        <w:tabs>
          <w:tab w:val="left" w:pos="567"/>
        </w:tabs>
        <w:spacing w:after="240" w:line="360" w:lineRule="auto"/>
        <w:ind w:firstLine="851"/>
        <w:jc w:val="both"/>
        <w:rPr>
          <w:rFonts w:ascii="AvantGarde Bk BT" w:eastAsia="Times New Roman" w:hAnsi="AvantGarde Bk BT" w:cs="Arial"/>
          <w:color w:val="000000"/>
          <w:sz w:val="24"/>
          <w:szCs w:val="24"/>
        </w:rPr>
      </w:pPr>
      <w:r w:rsidRPr="00B87F75">
        <w:rPr>
          <w:rFonts w:ascii="AvantGarde Bk BT" w:eastAsia="Times New Roman" w:hAnsi="AvantGarde Bk BT" w:cs="Arial"/>
          <w:color w:val="000000"/>
          <w:sz w:val="24"/>
          <w:szCs w:val="24"/>
        </w:rPr>
        <w:t>Así las cosas y de una interpretación sistemática de la ley de transparencia, resulta evidente que el Comité de Transparencia del sujeto obligado debe confirmar la determinación de clasificación cuando se actualice alguna causal de reserva de la información y en caso de que la información sea clasificada por contener datos personales, deberá aprobar la versión pública correspondiente</w:t>
      </w:r>
      <w:r w:rsidRPr="005849D2">
        <w:rPr>
          <w:rStyle w:val="Refdenotaalpie"/>
          <w:rFonts w:ascii="AvantGarde Bk BT" w:eastAsia="Times New Roman" w:hAnsi="AvantGarde Bk BT" w:cs="Arial"/>
          <w:color w:val="000000"/>
          <w:sz w:val="24"/>
          <w:szCs w:val="24"/>
        </w:rPr>
        <w:footnoteReference w:id="6"/>
      </w:r>
      <w:r w:rsidRPr="00B87F75">
        <w:rPr>
          <w:rFonts w:ascii="AvantGarde Bk BT" w:eastAsia="Times New Roman" w:hAnsi="AvantGarde Bk BT" w:cs="Arial"/>
          <w:color w:val="000000"/>
          <w:sz w:val="24"/>
          <w:szCs w:val="24"/>
        </w:rPr>
        <w:t>.</w:t>
      </w:r>
    </w:p>
    <w:p w14:paraId="7CB7C437" w14:textId="2CD26CBC" w:rsidR="00F32542" w:rsidRDefault="00F32542" w:rsidP="00E24AB0">
      <w:pPr>
        <w:spacing w:line="360" w:lineRule="auto"/>
        <w:ind w:firstLine="709"/>
        <w:jc w:val="both"/>
        <w:rPr>
          <w:rFonts w:ascii="AvantGarde Bk BT" w:hAnsi="AvantGarde Bk BT" w:cs="Arial"/>
          <w:color w:val="000000" w:themeColor="text1"/>
          <w:sz w:val="24"/>
          <w:szCs w:val="24"/>
        </w:rPr>
      </w:pPr>
    </w:p>
    <w:p w14:paraId="79E48D07" w14:textId="77777777" w:rsidR="00B87F75" w:rsidRDefault="00B87F75" w:rsidP="00B87F75">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en el caso concreto se aprecia que los agravios vertidos por el recurrente versan respecto a la omisión del ente obligado de adjuntar el acuerdo de reserva mediante el cual respalda el contenido de su respuesta.</w:t>
      </w:r>
    </w:p>
    <w:p w14:paraId="30120178" w14:textId="77777777" w:rsidR="00B87F75" w:rsidRDefault="00B87F75" w:rsidP="00B87F75">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Derivado de los agravios vertidos por el recurrente, el sujeto obligado acompañó capturas de pantalla de un correo electrónico con diversos archivos. </w:t>
      </w:r>
    </w:p>
    <w:p w14:paraId="7EA5E773" w14:textId="31DA244B" w:rsidR="002F7413" w:rsidRDefault="00F74686" w:rsidP="00F7468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esta perspectiva, la ley de la materia prevé que, los recursos de revisión podrán ser sobreseídos en caso de que el sujeto obligado modifique el acto impugnado de manera tal que el medio de impugnación quede sin materia</w:t>
      </w:r>
      <w:r>
        <w:rPr>
          <w:rStyle w:val="Refdenotaalpie"/>
          <w:rFonts w:ascii="AvantGarde Bk BT" w:hAnsi="AvantGarde Bk BT" w:cs="Arial"/>
          <w:color w:val="000000" w:themeColor="text1"/>
          <w:sz w:val="24"/>
          <w:szCs w:val="24"/>
        </w:rPr>
        <w:footnoteReference w:id="7"/>
      </w:r>
      <w:r>
        <w:rPr>
          <w:rFonts w:ascii="AvantGarde Bk BT" w:hAnsi="AvantGarde Bk BT" w:cs="Arial"/>
          <w:color w:val="000000" w:themeColor="text1"/>
          <w:sz w:val="24"/>
          <w:szCs w:val="24"/>
        </w:rPr>
        <w:t>.</w:t>
      </w:r>
    </w:p>
    <w:p w14:paraId="730AA06A" w14:textId="7CA81630" w:rsidR="002F7413" w:rsidRDefault="00B87F75" w:rsidP="00E24A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N</w:t>
      </w:r>
      <w:r w:rsidR="002F7413">
        <w:rPr>
          <w:rFonts w:ascii="AvantGarde Bk BT" w:hAnsi="AvantGarde Bk BT" w:cs="Arial"/>
          <w:color w:val="000000" w:themeColor="text1"/>
          <w:sz w:val="24"/>
          <w:szCs w:val="24"/>
        </w:rPr>
        <w:t xml:space="preserve">o </w:t>
      </w:r>
      <w:proofErr w:type="gramStart"/>
      <w:r w:rsidR="002F7413">
        <w:rPr>
          <w:rFonts w:ascii="AvantGarde Bk BT" w:hAnsi="AvantGarde Bk BT" w:cs="Arial"/>
          <w:color w:val="000000" w:themeColor="text1"/>
          <w:sz w:val="24"/>
          <w:szCs w:val="24"/>
        </w:rPr>
        <w:t>obstante</w:t>
      </w:r>
      <w:proofErr w:type="gramEnd"/>
      <w:r w:rsidR="002F7413">
        <w:rPr>
          <w:rFonts w:ascii="AvantGarde Bk BT" w:hAnsi="AvantGarde Bk BT" w:cs="Arial"/>
          <w:color w:val="000000" w:themeColor="text1"/>
          <w:sz w:val="24"/>
          <w:szCs w:val="24"/>
        </w:rPr>
        <w:t xml:space="preserve"> lo anterior, </w:t>
      </w:r>
      <w:r w:rsidR="004A7B5A">
        <w:rPr>
          <w:rFonts w:ascii="AvantGarde Bk BT" w:hAnsi="AvantGarde Bk BT" w:cs="Arial"/>
          <w:color w:val="000000" w:themeColor="text1"/>
          <w:sz w:val="24"/>
          <w:szCs w:val="24"/>
        </w:rPr>
        <w:t>de dichas capturas de pantalla únicamente se puede aprecia el nombre del peticionario, no así la dirección de correo electrónico al cual fueron enviado</w:t>
      </w:r>
      <w:r w:rsidR="00F74686">
        <w:rPr>
          <w:rFonts w:ascii="AvantGarde Bk BT" w:hAnsi="AvantGarde Bk BT" w:cs="Arial"/>
          <w:color w:val="000000" w:themeColor="text1"/>
          <w:sz w:val="24"/>
          <w:szCs w:val="24"/>
        </w:rPr>
        <w:t>, situación que resulta óbice para determinar que los acuerdos de reserva CT/060/2019 A y CT/061/2019 A fueron enviados al peticionario</w:t>
      </w:r>
      <w:r w:rsidR="001B550E">
        <w:rPr>
          <w:rFonts w:ascii="AvantGarde Bk BT" w:hAnsi="AvantGarde Bk BT" w:cs="Arial"/>
          <w:color w:val="000000" w:themeColor="text1"/>
          <w:sz w:val="24"/>
          <w:szCs w:val="24"/>
        </w:rPr>
        <w:t>.</w:t>
      </w:r>
    </w:p>
    <w:p w14:paraId="44166A26" w14:textId="732A671F" w:rsidR="001B550E" w:rsidRDefault="001B550E" w:rsidP="00E24A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Derivado de </w:t>
      </w:r>
      <w:r w:rsidR="008C3F4D">
        <w:rPr>
          <w:rFonts w:ascii="AvantGarde Bk BT" w:hAnsi="AvantGarde Bk BT" w:cs="Arial"/>
          <w:color w:val="000000" w:themeColor="text1"/>
          <w:sz w:val="24"/>
          <w:szCs w:val="24"/>
        </w:rPr>
        <w:t>las consideraciones antes anotadas</w:t>
      </w:r>
      <w:r>
        <w:rPr>
          <w:rFonts w:ascii="AvantGarde Bk BT" w:hAnsi="AvantGarde Bk BT" w:cs="Arial"/>
          <w:color w:val="000000" w:themeColor="text1"/>
          <w:sz w:val="24"/>
          <w:szCs w:val="24"/>
        </w:rPr>
        <w:t xml:space="preserve">, </w:t>
      </w:r>
      <w:r w:rsidR="002946A0">
        <w:rPr>
          <w:rFonts w:ascii="AvantGarde Bk BT" w:hAnsi="AvantGarde Bk BT" w:cs="Arial"/>
          <w:color w:val="000000" w:themeColor="text1"/>
          <w:sz w:val="24"/>
          <w:szCs w:val="24"/>
        </w:rPr>
        <w:t>es</w:t>
      </w:r>
      <w:r>
        <w:rPr>
          <w:rFonts w:ascii="AvantGarde Bk BT" w:hAnsi="AvantGarde Bk BT" w:cs="Arial"/>
          <w:color w:val="000000" w:themeColor="text1"/>
          <w:sz w:val="24"/>
          <w:szCs w:val="24"/>
        </w:rPr>
        <w:t xml:space="preserve"> claro que las gestiones realizadas por el sujeto obligado son insuficientes para sobreseer el presente recurso de revisi</w:t>
      </w:r>
      <w:r w:rsidR="002946A0">
        <w:rPr>
          <w:rFonts w:ascii="AvantGarde Bk BT" w:hAnsi="AvantGarde Bk BT" w:cs="Arial"/>
          <w:color w:val="000000" w:themeColor="text1"/>
          <w:sz w:val="24"/>
          <w:szCs w:val="24"/>
        </w:rPr>
        <w:t>ón y por ende los agravios vertidos por el particular resultan fundados.</w:t>
      </w:r>
    </w:p>
    <w:p w14:paraId="5C73ED1F" w14:textId="5D14F4D0" w:rsidR="007357AE" w:rsidRPr="00C758B5" w:rsidRDefault="002946A0" w:rsidP="00F7468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w:t>
      </w:r>
      <w:r w:rsidR="00827B1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este cuerpo colegiado estima necesario </w:t>
      </w:r>
      <w:r w:rsidR="00073E8C">
        <w:rPr>
          <w:rFonts w:ascii="AvantGarde Bk BT" w:hAnsi="AvantGarde Bk BT" w:cs="Arial"/>
          <w:color w:val="000000" w:themeColor="text1"/>
          <w:sz w:val="24"/>
          <w:szCs w:val="24"/>
        </w:rPr>
        <w:t>no perder de vista que e</w:t>
      </w:r>
      <w:r w:rsidR="00827B1C">
        <w:rPr>
          <w:rFonts w:ascii="AvantGarde Bk BT" w:hAnsi="AvantGarde Bk BT" w:cs="Arial"/>
          <w:color w:val="000000" w:themeColor="text1"/>
          <w:sz w:val="24"/>
          <w:szCs w:val="24"/>
        </w:rPr>
        <w:t xml:space="preserve">l sujeto obligado </w:t>
      </w:r>
      <w:r w:rsidR="00073E8C">
        <w:rPr>
          <w:rFonts w:ascii="AvantGarde Bk BT" w:hAnsi="AvantGarde Bk BT" w:cs="Arial"/>
          <w:color w:val="000000" w:themeColor="text1"/>
          <w:sz w:val="24"/>
          <w:szCs w:val="24"/>
        </w:rPr>
        <w:t>se encuentra constreñido a</w:t>
      </w:r>
      <w:r w:rsidR="00132F7C">
        <w:rPr>
          <w:rFonts w:ascii="AvantGarde Bk BT" w:hAnsi="AvantGarde Bk BT" w:cs="Arial"/>
          <w:color w:val="000000" w:themeColor="text1"/>
          <w:sz w:val="24"/>
          <w:szCs w:val="24"/>
        </w:rPr>
        <w:t xml:space="preserve"> proporcionar la información que se </w:t>
      </w:r>
      <w:r w:rsidR="00132F7C">
        <w:rPr>
          <w:rFonts w:ascii="AvantGarde Bk BT" w:hAnsi="AvantGarde Bk BT" w:cs="Arial"/>
          <w:color w:val="000000" w:themeColor="text1"/>
          <w:sz w:val="24"/>
          <w:szCs w:val="24"/>
        </w:rPr>
        <w:lastRenderedPageBreak/>
        <w:t xml:space="preserve">encuentra </w:t>
      </w:r>
      <w:r w:rsidR="005B517A">
        <w:rPr>
          <w:rFonts w:ascii="AvantGarde Bk BT" w:hAnsi="AvantGarde Bk BT" w:cs="Arial"/>
          <w:color w:val="000000" w:themeColor="text1"/>
          <w:sz w:val="24"/>
          <w:szCs w:val="24"/>
        </w:rPr>
        <w:t>en su posesión, lo anterior para efecto de permitir que el derecho de acceso a la información se encuentre satisfecho.</w:t>
      </w:r>
      <w:r w:rsidR="00E85107">
        <w:rPr>
          <w:rStyle w:val="Refdenotaalpie"/>
          <w:rFonts w:ascii="AvantGarde Bk BT" w:hAnsi="AvantGarde Bk BT" w:cs="Arial"/>
          <w:color w:val="000000" w:themeColor="text1"/>
          <w:sz w:val="24"/>
          <w:szCs w:val="24"/>
        </w:rPr>
        <w:footnoteReference w:id="8"/>
      </w:r>
    </w:p>
    <w:p w14:paraId="2CB1C6C7" w14:textId="4AF8DBB1" w:rsidR="00250873" w:rsidRPr="00F74686" w:rsidRDefault="00250873" w:rsidP="00F7468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5DE8B286" w14:textId="001E6E70" w:rsidR="00250873" w:rsidRPr="007C5605" w:rsidRDefault="00CE1E98" w:rsidP="00F74686">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CE1E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56DB74C1" w14:textId="39D36563" w:rsidR="00A95DD9" w:rsidRPr="00916ADF" w:rsidRDefault="00B87F75" w:rsidP="00916ADF">
      <w:pPr>
        <w:pStyle w:val="corte4fondo"/>
        <w:numPr>
          <w:ilvl w:val="0"/>
          <w:numId w:val="39"/>
        </w:numPr>
        <w:tabs>
          <w:tab w:val="left" w:pos="567"/>
        </w:tabs>
        <w:spacing w:after="240"/>
        <w:ind w:left="851"/>
        <w:rPr>
          <w:rFonts w:ascii="AvantGarde Bk BT" w:hAnsi="AvantGarde Bk BT" w:cs="Arial"/>
          <w:color w:val="000000" w:themeColor="text1"/>
          <w:sz w:val="24"/>
          <w:szCs w:val="24"/>
        </w:rPr>
      </w:pPr>
      <w:r>
        <w:rPr>
          <w:rFonts w:ascii="AvantGarde Bk BT" w:hAnsi="AvantGarde Bk BT" w:cs="Arial"/>
          <w:color w:val="000000" w:themeColor="text1"/>
          <w:sz w:val="24"/>
          <w:szCs w:val="24"/>
        </w:rPr>
        <w:t>Envíe al recurrente los acuerdos de reserva CT/060/2019 A y CT/061/2019 A.</w:t>
      </w:r>
    </w:p>
    <w:p w14:paraId="4F64DA8E" w14:textId="77777777" w:rsidR="00B87F75" w:rsidRPr="007C5605"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6B215C0A"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79D4DF65" w14:textId="77777777" w:rsidR="00B87F75" w:rsidRPr="00831D47"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68B17F4"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07 siete</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w:t>
      </w:r>
      <w:r w:rsidRPr="00831D47">
        <w:rPr>
          <w:rFonts w:ascii="AvantGarde Bk BT" w:hAnsi="AvantGarde Bk BT" w:cs="Arial"/>
          <w:color w:val="000000" w:themeColor="text1"/>
          <w:sz w:val="24"/>
          <w:szCs w:val="24"/>
        </w:rPr>
        <w:lastRenderedPageBreak/>
        <w:t>plazo que no deberá de exceder de tres días hábiles, en donde justificará con los documentos necesarios el cumplimento a lo aquí ordenado.</w:t>
      </w:r>
    </w:p>
    <w:p w14:paraId="5122EBFE" w14:textId="77777777" w:rsidR="00B87F75" w:rsidRPr="004C15C0" w:rsidRDefault="00B87F75" w:rsidP="00B87F75">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43C44EF5"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15E51E" w14:textId="77777777" w:rsidR="00B87F75" w:rsidRPr="00684218"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2248C0FC" w14:textId="383CE790" w:rsidR="00B87F75" w:rsidRPr="003358EE" w:rsidRDefault="00B87F75" w:rsidP="00916AD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C204927" w14:textId="77777777" w:rsidR="00B87F75" w:rsidRPr="00E215D2" w:rsidRDefault="00B87F75" w:rsidP="00B87F75">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DA3538E" w14:textId="77777777" w:rsidR="00B87F75" w:rsidRPr="007C5605"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DC94820" w14:textId="77777777" w:rsidR="00B87F75" w:rsidRPr="007C5605"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0DE0CFCA"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4903BE6" w14:textId="77777777" w:rsidR="00B87F75" w:rsidRDefault="00B87F75" w:rsidP="00B87F75">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Pr>
          <w:rFonts w:ascii="AvantGarde Bk BT" w:hAnsi="AvantGarde Bk BT"/>
          <w:sz w:val="24"/>
          <w:szCs w:val="24"/>
        </w:rPr>
        <w:t>12 doce de noviembre</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2C568CEB" w14:textId="77777777" w:rsidR="00B87F75" w:rsidRDefault="00B87F75" w:rsidP="00B87F75">
      <w:pPr>
        <w:pStyle w:val="corte4fondo"/>
        <w:tabs>
          <w:tab w:val="left" w:pos="567"/>
        </w:tabs>
        <w:spacing w:after="240"/>
        <w:rPr>
          <w:rFonts w:ascii="AvantGarde Bk BT" w:hAnsi="AvantGarde Bk BT"/>
          <w:color w:val="000000" w:themeColor="text1"/>
          <w:sz w:val="24"/>
          <w:szCs w:val="24"/>
        </w:rPr>
      </w:pPr>
    </w:p>
    <w:p w14:paraId="0F68ED37" w14:textId="77777777" w:rsidR="00B87F75" w:rsidRDefault="00B87F75" w:rsidP="00B87F7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4761024A" w14:textId="77777777" w:rsidR="00B87F75" w:rsidRPr="003358EE" w:rsidRDefault="00B87F75" w:rsidP="00B87F75">
      <w:pPr>
        <w:pStyle w:val="NormalWeb"/>
        <w:rPr>
          <w:rFonts w:ascii="AvantGarde Bk BT" w:hAnsi="AvantGarde Bk BT" w:cs="Arial"/>
          <w:b/>
          <w:color w:val="000000" w:themeColor="text1"/>
          <w:lang w:val="es-MX"/>
        </w:rPr>
      </w:pPr>
    </w:p>
    <w:p w14:paraId="6FA1AA45" w14:textId="77777777" w:rsidR="00B87F75" w:rsidRDefault="00B87F75" w:rsidP="00B87F7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280E0DA8" w14:textId="77777777" w:rsidR="00B87F75" w:rsidRDefault="00B87F75" w:rsidP="00B87F75">
      <w:pPr>
        <w:pStyle w:val="NormalWeb"/>
        <w:jc w:val="center"/>
        <w:rPr>
          <w:rFonts w:ascii="AvantGarde Bk BT" w:hAnsi="AvantGarde Bk BT" w:cs="Arial"/>
          <w:b/>
          <w:color w:val="000000" w:themeColor="text1"/>
          <w:lang w:val="es-MX"/>
        </w:rPr>
      </w:pPr>
    </w:p>
    <w:p w14:paraId="3E2EB1C9" w14:textId="77777777" w:rsidR="00B87F75" w:rsidRDefault="00B87F75" w:rsidP="00B87F75">
      <w:pPr>
        <w:pStyle w:val="NormalWeb"/>
        <w:jc w:val="center"/>
        <w:rPr>
          <w:rFonts w:ascii="AvantGarde Bk BT" w:hAnsi="AvantGarde Bk BT" w:cs="Arial"/>
          <w:b/>
          <w:color w:val="000000" w:themeColor="text1"/>
          <w:lang w:val="es-MX"/>
        </w:rPr>
      </w:pPr>
    </w:p>
    <w:p w14:paraId="20673800" w14:textId="77777777" w:rsidR="00B87F75" w:rsidRPr="003358EE" w:rsidRDefault="00B87F75" w:rsidP="00B87F75">
      <w:pPr>
        <w:pStyle w:val="NormalWeb"/>
        <w:jc w:val="center"/>
        <w:rPr>
          <w:rFonts w:ascii="AvantGarde Bk BT" w:hAnsi="AvantGarde Bk BT" w:cs="Arial"/>
          <w:b/>
          <w:color w:val="000000" w:themeColor="text1"/>
          <w:lang w:val="es-MX"/>
        </w:rPr>
      </w:pPr>
    </w:p>
    <w:p w14:paraId="32DC1285" w14:textId="77777777" w:rsidR="00B87F75" w:rsidRPr="003358EE" w:rsidRDefault="00B87F75" w:rsidP="00B87F7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FBF4CD6" w14:textId="77777777" w:rsidR="00B87F75" w:rsidRPr="003358EE" w:rsidRDefault="00B87F75" w:rsidP="00B87F75">
      <w:pPr>
        <w:pStyle w:val="NormalWeb"/>
        <w:rPr>
          <w:rFonts w:ascii="AvantGarde Bk BT" w:hAnsi="AvantGarde Bk BT" w:cs="Arial"/>
          <w:b/>
          <w:color w:val="000000" w:themeColor="text1"/>
          <w:lang w:val="es-MX"/>
        </w:rPr>
      </w:pPr>
    </w:p>
    <w:p w14:paraId="28F38363" w14:textId="77777777" w:rsidR="00B87F75" w:rsidRPr="003358EE" w:rsidRDefault="00B87F75" w:rsidP="00B87F75">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104380C" w14:textId="77777777" w:rsidR="00B87F75" w:rsidRPr="001314EC" w:rsidRDefault="00B87F75" w:rsidP="00B87F75">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39E6D7FC" w14:textId="2117789B" w:rsidR="00B87F75" w:rsidRPr="004C15C0" w:rsidRDefault="00B87F75" w:rsidP="00B87F7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12 doce de noviembre de 2019 dos mil diecinueve, dentro de los autos del recurso de rev</w:t>
      </w:r>
      <w:r w:rsidR="00916ADF">
        <w:rPr>
          <w:rFonts w:ascii="AvantGarde Bk BT" w:hAnsi="AvantGarde Bk BT" w:cs="Arial"/>
          <w:color w:val="000000" w:themeColor="text1"/>
          <w:sz w:val="14"/>
          <w:szCs w:val="14"/>
        </w:rPr>
        <w:t>isión RR-1625</w:t>
      </w:r>
      <w:r w:rsidR="0049342E">
        <w:rPr>
          <w:rFonts w:ascii="AvantGarde Bk BT" w:hAnsi="AvantGarde Bk BT" w:cs="Arial"/>
          <w:color w:val="000000" w:themeColor="text1"/>
          <w:sz w:val="14"/>
          <w:szCs w:val="14"/>
        </w:rPr>
        <w:t>/2019</w:t>
      </w:r>
      <w:r>
        <w:rPr>
          <w:rFonts w:ascii="AvantGarde Bk BT" w:hAnsi="AvantGarde Bk BT" w:cs="Arial"/>
          <w:color w:val="000000" w:themeColor="text1"/>
          <w:sz w:val="14"/>
          <w:szCs w:val="14"/>
        </w:rPr>
        <w:t>-1 PLATAFORMA.)</w:t>
      </w:r>
    </w:p>
    <w:p w14:paraId="41A776EA" w14:textId="4B607B3E" w:rsidR="005873DB" w:rsidRPr="004C15C0" w:rsidRDefault="005873DB" w:rsidP="00B87F75">
      <w:pPr>
        <w:pStyle w:val="corte4fondo"/>
        <w:tabs>
          <w:tab w:val="left" w:pos="567"/>
        </w:tabs>
        <w:rPr>
          <w:rFonts w:ascii="AvantGarde Bk BT" w:hAnsi="AvantGarde Bk BT" w:cs="Arial"/>
          <w:color w:val="000000" w:themeColor="text1"/>
          <w:sz w:val="14"/>
          <w:szCs w:val="14"/>
        </w:rPr>
      </w:pPr>
      <w:bookmarkStart w:id="1" w:name="_GoBack"/>
      <w:bookmarkEnd w:id="1"/>
    </w:p>
    <w:sectPr w:rsidR="005873DB" w:rsidRPr="004C15C0" w:rsidSect="007749D2">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FEDCB" w14:textId="77777777" w:rsidR="00A775B2" w:rsidRDefault="00A775B2" w:rsidP="003864ED">
      <w:pPr>
        <w:spacing w:after="0" w:line="240" w:lineRule="auto"/>
      </w:pPr>
      <w:r>
        <w:separator/>
      </w:r>
    </w:p>
  </w:endnote>
  <w:endnote w:type="continuationSeparator" w:id="0">
    <w:p w14:paraId="5A1E2A8D" w14:textId="77777777" w:rsidR="00A775B2" w:rsidRDefault="00A775B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8EB4B" w14:textId="77777777" w:rsidR="00A775B2" w:rsidRDefault="00A775B2" w:rsidP="003864ED">
      <w:pPr>
        <w:spacing w:after="0" w:line="240" w:lineRule="auto"/>
      </w:pPr>
      <w:r>
        <w:separator/>
      </w:r>
    </w:p>
  </w:footnote>
  <w:footnote w:type="continuationSeparator" w:id="0">
    <w:p w14:paraId="1F712C4B" w14:textId="77777777" w:rsidR="00A775B2" w:rsidRDefault="00A775B2" w:rsidP="003864ED">
      <w:pPr>
        <w:spacing w:after="0" w:line="240" w:lineRule="auto"/>
      </w:pPr>
      <w:r>
        <w:continuationSeparator/>
      </w:r>
    </w:p>
  </w:footnote>
  <w:footnote w:id="1">
    <w:p w14:paraId="2648A459" w14:textId="77777777" w:rsidR="00F32542" w:rsidRPr="00916ADF" w:rsidRDefault="00F32542" w:rsidP="00F32542">
      <w:pPr>
        <w:pStyle w:val="Textonotapie"/>
        <w:jc w:val="both"/>
        <w:rPr>
          <w:sz w:val="16"/>
          <w:szCs w:val="16"/>
          <w:lang w:val="es-ES_tradnl"/>
        </w:rPr>
      </w:pPr>
      <w:r w:rsidRPr="00916ADF">
        <w:rPr>
          <w:rStyle w:val="Refdenotaalpie"/>
          <w:sz w:val="16"/>
          <w:szCs w:val="16"/>
        </w:rPr>
        <w:footnoteRef/>
      </w:r>
      <w:r w:rsidRPr="00916ADF">
        <w:rPr>
          <w:sz w:val="16"/>
          <w:szCs w:val="16"/>
        </w:rPr>
        <w:t xml:space="preserve"> </w:t>
      </w:r>
      <w:r w:rsidRPr="00916ADF">
        <w:rPr>
          <w:bCs/>
          <w:sz w:val="16"/>
          <w:szCs w:val="16"/>
          <w:lang w:val="es-ES_tradnl"/>
        </w:rPr>
        <w:t xml:space="preserve">ARTÍCULO 61. </w:t>
      </w:r>
      <w:r w:rsidRPr="00916ADF">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BD5B9D5" w14:textId="77777777" w:rsidR="00F32542" w:rsidRPr="00916ADF" w:rsidRDefault="00F32542" w:rsidP="00F32542">
      <w:pPr>
        <w:pStyle w:val="Textonotapie"/>
        <w:jc w:val="both"/>
        <w:rPr>
          <w:sz w:val="16"/>
          <w:szCs w:val="16"/>
          <w:lang w:val="es-ES_tradnl"/>
        </w:rPr>
      </w:pPr>
      <w:r w:rsidRPr="00916ADF">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6146EF80" w14:textId="77777777" w:rsidR="00F32542" w:rsidRPr="00916ADF" w:rsidRDefault="00F32542" w:rsidP="00F32542">
      <w:pPr>
        <w:pStyle w:val="Textonotapie"/>
        <w:jc w:val="both"/>
        <w:rPr>
          <w:sz w:val="16"/>
          <w:szCs w:val="16"/>
        </w:rPr>
      </w:pPr>
      <w:r w:rsidRPr="00916ADF">
        <w:rPr>
          <w:rStyle w:val="Refdenotaalpie"/>
          <w:sz w:val="16"/>
          <w:szCs w:val="16"/>
        </w:rPr>
        <w:footnoteRef/>
      </w:r>
      <w:r w:rsidRPr="00916ADF">
        <w:rPr>
          <w:sz w:val="16"/>
          <w:szCs w:val="16"/>
        </w:rPr>
        <w:t xml:space="preserve"> ARTÍCULO 18. Los sujetos obligados deberán documentar todo acto que derive del ejercicio de sus facultades, competencias o funciones.</w:t>
      </w:r>
    </w:p>
    <w:p w14:paraId="795EFA82" w14:textId="77777777" w:rsidR="00F32542" w:rsidRPr="00916ADF" w:rsidRDefault="00F32542" w:rsidP="00F32542">
      <w:pPr>
        <w:pStyle w:val="Textonotapie"/>
        <w:jc w:val="both"/>
        <w:rPr>
          <w:sz w:val="16"/>
          <w:szCs w:val="16"/>
        </w:rPr>
      </w:pPr>
      <w:r w:rsidRPr="00916ADF">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BBD347A" w14:textId="77777777" w:rsidR="00F32542" w:rsidRPr="00916ADF" w:rsidRDefault="00F32542" w:rsidP="00F32542">
      <w:pPr>
        <w:pStyle w:val="Textonotapie"/>
        <w:jc w:val="both"/>
        <w:rPr>
          <w:sz w:val="16"/>
          <w:szCs w:val="16"/>
        </w:rPr>
      </w:pPr>
      <w:r w:rsidRPr="00916ADF">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349311D9" w14:textId="77777777" w:rsidR="00F32542" w:rsidRPr="00916ADF" w:rsidRDefault="00F32542" w:rsidP="00F32542">
      <w:pPr>
        <w:pStyle w:val="Textonotapie"/>
        <w:jc w:val="both"/>
        <w:rPr>
          <w:sz w:val="16"/>
          <w:szCs w:val="16"/>
        </w:rPr>
      </w:pPr>
      <w:r w:rsidRPr="00916ADF">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9209065" w14:textId="77777777" w:rsidR="00F32542" w:rsidRPr="00916ADF" w:rsidRDefault="00F32542" w:rsidP="00F32542">
      <w:pPr>
        <w:pStyle w:val="Textonotapie"/>
        <w:jc w:val="both"/>
        <w:rPr>
          <w:sz w:val="16"/>
          <w:szCs w:val="16"/>
        </w:rPr>
      </w:pPr>
      <w:r w:rsidRPr="00916ADF">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1502F02" w14:textId="77777777" w:rsidR="00F32542" w:rsidRPr="00916ADF" w:rsidRDefault="00F32542" w:rsidP="00F32542">
      <w:pPr>
        <w:pStyle w:val="Textonotapie"/>
        <w:jc w:val="both"/>
        <w:rPr>
          <w:sz w:val="16"/>
          <w:szCs w:val="16"/>
        </w:rPr>
      </w:pPr>
      <w:r w:rsidRPr="00916ADF">
        <w:rPr>
          <w:sz w:val="16"/>
          <w:szCs w:val="16"/>
        </w:rPr>
        <w:t>La obligación de los sujetos obligados de proporcionar información no comprende el procesamiento de la misma, ni el presentarla conforme al interés del solicitante.</w:t>
      </w:r>
    </w:p>
    <w:p w14:paraId="3C284208" w14:textId="77777777" w:rsidR="00F32542" w:rsidRPr="00916ADF" w:rsidRDefault="00F32542" w:rsidP="00F32542">
      <w:pPr>
        <w:pStyle w:val="Textonotapie"/>
        <w:jc w:val="both"/>
        <w:rPr>
          <w:sz w:val="16"/>
          <w:szCs w:val="16"/>
        </w:rPr>
      </w:pPr>
      <w:r w:rsidRPr="00916ADF">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7257B0DE" w14:textId="77777777" w:rsidR="00F32542" w:rsidRPr="00916ADF" w:rsidRDefault="00F32542" w:rsidP="00F32542">
      <w:pPr>
        <w:pStyle w:val="NormalWeb"/>
        <w:spacing w:before="0" w:beforeAutospacing="0" w:after="0" w:afterAutospacing="0"/>
        <w:jc w:val="both"/>
        <w:rPr>
          <w:sz w:val="16"/>
          <w:szCs w:val="16"/>
          <w:lang w:val="es-MX" w:eastAsia="es-MX"/>
        </w:rPr>
      </w:pPr>
      <w:r w:rsidRPr="00916ADF">
        <w:rPr>
          <w:rStyle w:val="Refdenotaalpie"/>
          <w:sz w:val="16"/>
          <w:szCs w:val="16"/>
        </w:rPr>
        <w:footnoteRef/>
      </w:r>
      <w:r w:rsidRPr="00916ADF">
        <w:rPr>
          <w:sz w:val="16"/>
          <w:szCs w:val="16"/>
        </w:rPr>
        <w:t xml:space="preserve"> </w:t>
      </w:r>
      <w:r w:rsidRPr="00916ADF">
        <w:rPr>
          <w:rFonts w:ascii="Calibri" w:hAnsi="Calibri" w:cs="Calibri"/>
          <w:color w:val="000000"/>
          <w:sz w:val="16"/>
          <w:szCs w:val="16"/>
          <w:lang w:val="es-MX" w:eastAsia="es-MX"/>
        </w:rPr>
        <w:t xml:space="preserve">ARTÍCULO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9292E8F" w14:textId="77777777" w:rsidR="00F32542" w:rsidRPr="00916ADF" w:rsidRDefault="00F32542" w:rsidP="00F32542">
      <w:pPr>
        <w:spacing w:after="0" w:line="240" w:lineRule="auto"/>
        <w:jc w:val="both"/>
        <w:rPr>
          <w:rFonts w:ascii="Times New Roman" w:eastAsia="Times New Roman" w:hAnsi="Times New Roman" w:cs="Times New Roman"/>
          <w:sz w:val="16"/>
          <w:szCs w:val="16"/>
        </w:rPr>
      </w:pPr>
      <w:r w:rsidRPr="00916ADF">
        <w:rPr>
          <w:rFonts w:ascii="Calibri" w:eastAsia="Times New Roman" w:hAnsi="Calibri" w:cs="Calibri"/>
          <w:color w:val="000000"/>
          <w:sz w:val="16"/>
          <w:szCs w:val="16"/>
        </w:rPr>
        <w:t xml:space="preserve">La obligación de los sujetos obligados de proporcionar información no comprende el procesamiento de la misma, ni el presentarla conforme al interés del solicitante. </w:t>
      </w:r>
    </w:p>
    <w:p w14:paraId="2BEBEBCF" w14:textId="77777777" w:rsidR="00F32542" w:rsidRPr="00916ADF" w:rsidRDefault="00F32542" w:rsidP="00F32542">
      <w:pPr>
        <w:spacing w:after="0" w:line="240" w:lineRule="auto"/>
        <w:jc w:val="both"/>
        <w:rPr>
          <w:rFonts w:ascii="Times New Roman" w:eastAsia="Times New Roman" w:hAnsi="Times New Roman" w:cs="Times New Roman"/>
          <w:sz w:val="16"/>
          <w:szCs w:val="16"/>
        </w:rPr>
      </w:pPr>
      <w:r w:rsidRPr="00916ADF">
        <w:rPr>
          <w:rFonts w:ascii="Calibri" w:eastAsia="Times New Roman" w:hAnsi="Calibri" w:cs="Calibri"/>
          <w:color w:val="000000"/>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footnote>
  <w:footnote w:id="4">
    <w:p w14:paraId="14C21F19" w14:textId="77777777" w:rsidR="00F32542" w:rsidRPr="00916ADF" w:rsidRDefault="00F32542" w:rsidP="00F32542">
      <w:pPr>
        <w:pStyle w:val="Textonotapie"/>
        <w:jc w:val="both"/>
        <w:rPr>
          <w:sz w:val="16"/>
          <w:szCs w:val="16"/>
        </w:rPr>
      </w:pPr>
      <w:r w:rsidRPr="00916ADF">
        <w:rPr>
          <w:rStyle w:val="Refdenotaalpie"/>
          <w:sz w:val="16"/>
          <w:szCs w:val="16"/>
        </w:rPr>
        <w:footnoteRef/>
      </w:r>
      <w:r w:rsidRPr="00916ADF">
        <w:rPr>
          <w:sz w:val="16"/>
          <w:szCs w:val="16"/>
        </w:rPr>
        <w:t xml:space="preserve"> ARTÍCULO 113. Las figuras jurídicas de excepción al derecho de acceso a la información pública, son las de información reservada, e información confidencial.</w:t>
      </w:r>
    </w:p>
  </w:footnote>
  <w:footnote w:id="5">
    <w:p w14:paraId="762FACB7" w14:textId="77777777" w:rsidR="00F32542" w:rsidRPr="00916ADF" w:rsidRDefault="00F32542" w:rsidP="00F32542">
      <w:pPr>
        <w:pStyle w:val="Textonotapie"/>
        <w:rPr>
          <w:sz w:val="16"/>
          <w:szCs w:val="16"/>
        </w:rPr>
      </w:pPr>
      <w:r w:rsidRPr="00916ADF">
        <w:rPr>
          <w:rStyle w:val="Refdenotaalpie"/>
          <w:sz w:val="16"/>
          <w:szCs w:val="16"/>
        </w:rPr>
        <w:footnoteRef/>
      </w:r>
      <w:r w:rsidRPr="00916ADF">
        <w:rPr>
          <w:sz w:val="16"/>
          <w:szCs w:val="16"/>
        </w:rPr>
        <w:t xml:space="preserve"> Artículo 129 de la Ley de Transparencia y Acceso a la Información Pública de San Luis Potosí.</w:t>
      </w:r>
    </w:p>
  </w:footnote>
  <w:footnote w:id="6">
    <w:p w14:paraId="31C56630" w14:textId="77777777" w:rsidR="00B87F75" w:rsidRPr="00916ADF" w:rsidRDefault="00B87F75" w:rsidP="00B87F75">
      <w:pPr>
        <w:pStyle w:val="Textonotapie"/>
        <w:jc w:val="both"/>
        <w:rPr>
          <w:sz w:val="16"/>
          <w:szCs w:val="16"/>
        </w:rPr>
      </w:pPr>
      <w:r w:rsidRPr="00916ADF">
        <w:rPr>
          <w:rStyle w:val="Refdenotaalpie"/>
          <w:sz w:val="16"/>
          <w:szCs w:val="16"/>
        </w:rPr>
        <w:footnoteRef/>
      </w:r>
      <w:r w:rsidRPr="00916ADF">
        <w:rPr>
          <w:sz w:val="16"/>
          <w:szCs w:val="16"/>
        </w:rPr>
        <w:t xml:space="preserve"> ARTÍCULO 24. Para el cumplimiento de los objetivos de esta Ley, los sujetos obligados deberán cumplir con las obligaciones siguientes, según corresponda, de acuerdo a su naturaleza: </w:t>
      </w:r>
    </w:p>
    <w:p w14:paraId="7CEE1BAC" w14:textId="77777777" w:rsidR="00B87F75" w:rsidRPr="00916ADF" w:rsidRDefault="00B87F75" w:rsidP="00B87F75">
      <w:pPr>
        <w:pStyle w:val="Textonotapie"/>
        <w:numPr>
          <w:ilvl w:val="0"/>
          <w:numId w:val="38"/>
        </w:numPr>
        <w:jc w:val="both"/>
        <w:rPr>
          <w:sz w:val="16"/>
          <w:szCs w:val="16"/>
        </w:rPr>
      </w:pPr>
      <w:r w:rsidRPr="00916ADF">
        <w:rPr>
          <w:sz w:val="16"/>
          <w:szCs w:val="16"/>
        </w:rPr>
        <w:t>Constituir el Comité de Transparencia, las unidades de transparencia y vigilar su correcto funcionamiento de acuerdo a su normatividad interna;</w:t>
      </w:r>
    </w:p>
    <w:p w14:paraId="55A88653" w14:textId="77777777" w:rsidR="00B87F75" w:rsidRPr="00916ADF" w:rsidRDefault="00B87F75" w:rsidP="00B87F75">
      <w:pPr>
        <w:pStyle w:val="Textonotapie"/>
        <w:ind w:left="360"/>
        <w:jc w:val="both"/>
        <w:rPr>
          <w:sz w:val="16"/>
          <w:szCs w:val="16"/>
        </w:rPr>
      </w:pPr>
      <w:r w:rsidRPr="00916ADF">
        <w:rPr>
          <w:sz w:val="16"/>
          <w:szCs w:val="16"/>
        </w:rPr>
        <w:t>[…].</w:t>
      </w:r>
    </w:p>
    <w:p w14:paraId="3D360D46" w14:textId="77777777" w:rsidR="00B87F75" w:rsidRPr="00916ADF" w:rsidRDefault="00B87F75" w:rsidP="00B87F75">
      <w:pPr>
        <w:pStyle w:val="Textonotapie"/>
        <w:jc w:val="both"/>
        <w:rPr>
          <w:sz w:val="16"/>
          <w:szCs w:val="16"/>
        </w:rPr>
      </w:pPr>
      <w:r w:rsidRPr="00916ADF">
        <w:rPr>
          <w:sz w:val="16"/>
          <w:szCs w:val="16"/>
        </w:rPr>
        <w:t>ARTÍCULO 52. Cada Comité de Transparencia tendrá las siguientes funciones:</w:t>
      </w:r>
    </w:p>
    <w:p w14:paraId="5DA7F837" w14:textId="77777777" w:rsidR="00B87F75" w:rsidRPr="00916ADF" w:rsidRDefault="00B87F75" w:rsidP="00B87F75">
      <w:pPr>
        <w:pStyle w:val="Textonotapie"/>
        <w:ind w:firstLine="360"/>
        <w:jc w:val="both"/>
        <w:rPr>
          <w:sz w:val="16"/>
          <w:szCs w:val="16"/>
        </w:rPr>
      </w:pPr>
      <w:r w:rsidRPr="00916ADF">
        <w:rPr>
          <w:sz w:val="16"/>
          <w:szCs w:val="16"/>
        </w:rPr>
        <w:t>[…]</w:t>
      </w:r>
    </w:p>
    <w:p w14:paraId="0FEA4241" w14:textId="77777777" w:rsidR="00B87F75" w:rsidRPr="00916ADF" w:rsidRDefault="00B87F75" w:rsidP="00B87F75">
      <w:pPr>
        <w:pStyle w:val="Textonotapie"/>
        <w:numPr>
          <w:ilvl w:val="0"/>
          <w:numId w:val="38"/>
        </w:numPr>
        <w:jc w:val="both"/>
        <w:rPr>
          <w:sz w:val="16"/>
          <w:szCs w:val="16"/>
        </w:rPr>
      </w:pPr>
      <w:r w:rsidRPr="00916ADF">
        <w:rPr>
          <w:sz w:val="16"/>
          <w:szCs w:val="16"/>
        </w:rPr>
        <w:t xml:space="preserve">Confirmar, modificar o revocar las determinaciones </w:t>
      </w:r>
      <w:proofErr w:type="gramStart"/>
      <w:r w:rsidRPr="00916ADF">
        <w:rPr>
          <w:sz w:val="16"/>
          <w:szCs w:val="16"/>
        </w:rPr>
        <w:t>que</w:t>
      </w:r>
      <w:proofErr w:type="gramEnd"/>
      <w:r w:rsidRPr="00916ADF">
        <w:rPr>
          <w:sz w:val="16"/>
          <w:szCs w:val="16"/>
        </w:rPr>
        <w:t xml:space="preserve"> en materia de ampliación del plazo de respuesta, clasificación de la información y declaración de inexistencia o de incompetencia realicen los titulares de las áreas de los sujetos obligados;</w:t>
      </w:r>
    </w:p>
    <w:p w14:paraId="28FC7D26" w14:textId="77777777" w:rsidR="00B87F75" w:rsidRPr="00916ADF" w:rsidRDefault="00B87F75" w:rsidP="00B87F75">
      <w:pPr>
        <w:pStyle w:val="Textonotapie"/>
        <w:ind w:left="360"/>
        <w:jc w:val="both"/>
        <w:rPr>
          <w:sz w:val="16"/>
          <w:szCs w:val="16"/>
        </w:rPr>
      </w:pPr>
      <w:r w:rsidRPr="00916ADF">
        <w:rPr>
          <w:sz w:val="16"/>
          <w:szCs w:val="16"/>
        </w:rPr>
        <w:t>[…].</w:t>
      </w:r>
    </w:p>
    <w:p w14:paraId="7959E3DB" w14:textId="77777777" w:rsidR="00B87F75" w:rsidRPr="00916ADF" w:rsidRDefault="00B87F75" w:rsidP="00B87F75">
      <w:pPr>
        <w:pStyle w:val="Textonotapie"/>
        <w:jc w:val="both"/>
        <w:rPr>
          <w:sz w:val="16"/>
          <w:szCs w:val="16"/>
        </w:rPr>
      </w:pPr>
      <w:r w:rsidRPr="00916ADF">
        <w:rPr>
          <w:sz w:val="16"/>
          <w:szCs w:val="16"/>
        </w:rPr>
        <w:t xml:space="preserve">ARTÍCULO 117. En los casos en que se niegue el acceso a la información, por actualizarse alguno de los supuestos de clasificación, el Comité de Transparencia deberá confirmar, modificar o revocar la decisión. </w:t>
      </w:r>
    </w:p>
    <w:p w14:paraId="08874C96" w14:textId="77777777" w:rsidR="00B87F75" w:rsidRPr="00916ADF" w:rsidRDefault="00B87F75" w:rsidP="00B87F75">
      <w:pPr>
        <w:pStyle w:val="Textonotapie"/>
        <w:jc w:val="both"/>
        <w:rPr>
          <w:sz w:val="16"/>
          <w:szCs w:val="16"/>
        </w:rPr>
      </w:pPr>
      <w:r w:rsidRPr="00916ADF">
        <w:rPr>
          <w:sz w:val="16"/>
          <w:szCs w:val="16"/>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7">
    <w:p w14:paraId="7732C706" w14:textId="77777777" w:rsidR="00F74686" w:rsidRPr="00916ADF" w:rsidRDefault="00F74686" w:rsidP="00F74686">
      <w:pPr>
        <w:pStyle w:val="Textonotapie"/>
        <w:jc w:val="both"/>
        <w:rPr>
          <w:sz w:val="16"/>
          <w:szCs w:val="16"/>
        </w:rPr>
      </w:pPr>
      <w:r w:rsidRPr="00916ADF">
        <w:rPr>
          <w:rStyle w:val="Refdenotaalpie"/>
          <w:sz w:val="16"/>
          <w:szCs w:val="16"/>
        </w:rPr>
        <w:footnoteRef/>
      </w:r>
      <w:r w:rsidRPr="00916ADF">
        <w:rPr>
          <w:sz w:val="16"/>
          <w:szCs w:val="16"/>
        </w:rPr>
        <w:t xml:space="preserve"> ARTÍCULO 180. El recurso será sobreseído, en todo o en parte, cuando, una vez admitido, se actualicen alguno de los siguientes supuestos: </w:t>
      </w:r>
    </w:p>
    <w:p w14:paraId="720A33BD" w14:textId="77777777" w:rsidR="00F74686" w:rsidRPr="00916ADF" w:rsidRDefault="00F74686" w:rsidP="00F74686">
      <w:pPr>
        <w:pStyle w:val="Textonotapie"/>
        <w:jc w:val="both"/>
        <w:rPr>
          <w:sz w:val="16"/>
          <w:szCs w:val="16"/>
        </w:rPr>
      </w:pPr>
      <w:r w:rsidRPr="00916ADF">
        <w:rPr>
          <w:sz w:val="16"/>
          <w:szCs w:val="16"/>
        </w:rPr>
        <w:t>I. El recurrente se desista;</w:t>
      </w:r>
    </w:p>
    <w:p w14:paraId="0C6FDA51" w14:textId="77777777" w:rsidR="00F74686" w:rsidRPr="00916ADF" w:rsidRDefault="00F74686" w:rsidP="00F74686">
      <w:pPr>
        <w:pStyle w:val="Textonotapie"/>
        <w:jc w:val="both"/>
        <w:rPr>
          <w:sz w:val="16"/>
          <w:szCs w:val="16"/>
        </w:rPr>
      </w:pPr>
      <w:r w:rsidRPr="00916ADF">
        <w:rPr>
          <w:sz w:val="16"/>
          <w:szCs w:val="16"/>
        </w:rPr>
        <w:t>II. El recurrente fallezca;</w:t>
      </w:r>
    </w:p>
    <w:p w14:paraId="3A170442" w14:textId="77777777" w:rsidR="00F74686" w:rsidRPr="00916ADF" w:rsidRDefault="00F74686" w:rsidP="00F74686">
      <w:pPr>
        <w:pStyle w:val="Textonotapie"/>
        <w:jc w:val="both"/>
        <w:rPr>
          <w:sz w:val="16"/>
          <w:szCs w:val="16"/>
        </w:rPr>
      </w:pPr>
      <w:r w:rsidRPr="00916ADF">
        <w:rPr>
          <w:sz w:val="16"/>
          <w:szCs w:val="16"/>
        </w:rPr>
        <w:t>III. El sujeto obligado responsable del acto lo modifique o revoque de tal manera que el recurso de revisión quede sin materia, o</w:t>
      </w:r>
    </w:p>
    <w:p w14:paraId="200B1F9C" w14:textId="77777777" w:rsidR="00F74686" w:rsidRPr="00916ADF" w:rsidRDefault="00F74686" w:rsidP="00F74686">
      <w:pPr>
        <w:pStyle w:val="Textonotapie"/>
        <w:jc w:val="both"/>
        <w:rPr>
          <w:sz w:val="16"/>
          <w:szCs w:val="16"/>
        </w:rPr>
      </w:pPr>
      <w:r w:rsidRPr="00916ADF">
        <w:rPr>
          <w:sz w:val="16"/>
          <w:szCs w:val="16"/>
        </w:rPr>
        <w:t>IV. Admitido el recurso de revisión, aparezca alguna causal de improcedencia en los términos del presente Capítulo.</w:t>
      </w:r>
    </w:p>
  </w:footnote>
  <w:footnote w:id="8">
    <w:p w14:paraId="0FD25F8C" w14:textId="65F9C2BF" w:rsidR="00E85107" w:rsidRPr="00916ADF" w:rsidRDefault="00E85107" w:rsidP="001454E9">
      <w:pPr>
        <w:pStyle w:val="Textonotapie"/>
        <w:jc w:val="both"/>
        <w:rPr>
          <w:sz w:val="16"/>
          <w:szCs w:val="16"/>
          <w:lang w:val="es-ES_tradnl"/>
        </w:rPr>
      </w:pPr>
      <w:r w:rsidRPr="00916ADF">
        <w:rPr>
          <w:rStyle w:val="Refdenotaalpie"/>
          <w:sz w:val="16"/>
          <w:szCs w:val="16"/>
        </w:rPr>
        <w:footnoteRef/>
      </w:r>
      <w:r w:rsidRPr="00916ADF">
        <w:rPr>
          <w:sz w:val="16"/>
          <w:szCs w:val="16"/>
        </w:rPr>
        <w:t xml:space="preserve"> </w:t>
      </w:r>
      <w:r w:rsidRPr="00916ADF">
        <w:rPr>
          <w:bCs/>
          <w:sz w:val="16"/>
          <w:szCs w:val="16"/>
          <w:lang w:val="es-ES_tradnl"/>
        </w:rPr>
        <w:t xml:space="preserve">ARTÍCULO 61. </w:t>
      </w:r>
      <w:r w:rsidRPr="00916ADF">
        <w:rPr>
          <w:sz w:val="16"/>
          <w:szCs w:val="16"/>
          <w:lang w:val="es-ES_tradnl"/>
        </w:rPr>
        <w:t xml:space="preserve">Los servidores </w:t>
      </w:r>
      <w:r w:rsidR="001175BB" w:rsidRPr="00916ADF">
        <w:rPr>
          <w:sz w:val="16"/>
          <w:szCs w:val="16"/>
          <w:lang w:val="es-ES_tradnl"/>
        </w:rPr>
        <w:t>públicos</w:t>
      </w:r>
      <w:r w:rsidRPr="00916ADF">
        <w:rPr>
          <w:sz w:val="16"/>
          <w:szCs w:val="16"/>
          <w:lang w:val="es-ES_tradnl"/>
        </w:rPr>
        <w:t xml:space="preserve"> y las </w:t>
      </w:r>
      <w:r w:rsidR="001175BB" w:rsidRPr="00916ADF">
        <w:rPr>
          <w:sz w:val="16"/>
          <w:szCs w:val="16"/>
          <w:lang w:val="es-ES_tradnl"/>
        </w:rPr>
        <w:t>áreas</w:t>
      </w:r>
      <w:r w:rsidRPr="00916ADF">
        <w:rPr>
          <w:sz w:val="16"/>
          <w:szCs w:val="16"/>
          <w:lang w:val="es-ES_tradnl"/>
        </w:rPr>
        <w:t xml:space="preserve"> de los sujetos obligados que formulen, produzcan, procesen, administren, archiven y resguarden </w:t>
      </w:r>
      <w:r w:rsidR="001175BB" w:rsidRPr="00916ADF">
        <w:rPr>
          <w:sz w:val="16"/>
          <w:szCs w:val="16"/>
          <w:lang w:val="es-ES_tradnl"/>
        </w:rPr>
        <w:t>información</w:t>
      </w:r>
      <w:r w:rsidRPr="00916ADF">
        <w:rPr>
          <w:sz w:val="16"/>
          <w:szCs w:val="16"/>
          <w:lang w:val="es-ES_tradnl"/>
        </w:rPr>
        <w:t xml:space="preserve"> </w:t>
      </w:r>
      <w:r w:rsidR="001175BB" w:rsidRPr="00916ADF">
        <w:rPr>
          <w:sz w:val="16"/>
          <w:szCs w:val="16"/>
          <w:lang w:val="es-ES_tradnl"/>
        </w:rPr>
        <w:t>pública</w:t>
      </w:r>
      <w:r w:rsidRPr="00916ADF">
        <w:rPr>
          <w:sz w:val="16"/>
          <w:szCs w:val="16"/>
          <w:lang w:val="es-ES_tradnl"/>
        </w:rPr>
        <w:t xml:space="preserve">, son responsables de la misma y </w:t>
      </w:r>
      <w:r w:rsidR="001175BB" w:rsidRPr="00916ADF">
        <w:rPr>
          <w:sz w:val="16"/>
          <w:szCs w:val="16"/>
          <w:lang w:val="es-ES_tradnl"/>
        </w:rPr>
        <w:t>están</w:t>
      </w:r>
      <w:r w:rsidRPr="00916ADF">
        <w:rPr>
          <w:sz w:val="16"/>
          <w:szCs w:val="16"/>
          <w:lang w:val="es-ES_tradnl"/>
        </w:rPr>
        <w:t xml:space="preserve"> obligados a permitir el ejercicio del derecho de acceso a la </w:t>
      </w:r>
      <w:r w:rsidR="001175BB" w:rsidRPr="00916ADF">
        <w:rPr>
          <w:sz w:val="16"/>
          <w:szCs w:val="16"/>
          <w:lang w:val="es-ES_tradnl"/>
        </w:rPr>
        <w:t>información</w:t>
      </w:r>
      <w:r w:rsidRPr="00916ADF">
        <w:rPr>
          <w:sz w:val="16"/>
          <w:szCs w:val="16"/>
          <w:lang w:val="es-ES_tradnl"/>
        </w:rPr>
        <w:t xml:space="preserve"> </w:t>
      </w:r>
      <w:r w:rsidR="001175BB" w:rsidRPr="00916ADF">
        <w:rPr>
          <w:sz w:val="16"/>
          <w:szCs w:val="16"/>
          <w:lang w:val="es-ES_tradnl"/>
        </w:rPr>
        <w:t>pública</w:t>
      </w:r>
      <w:r w:rsidRPr="00916ADF">
        <w:rPr>
          <w:sz w:val="16"/>
          <w:szCs w:val="16"/>
          <w:lang w:val="es-ES_tradnl"/>
        </w:rPr>
        <w:t xml:space="preserve"> en los </w:t>
      </w:r>
      <w:r w:rsidR="001175BB" w:rsidRPr="00916ADF">
        <w:rPr>
          <w:sz w:val="16"/>
          <w:szCs w:val="16"/>
          <w:lang w:val="es-ES_tradnl"/>
        </w:rPr>
        <w:t>términos</w:t>
      </w:r>
      <w:r w:rsidRPr="00916ADF">
        <w:rPr>
          <w:sz w:val="16"/>
          <w:szCs w:val="16"/>
          <w:lang w:val="es-ES_tradnl"/>
        </w:rPr>
        <w:t xml:space="preserve"> de esta Ley. </w:t>
      </w:r>
    </w:p>
    <w:p w14:paraId="6A06B3E6" w14:textId="01BE27B6" w:rsidR="00E85107" w:rsidRPr="000029C0" w:rsidRDefault="00E85107" w:rsidP="001454E9">
      <w:pPr>
        <w:pStyle w:val="Textonotapie"/>
        <w:jc w:val="both"/>
        <w:rPr>
          <w:lang w:val="es-ES_tradnl"/>
        </w:rPr>
      </w:pPr>
      <w:r w:rsidRPr="00916ADF">
        <w:rPr>
          <w:sz w:val="16"/>
          <w:szCs w:val="16"/>
          <w:lang w:val="es-ES_tradnl"/>
        </w:rPr>
        <w:t xml:space="preserve">La </w:t>
      </w:r>
      <w:r w:rsidR="001175BB" w:rsidRPr="00916ADF">
        <w:rPr>
          <w:sz w:val="16"/>
          <w:szCs w:val="16"/>
          <w:lang w:val="es-ES_tradnl"/>
        </w:rPr>
        <w:t>obligación</w:t>
      </w:r>
      <w:r w:rsidRPr="00916ADF">
        <w:rPr>
          <w:sz w:val="16"/>
          <w:szCs w:val="16"/>
          <w:lang w:val="es-ES_tradnl"/>
        </w:rPr>
        <w:t xml:space="preserve"> de los sujetos obligados de proporcionar </w:t>
      </w:r>
      <w:r w:rsidR="001175BB" w:rsidRPr="00916ADF">
        <w:rPr>
          <w:sz w:val="16"/>
          <w:szCs w:val="16"/>
          <w:lang w:val="es-ES_tradnl"/>
        </w:rPr>
        <w:t>información</w:t>
      </w:r>
      <w:r w:rsidRPr="00916ADF">
        <w:rPr>
          <w:sz w:val="16"/>
          <w:szCs w:val="16"/>
          <w:lang w:val="es-ES_tradnl"/>
        </w:rPr>
        <w:t xml:space="preserve"> no comprende el procesamiento de la misma, ni el presentarla conforme al </w:t>
      </w:r>
      <w:r w:rsidR="001175BB" w:rsidRPr="00916ADF">
        <w:rPr>
          <w:sz w:val="16"/>
          <w:szCs w:val="16"/>
          <w:lang w:val="es-ES_tradnl"/>
        </w:rPr>
        <w:t>interés</w:t>
      </w:r>
      <w:r w:rsidRPr="00916ADF">
        <w:rPr>
          <w:sz w:val="16"/>
          <w:szCs w:val="16"/>
          <w:lang w:val="es-ES_tradnl"/>
        </w:rPr>
        <w:t xml:space="preserve"> del solicitan</w:t>
      </w:r>
      <w:r w:rsidRPr="00916ADF">
        <w:rPr>
          <w:sz w:val="16"/>
          <w:lang w:val="es-ES_tradnl"/>
        </w:rPr>
        <w:t>te</w:t>
      </w:r>
      <w:r w:rsidRPr="00E85107">
        <w:rPr>
          <w:lang w:val="es-ES_tradnl"/>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0ADFE89" w:rsidR="00A66405" w:rsidRDefault="00A66405" w:rsidP="007E5F3A">
        <w:pPr>
          <w:pStyle w:val="Encabezado"/>
          <w:jc w:val="center"/>
        </w:pPr>
        <w:r>
          <w:fldChar w:fldCharType="begin"/>
        </w:r>
        <w:r>
          <w:instrText>PAGE   \* MERGEFORMAT</w:instrText>
        </w:r>
        <w:r>
          <w:fldChar w:fldCharType="separate"/>
        </w:r>
        <w:r w:rsidR="0049342E" w:rsidRPr="0049342E">
          <w:rPr>
            <w:noProof/>
            <w:lang w:val="es-ES"/>
          </w:rPr>
          <w:t>15</w:t>
        </w:r>
        <w:r>
          <w:fldChar w:fldCharType="end"/>
        </w:r>
        <w:r>
          <w:t xml:space="preserve">                                  </w:t>
        </w:r>
      </w:p>
      <w:p w14:paraId="1F581E29" w14:textId="01B0BA07" w:rsidR="00A66405" w:rsidRDefault="00A66405" w:rsidP="007E5F3A">
        <w:pPr>
          <w:pStyle w:val="Encabezado"/>
          <w:jc w:val="right"/>
        </w:pPr>
        <w:r>
          <w:t xml:space="preserve">RECURSO DE REVISIÓN </w:t>
        </w:r>
        <w:r w:rsidR="007F3640">
          <w:t>1</w:t>
        </w:r>
        <w:r w:rsidR="00E5257B">
          <w:t>625</w:t>
        </w:r>
        <w:r w:rsidR="004D080B">
          <w:t>/</w:t>
        </w:r>
        <w:r>
          <w:t>201</w:t>
        </w:r>
        <w:r w:rsidR="00757175">
          <w:t>9</w:t>
        </w:r>
        <w:r>
          <w:t>-1</w:t>
        </w:r>
        <w:r w:rsidR="00A53CEA">
          <w:t xml:space="preserve"> </w:t>
        </w:r>
        <w:r w:rsidR="00B21CC0">
          <w:t>PLATAFORMA</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5A527EE"/>
    <w:multiLevelType w:val="hybridMultilevel"/>
    <w:tmpl w:val="61AC78E8"/>
    <w:lvl w:ilvl="0" w:tplc="AE78E6F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7836AE4"/>
    <w:multiLevelType w:val="hybridMultilevel"/>
    <w:tmpl w:val="F10E4E8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4F936FA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1"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4"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22"/>
  </w:num>
  <w:num w:numId="3">
    <w:abstractNumId w:val="5"/>
  </w:num>
  <w:num w:numId="4">
    <w:abstractNumId w:val="36"/>
  </w:num>
  <w:num w:numId="5">
    <w:abstractNumId w:val="28"/>
  </w:num>
  <w:num w:numId="6">
    <w:abstractNumId w:val="30"/>
  </w:num>
  <w:num w:numId="7">
    <w:abstractNumId w:val="6"/>
  </w:num>
  <w:num w:numId="8">
    <w:abstractNumId w:val="12"/>
  </w:num>
  <w:num w:numId="9">
    <w:abstractNumId w:val="20"/>
  </w:num>
  <w:num w:numId="10">
    <w:abstractNumId w:val="19"/>
  </w:num>
  <w:num w:numId="11">
    <w:abstractNumId w:val="34"/>
  </w:num>
  <w:num w:numId="12">
    <w:abstractNumId w:val="1"/>
  </w:num>
  <w:num w:numId="13">
    <w:abstractNumId w:val="27"/>
  </w:num>
  <w:num w:numId="14">
    <w:abstractNumId w:val="18"/>
  </w:num>
  <w:num w:numId="15">
    <w:abstractNumId w:val="25"/>
  </w:num>
  <w:num w:numId="16">
    <w:abstractNumId w:val="37"/>
  </w:num>
  <w:num w:numId="17">
    <w:abstractNumId w:val="10"/>
  </w:num>
  <w:num w:numId="18">
    <w:abstractNumId w:val="0"/>
  </w:num>
  <w:num w:numId="19">
    <w:abstractNumId w:val="26"/>
  </w:num>
  <w:num w:numId="20">
    <w:abstractNumId w:val="3"/>
  </w:num>
  <w:num w:numId="21">
    <w:abstractNumId w:val="9"/>
  </w:num>
  <w:num w:numId="22">
    <w:abstractNumId w:val="2"/>
  </w:num>
  <w:num w:numId="23">
    <w:abstractNumId w:val="32"/>
  </w:num>
  <w:num w:numId="24">
    <w:abstractNumId w:val="21"/>
  </w:num>
  <w:num w:numId="25">
    <w:abstractNumId w:val="24"/>
  </w:num>
  <w:num w:numId="26">
    <w:abstractNumId w:val="4"/>
  </w:num>
  <w:num w:numId="27">
    <w:abstractNumId w:val="13"/>
  </w:num>
  <w:num w:numId="28">
    <w:abstractNumId w:val="7"/>
  </w:num>
  <w:num w:numId="29">
    <w:abstractNumId w:val="8"/>
  </w:num>
  <w:num w:numId="30">
    <w:abstractNumId w:val="38"/>
  </w:num>
  <w:num w:numId="31">
    <w:abstractNumId w:val="35"/>
  </w:num>
  <w:num w:numId="32">
    <w:abstractNumId w:val="31"/>
  </w:num>
  <w:num w:numId="33">
    <w:abstractNumId w:val="17"/>
  </w:num>
  <w:num w:numId="34">
    <w:abstractNumId w:val="15"/>
  </w:num>
  <w:num w:numId="35">
    <w:abstractNumId w:val="29"/>
  </w:num>
  <w:num w:numId="36">
    <w:abstractNumId w:val="23"/>
  </w:num>
  <w:num w:numId="37">
    <w:abstractNumId w:val="33"/>
  </w:num>
  <w:num w:numId="38">
    <w:abstractNumId w:val="16"/>
  </w:num>
  <w:num w:numId="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9C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5A1E"/>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C24"/>
    <w:rsid w:val="00055E69"/>
    <w:rsid w:val="000603D2"/>
    <w:rsid w:val="00061DDD"/>
    <w:rsid w:val="00061F3E"/>
    <w:rsid w:val="000641C8"/>
    <w:rsid w:val="00064A61"/>
    <w:rsid w:val="0006659D"/>
    <w:rsid w:val="00066886"/>
    <w:rsid w:val="00067660"/>
    <w:rsid w:val="00070FE6"/>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3CF7"/>
    <w:rsid w:val="000D4606"/>
    <w:rsid w:val="000D6C2F"/>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5C76"/>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57D70"/>
    <w:rsid w:val="001604E7"/>
    <w:rsid w:val="00160B77"/>
    <w:rsid w:val="00160C23"/>
    <w:rsid w:val="00160D7A"/>
    <w:rsid w:val="001616E5"/>
    <w:rsid w:val="00161D63"/>
    <w:rsid w:val="00162546"/>
    <w:rsid w:val="00164CA6"/>
    <w:rsid w:val="00165DAD"/>
    <w:rsid w:val="001669A7"/>
    <w:rsid w:val="001679DC"/>
    <w:rsid w:val="00170741"/>
    <w:rsid w:val="00171533"/>
    <w:rsid w:val="0017289F"/>
    <w:rsid w:val="0017290F"/>
    <w:rsid w:val="00173389"/>
    <w:rsid w:val="00174877"/>
    <w:rsid w:val="00175163"/>
    <w:rsid w:val="00176806"/>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65"/>
    <w:rsid w:val="00196579"/>
    <w:rsid w:val="001A0953"/>
    <w:rsid w:val="001A1B21"/>
    <w:rsid w:val="001A2A61"/>
    <w:rsid w:val="001A3A03"/>
    <w:rsid w:val="001A473A"/>
    <w:rsid w:val="001A4D90"/>
    <w:rsid w:val="001A5D5A"/>
    <w:rsid w:val="001A7772"/>
    <w:rsid w:val="001B288C"/>
    <w:rsid w:val="001B2D9C"/>
    <w:rsid w:val="001B4243"/>
    <w:rsid w:val="001B4A7B"/>
    <w:rsid w:val="001B50BB"/>
    <w:rsid w:val="001B550E"/>
    <w:rsid w:val="001B7749"/>
    <w:rsid w:val="001C1864"/>
    <w:rsid w:val="001C400C"/>
    <w:rsid w:val="001C4F1E"/>
    <w:rsid w:val="001C5317"/>
    <w:rsid w:val="001C54AF"/>
    <w:rsid w:val="001C6062"/>
    <w:rsid w:val="001C7B67"/>
    <w:rsid w:val="001C7C3C"/>
    <w:rsid w:val="001D060C"/>
    <w:rsid w:val="001D13BA"/>
    <w:rsid w:val="001D24D3"/>
    <w:rsid w:val="001D2B4B"/>
    <w:rsid w:val="001D2BE8"/>
    <w:rsid w:val="001D3081"/>
    <w:rsid w:val="001D4709"/>
    <w:rsid w:val="001D4D02"/>
    <w:rsid w:val="001D5867"/>
    <w:rsid w:val="001D5BF5"/>
    <w:rsid w:val="001D6738"/>
    <w:rsid w:val="001E0E77"/>
    <w:rsid w:val="001E17C7"/>
    <w:rsid w:val="001E1ED8"/>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2185"/>
    <w:rsid w:val="0022322B"/>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3A85"/>
    <w:rsid w:val="00285876"/>
    <w:rsid w:val="002860E5"/>
    <w:rsid w:val="0028655D"/>
    <w:rsid w:val="00286C5C"/>
    <w:rsid w:val="00286D54"/>
    <w:rsid w:val="002876C0"/>
    <w:rsid w:val="002902CE"/>
    <w:rsid w:val="00291AC6"/>
    <w:rsid w:val="00292188"/>
    <w:rsid w:val="0029260E"/>
    <w:rsid w:val="002928BA"/>
    <w:rsid w:val="002946A0"/>
    <w:rsid w:val="00295FE1"/>
    <w:rsid w:val="00295FFD"/>
    <w:rsid w:val="00296541"/>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3631"/>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2F7413"/>
    <w:rsid w:val="00300F04"/>
    <w:rsid w:val="003035AD"/>
    <w:rsid w:val="00303BDF"/>
    <w:rsid w:val="003050EA"/>
    <w:rsid w:val="00305125"/>
    <w:rsid w:val="003054C7"/>
    <w:rsid w:val="003072F3"/>
    <w:rsid w:val="00310B53"/>
    <w:rsid w:val="003128D9"/>
    <w:rsid w:val="00315930"/>
    <w:rsid w:val="003177E1"/>
    <w:rsid w:val="00317D10"/>
    <w:rsid w:val="00317F94"/>
    <w:rsid w:val="00321700"/>
    <w:rsid w:val="0032181B"/>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782"/>
    <w:rsid w:val="00361DFB"/>
    <w:rsid w:val="00363AE3"/>
    <w:rsid w:val="003641AB"/>
    <w:rsid w:val="00365BBD"/>
    <w:rsid w:val="00365FF4"/>
    <w:rsid w:val="00366C8D"/>
    <w:rsid w:val="00366F3B"/>
    <w:rsid w:val="00370181"/>
    <w:rsid w:val="003715F5"/>
    <w:rsid w:val="003727A6"/>
    <w:rsid w:val="00372D34"/>
    <w:rsid w:val="0037361F"/>
    <w:rsid w:val="0037429D"/>
    <w:rsid w:val="003742DC"/>
    <w:rsid w:val="0037450E"/>
    <w:rsid w:val="00374A00"/>
    <w:rsid w:val="00374B1A"/>
    <w:rsid w:val="00374E04"/>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5A86"/>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1B98"/>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486F"/>
    <w:rsid w:val="004475C3"/>
    <w:rsid w:val="00451541"/>
    <w:rsid w:val="00451CBA"/>
    <w:rsid w:val="0045467A"/>
    <w:rsid w:val="00454FA4"/>
    <w:rsid w:val="0045652E"/>
    <w:rsid w:val="00460DFB"/>
    <w:rsid w:val="00461B02"/>
    <w:rsid w:val="004636E8"/>
    <w:rsid w:val="0046569E"/>
    <w:rsid w:val="00466AFD"/>
    <w:rsid w:val="00472090"/>
    <w:rsid w:val="00473F5F"/>
    <w:rsid w:val="004742C5"/>
    <w:rsid w:val="00475471"/>
    <w:rsid w:val="00475FF2"/>
    <w:rsid w:val="004801F0"/>
    <w:rsid w:val="0048065E"/>
    <w:rsid w:val="00480745"/>
    <w:rsid w:val="00480F0F"/>
    <w:rsid w:val="00480F7B"/>
    <w:rsid w:val="00482B04"/>
    <w:rsid w:val="00483017"/>
    <w:rsid w:val="004837F0"/>
    <w:rsid w:val="0048445E"/>
    <w:rsid w:val="00484B1D"/>
    <w:rsid w:val="00485ADC"/>
    <w:rsid w:val="004861E9"/>
    <w:rsid w:val="00487182"/>
    <w:rsid w:val="004873AC"/>
    <w:rsid w:val="004908DD"/>
    <w:rsid w:val="00490AAA"/>
    <w:rsid w:val="00491F18"/>
    <w:rsid w:val="0049219E"/>
    <w:rsid w:val="0049342E"/>
    <w:rsid w:val="00495B74"/>
    <w:rsid w:val="00495BD5"/>
    <w:rsid w:val="00496934"/>
    <w:rsid w:val="004A0892"/>
    <w:rsid w:val="004A1732"/>
    <w:rsid w:val="004A2171"/>
    <w:rsid w:val="004A2839"/>
    <w:rsid w:val="004A31B5"/>
    <w:rsid w:val="004A3822"/>
    <w:rsid w:val="004A578D"/>
    <w:rsid w:val="004A768D"/>
    <w:rsid w:val="004A7825"/>
    <w:rsid w:val="004A7B5A"/>
    <w:rsid w:val="004B09F6"/>
    <w:rsid w:val="004B0F31"/>
    <w:rsid w:val="004B2EC0"/>
    <w:rsid w:val="004B3580"/>
    <w:rsid w:val="004B3B6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AC0"/>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1A5A"/>
    <w:rsid w:val="0051323B"/>
    <w:rsid w:val="005138A0"/>
    <w:rsid w:val="00513B0E"/>
    <w:rsid w:val="00513D7A"/>
    <w:rsid w:val="00513FEA"/>
    <w:rsid w:val="00515CFC"/>
    <w:rsid w:val="00515D9F"/>
    <w:rsid w:val="005171D3"/>
    <w:rsid w:val="00517C80"/>
    <w:rsid w:val="0052120D"/>
    <w:rsid w:val="00521692"/>
    <w:rsid w:val="00523917"/>
    <w:rsid w:val="0052551F"/>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0A55"/>
    <w:rsid w:val="005A19FD"/>
    <w:rsid w:val="005A1B85"/>
    <w:rsid w:val="005A2679"/>
    <w:rsid w:val="005A36E3"/>
    <w:rsid w:val="005A3729"/>
    <w:rsid w:val="005A382A"/>
    <w:rsid w:val="005A3D47"/>
    <w:rsid w:val="005A4133"/>
    <w:rsid w:val="005A4D8B"/>
    <w:rsid w:val="005A5AB1"/>
    <w:rsid w:val="005A5AD9"/>
    <w:rsid w:val="005A648D"/>
    <w:rsid w:val="005A766F"/>
    <w:rsid w:val="005A7780"/>
    <w:rsid w:val="005B1A42"/>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FC7"/>
    <w:rsid w:val="005F32DD"/>
    <w:rsid w:val="005F35EB"/>
    <w:rsid w:val="005F382C"/>
    <w:rsid w:val="005F469A"/>
    <w:rsid w:val="005F49B3"/>
    <w:rsid w:val="005F55F0"/>
    <w:rsid w:val="005F696D"/>
    <w:rsid w:val="005F6FFB"/>
    <w:rsid w:val="0060124B"/>
    <w:rsid w:val="00602198"/>
    <w:rsid w:val="006033B5"/>
    <w:rsid w:val="006047F1"/>
    <w:rsid w:val="00604F9F"/>
    <w:rsid w:val="00606219"/>
    <w:rsid w:val="006073DF"/>
    <w:rsid w:val="006101C7"/>
    <w:rsid w:val="006118AE"/>
    <w:rsid w:val="006118B1"/>
    <w:rsid w:val="00612067"/>
    <w:rsid w:val="0061430A"/>
    <w:rsid w:val="0061495B"/>
    <w:rsid w:val="00616F4B"/>
    <w:rsid w:val="00620CA5"/>
    <w:rsid w:val="00621433"/>
    <w:rsid w:val="0062168C"/>
    <w:rsid w:val="00622D9B"/>
    <w:rsid w:val="0062536E"/>
    <w:rsid w:val="00630546"/>
    <w:rsid w:val="00630936"/>
    <w:rsid w:val="00631629"/>
    <w:rsid w:val="006334B5"/>
    <w:rsid w:val="00634179"/>
    <w:rsid w:val="00636A24"/>
    <w:rsid w:val="00636A6A"/>
    <w:rsid w:val="00637AC5"/>
    <w:rsid w:val="006416B8"/>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47B"/>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8B0"/>
    <w:rsid w:val="00684E2C"/>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4B01"/>
    <w:rsid w:val="006A699D"/>
    <w:rsid w:val="006A6E03"/>
    <w:rsid w:val="006A7089"/>
    <w:rsid w:val="006B1074"/>
    <w:rsid w:val="006B233F"/>
    <w:rsid w:val="006B2688"/>
    <w:rsid w:val="006B34E7"/>
    <w:rsid w:val="006B5647"/>
    <w:rsid w:val="006B564B"/>
    <w:rsid w:val="006B7996"/>
    <w:rsid w:val="006B7E1C"/>
    <w:rsid w:val="006C1939"/>
    <w:rsid w:val="006C1D5F"/>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1971"/>
    <w:rsid w:val="006F26B4"/>
    <w:rsid w:val="006F35C8"/>
    <w:rsid w:val="006F5037"/>
    <w:rsid w:val="006F5E9A"/>
    <w:rsid w:val="006F6EDD"/>
    <w:rsid w:val="006F714A"/>
    <w:rsid w:val="006F7D6A"/>
    <w:rsid w:val="00700086"/>
    <w:rsid w:val="0070153D"/>
    <w:rsid w:val="00702108"/>
    <w:rsid w:val="00703A06"/>
    <w:rsid w:val="00705C1A"/>
    <w:rsid w:val="0070687A"/>
    <w:rsid w:val="00710017"/>
    <w:rsid w:val="00711241"/>
    <w:rsid w:val="00712839"/>
    <w:rsid w:val="00712FB4"/>
    <w:rsid w:val="00713445"/>
    <w:rsid w:val="00713B3B"/>
    <w:rsid w:val="00714196"/>
    <w:rsid w:val="00715CEA"/>
    <w:rsid w:val="00716CC0"/>
    <w:rsid w:val="00717216"/>
    <w:rsid w:val="00717599"/>
    <w:rsid w:val="00720626"/>
    <w:rsid w:val="007211BD"/>
    <w:rsid w:val="00721576"/>
    <w:rsid w:val="00722BBB"/>
    <w:rsid w:val="00723B08"/>
    <w:rsid w:val="00723CF2"/>
    <w:rsid w:val="007241E1"/>
    <w:rsid w:val="00726830"/>
    <w:rsid w:val="00727354"/>
    <w:rsid w:val="00727965"/>
    <w:rsid w:val="00730140"/>
    <w:rsid w:val="0073139A"/>
    <w:rsid w:val="0073157A"/>
    <w:rsid w:val="00731B85"/>
    <w:rsid w:val="007326CA"/>
    <w:rsid w:val="0073360E"/>
    <w:rsid w:val="007357A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57175"/>
    <w:rsid w:val="00760A62"/>
    <w:rsid w:val="00761371"/>
    <w:rsid w:val="00762583"/>
    <w:rsid w:val="007633E8"/>
    <w:rsid w:val="00763639"/>
    <w:rsid w:val="00764E45"/>
    <w:rsid w:val="00765DA2"/>
    <w:rsid w:val="0076602B"/>
    <w:rsid w:val="00766F46"/>
    <w:rsid w:val="0077067C"/>
    <w:rsid w:val="00771282"/>
    <w:rsid w:val="00772DF6"/>
    <w:rsid w:val="007749D2"/>
    <w:rsid w:val="00774B90"/>
    <w:rsid w:val="007753D8"/>
    <w:rsid w:val="00777A74"/>
    <w:rsid w:val="00777E95"/>
    <w:rsid w:val="007800F4"/>
    <w:rsid w:val="007806DB"/>
    <w:rsid w:val="007822EA"/>
    <w:rsid w:val="007842E7"/>
    <w:rsid w:val="00784375"/>
    <w:rsid w:val="00784EE3"/>
    <w:rsid w:val="00785B24"/>
    <w:rsid w:val="00785C76"/>
    <w:rsid w:val="00786E8B"/>
    <w:rsid w:val="00787218"/>
    <w:rsid w:val="00787443"/>
    <w:rsid w:val="007875E0"/>
    <w:rsid w:val="00787FA1"/>
    <w:rsid w:val="007905D4"/>
    <w:rsid w:val="00790636"/>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0852"/>
    <w:rsid w:val="007F1534"/>
    <w:rsid w:val="007F2E17"/>
    <w:rsid w:val="007F3640"/>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1E71"/>
    <w:rsid w:val="00822482"/>
    <w:rsid w:val="008231A0"/>
    <w:rsid w:val="008247E0"/>
    <w:rsid w:val="008250DA"/>
    <w:rsid w:val="008278EC"/>
    <w:rsid w:val="00827B1C"/>
    <w:rsid w:val="00827E5A"/>
    <w:rsid w:val="00827ED6"/>
    <w:rsid w:val="008307CA"/>
    <w:rsid w:val="00831D47"/>
    <w:rsid w:val="0083211B"/>
    <w:rsid w:val="008326FC"/>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2BA"/>
    <w:rsid w:val="008609C7"/>
    <w:rsid w:val="00860D39"/>
    <w:rsid w:val="00860FA5"/>
    <w:rsid w:val="00861D26"/>
    <w:rsid w:val="00862130"/>
    <w:rsid w:val="00862BF2"/>
    <w:rsid w:val="00863104"/>
    <w:rsid w:val="00864D33"/>
    <w:rsid w:val="0086514F"/>
    <w:rsid w:val="00865425"/>
    <w:rsid w:val="0086766F"/>
    <w:rsid w:val="00871C0D"/>
    <w:rsid w:val="00872473"/>
    <w:rsid w:val="0087692F"/>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3F4D"/>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9FE"/>
    <w:rsid w:val="00906E32"/>
    <w:rsid w:val="00907D72"/>
    <w:rsid w:val="0091068B"/>
    <w:rsid w:val="00912170"/>
    <w:rsid w:val="00912EB3"/>
    <w:rsid w:val="009131AA"/>
    <w:rsid w:val="0091378D"/>
    <w:rsid w:val="00914AB6"/>
    <w:rsid w:val="00916ADF"/>
    <w:rsid w:val="009212D1"/>
    <w:rsid w:val="00922508"/>
    <w:rsid w:val="00922915"/>
    <w:rsid w:val="00922BEC"/>
    <w:rsid w:val="00923428"/>
    <w:rsid w:val="0092495A"/>
    <w:rsid w:val="00925220"/>
    <w:rsid w:val="0092679D"/>
    <w:rsid w:val="00926CE2"/>
    <w:rsid w:val="00927BD8"/>
    <w:rsid w:val="00931413"/>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3D0B"/>
    <w:rsid w:val="00954000"/>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782A"/>
    <w:rsid w:val="00980382"/>
    <w:rsid w:val="0098231B"/>
    <w:rsid w:val="0098251A"/>
    <w:rsid w:val="00982C87"/>
    <w:rsid w:val="00983202"/>
    <w:rsid w:val="009839A2"/>
    <w:rsid w:val="00983FC2"/>
    <w:rsid w:val="0098526E"/>
    <w:rsid w:val="00985BDF"/>
    <w:rsid w:val="00985CD5"/>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082"/>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24A8"/>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893"/>
    <w:rsid w:val="00A02F9C"/>
    <w:rsid w:val="00A045EC"/>
    <w:rsid w:val="00A04A3C"/>
    <w:rsid w:val="00A07C02"/>
    <w:rsid w:val="00A110A3"/>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27F5C"/>
    <w:rsid w:val="00A35AC9"/>
    <w:rsid w:val="00A3655A"/>
    <w:rsid w:val="00A369D3"/>
    <w:rsid w:val="00A37920"/>
    <w:rsid w:val="00A40783"/>
    <w:rsid w:val="00A410AA"/>
    <w:rsid w:val="00A416CD"/>
    <w:rsid w:val="00A42E17"/>
    <w:rsid w:val="00A4457B"/>
    <w:rsid w:val="00A44CD7"/>
    <w:rsid w:val="00A457E5"/>
    <w:rsid w:val="00A46BD1"/>
    <w:rsid w:val="00A47E09"/>
    <w:rsid w:val="00A47F17"/>
    <w:rsid w:val="00A5019A"/>
    <w:rsid w:val="00A53953"/>
    <w:rsid w:val="00A53CEA"/>
    <w:rsid w:val="00A53D13"/>
    <w:rsid w:val="00A53E5A"/>
    <w:rsid w:val="00A53FBD"/>
    <w:rsid w:val="00A54656"/>
    <w:rsid w:val="00A56171"/>
    <w:rsid w:val="00A573B4"/>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775B2"/>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05AC"/>
    <w:rsid w:val="00AA2B12"/>
    <w:rsid w:val="00AA305C"/>
    <w:rsid w:val="00AA5CCF"/>
    <w:rsid w:val="00AA7625"/>
    <w:rsid w:val="00AA7BDA"/>
    <w:rsid w:val="00AB021D"/>
    <w:rsid w:val="00AB2B1C"/>
    <w:rsid w:val="00AB30D8"/>
    <w:rsid w:val="00AB4C4F"/>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D769F"/>
    <w:rsid w:val="00AE01EB"/>
    <w:rsid w:val="00AE2B49"/>
    <w:rsid w:val="00AE2FD1"/>
    <w:rsid w:val="00AE3199"/>
    <w:rsid w:val="00AE3DCD"/>
    <w:rsid w:val="00AE3E3A"/>
    <w:rsid w:val="00AE41FF"/>
    <w:rsid w:val="00AE4340"/>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35B4"/>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1CC0"/>
    <w:rsid w:val="00B2258F"/>
    <w:rsid w:val="00B23B36"/>
    <w:rsid w:val="00B23F7C"/>
    <w:rsid w:val="00B25155"/>
    <w:rsid w:val="00B25A01"/>
    <w:rsid w:val="00B25FD1"/>
    <w:rsid w:val="00B2692D"/>
    <w:rsid w:val="00B27D30"/>
    <w:rsid w:val="00B27E43"/>
    <w:rsid w:val="00B324B8"/>
    <w:rsid w:val="00B328FB"/>
    <w:rsid w:val="00B3336E"/>
    <w:rsid w:val="00B33FD6"/>
    <w:rsid w:val="00B34B1F"/>
    <w:rsid w:val="00B353A5"/>
    <w:rsid w:val="00B37048"/>
    <w:rsid w:val="00B37639"/>
    <w:rsid w:val="00B37C1C"/>
    <w:rsid w:val="00B400A9"/>
    <w:rsid w:val="00B4188F"/>
    <w:rsid w:val="00B41A22"/>
    <w:rsid w:val="00B42B0A"/>
    <w:rsid w:val="00B42C37"/>
    <w:rsid w:val="00B43B45"/>
    <w:rsid w:val="00B45C8A"/>
    <w:rsid w:val="00B469F5"/>
    <w:rsid w:val="00B479B1"/>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87F75"/>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217"/>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50"/>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4128"/>
    <w:rsid w:val="00C24589"/>
    <w:rsid w:val="00C25993"/>
    <w:rsid w:val="00C262CC"/>
    <w:rsid w:val="00C27EF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68"/>
    <w:rsid w:val="00C523B3"/>
    <w:rsid w:val="00C52EAF"/>
    <w:rsid w:val="00C53225"/>
    <w:rsid w:val="00C533B8"/>
    <w:rsid w:val="00C53BBE"/>
    <w:rsid w:val="00C550D6"/>
    <w:rsid w:val="00C552AA"/>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75835"/>
    <w:rsid w:val="00C758B5"/>
    <w:rsid w:val="00C80D19"/>
    <w:rsid w:val="00C80E62"/>
    <w:rsid w:val="00C81E91"/>
    <w:rsid w:val="00C83785"/>
    <w:rsid w:val="00C85D81"/>
    <w:rsid w:val="00C8633A"/>
    <w:rsid w:val="00C86DC0"/>
    <w:rsid w:val="00C87388"/>
    <w:rsid w:val="00C90BF6"/>
    <w:rsid w:val="00C92FD4"/>
    <w:rsid w:val="00C95386"/>
    <w:rsid w:val="00C95DCE"/>
    <w:rsid w:val="00C95E93"/>
    <w:rsid w:val="00C97D15"/>
    <w:rsid w:val="00CA0881"/>
    <w:rsid w:val="00CA0D0B"/>
    <w:rsid w:val="00CA0E99"/>
    <w:rsid w:val="00CA0F2E"/>
    <w:rsid w:val="00CA1703"/>
    <w:rsid w:val="00CA2E96"/>
    <w:rsid w:val="00CA366F"/>
    <w:rsid w:val="00CA432B"/>
    <w:rsid w:val="00CA51FC"/>
    <w:rsid w:val="00CA5B46"/>
    <w:rsid w:val="00CA749B"/>
    <w:rsid w:val="00CA795F"/>
    <w:rsid w:val="00CA7C1E"/>
    <w:rsid w:val="00CB029F"/>
    <w:rsid w:val="00CB0593"/>
    <w:rsid w:val="00CB0626"/>
    <w:rsid w:val="00CB06F1"/>
    <w:rsid w:val="00CB3DF9"/>
    <w:rsid w:val="00CB4246"/>
    <w:rsid w:val="00CB636A"/>
    <w:rsid w:val="00CB6AEF"/>
    <w:rsid w:val="00CB769A"/>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17C0B"/>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0B5"/>
    <w:rsid w:val="00D34F67"/>
    <w:rsid w:val="00D37D1F"/>
    <w:rsid w:val="00D40023"/>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5E2"/>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51D"/>
    <w:rsid w:val="00DC2F1E"/>
    <w:rsid w:val="00DC38FB"/>
    <w:rsid w:val="00DC55B4"/>
    <w:rsid w:val="00DC60A5"/>
    <w:rsid w:val="00DD211A"/>
    <w:rsid w:val="00DD3536"/>
    <w:rsid w:val="00DD39F7"/>
    <w:rsid w:val="00DD498E"/>
    <w:rsid w:val="00DD54D0"/>
    <w:rsid w:val="00DD798D"/>
    <w:rsid w:val="00DE03AC"/>
    <w:rsid w:val="00DE05E5"/>
    <w:rsid w:val="00DE1B67"/>
    <w:rsid w:val="00DE288E"/>
    <w:rsid w:val="00DE298C"/>
    <w:rsid w:val="00DE49E2"/>
    <w:rsid w:val="00DE68EE"/>
    <w:rsid w:val="00DE740A"/>
    <w:rsid w:val="00DE7AF1"/>
    <w:rsid w:val="00DE7FBA"/>
    <w:rsid w:val="00DF0DCC"/>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2740"/>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AB0"/>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257B"/>
    <w:rsid w:val="00E534AD"/>
    <w:rsid w:val="00E544A0"/>
    <w:rsid w:val="00E55338"/>
    <w:rsid w:val="00E55371"/>
    <w:rsid w:val="00E5567F"/>
    <w:rsid w:val="00E5583B"/>
    <w:rsid w:val="00E56676"/>
    <w:rsid w:val="00E570A6"/>
    <w:rsid w:val="00E60A11"/>
    <w:rsid w:val="00E60E11"/>
    <w:rsid w:val="00E612A0"/>
    <w:rsid w:val="00E619F4"/>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3AD4"/>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B1A"/>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40B"/>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6CE2"/>
    <w:rsid w:val="00F27372"/>
    <w:rsid w:val="00F27575"/>
    <w:rsid w:val="00F30472"/>
    <w:rsid w:val="00F30F32"/>
    <w:rsid w:val="00F32542"/>
    <w:rsid w:val="00F328BF"/>
    <w:rsid w:val="00F33E15"/>
    <w:rsid w:val="00F35358"/>
    <w:rsid w:val="00F35C21"/>
    <w:rsid w:val="00F36033"/>
    <w:rsid w:val="00F37A3D"/>
    <w:rsid w:val="00F40A78"/>
    <w:rsid w:val="00F4121A"/>
    <w:rsid w:val="00F42CB9"/>
    <w:rsid w:val="00F42F06"/>
    <w:rsid w:val="00F43CC6"/>
    <w:rsid w:val="00F45243"/>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F5B"/>
    <w:rsid w:val="00F74290"/>
    <w:rsid w:val="00F74686"/>
    <w:rsid w:val="00F752F0"/>
    <w:rsid w:val="00F75EB3"/>
    <w:rsid w:val="00F8066D"/>
    <w:rsid w:val="00F82B31"/>
    <w:rsid w:val="00F82C72"/>
    <w:rsid w:val="00F83753"/>
    <w:rsid w:val="00F8644A"/>
    <w:rsid w:val="00F87A36"/>
    <w:rsid w:val="00F90C62"/>
    <w:rsid w:val="00F90DCD"/>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3B"/>
    <w:rsid w:val="00FA24C2"/>
    <w:rsid w:val="00FA2544"/>
    <w:rsid w:val="00FA27E8"/>
    <w:rsid w:val="00FA2C72"/>
    <w:rsid w:val="00FA3B7A"/>
    <w:rsid w:val="00FA3D70"/>
    <w:rsid w:val="00FA5CFC"/>
    <w:rsid w:val="00FA6157"/>
    <w:rsid w:val="00FA7C8B"/>
    <w:rsid w:val="00FB0B7E"/>
    <w:rsid w:val="00FB2238"/>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30936"/>
    <w:rPr>
      <w:color w:val="800080" w:themeColor="followedHyperlink"/>
      <w:u w:val="single"/>
    </w:rPr>
  </w:style>
  <w:style w:type="character" w:customStyle="1" w:styleId="UnresolvedMention">
    <w:name w:val="Unresolved Mention"/>
    <w:basedOn w:val="Fuentedeprrafopredeter"/>
    <w:uiPriority w:val="99"/>
    <w:semiHidden/>
    <w:unhideWhenUsed/>
    <w:rsid w:val="00A50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753888-9EA2-4768-B7BA-EAC3A41E9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15</Pages>
  <Words>3240</Words>
  <Characters>17822</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5</cp:revision>
  <cp:lastPrinted>2019-08-30T17:31:00Z</cp:lastPrinted>
  <dcterms:created xsi:type="dcterms:W3CDTF">2020-04-20T21:04:00Z</dcterms:created>
  <dcterms:modified xsi:type="dcterms:W3CDTF">2020-08-10T00:41:00Z</dcterms:modified>
</cp:coreProperties>
</file>