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0DA" w:rsidRPr="00272F28" w:rsidRDefault="007240DA" w:rsidP="007240DA">
      <w:pPr>
        <w:spacing w:before="240" w:after="120"/>
        <w:jc w:val="both"/>
        <w:rPr>
          <w:lang w:val="es-MX"/>
        </w:rPr>
      </w:pPr>
      <w:r w:rsidRPr="00272F28">
        <w:rPr>
          <w:b/>
          <w:lang w:val="es-MX"/>
        </w:rPr>
        <w:t xml:space="preserve">Comisionada Presidente Paulina Sánchez Pérez del Pozo: </w:t>
      </w:r>
      <w:r w:rsidRPr="00272F28">
        <w:rPr>
          <w:lang w:val="es-MX"/>
        </w:rPr>
        <w:t>Pues bien, al respecto realizo la siguiente propuesta:</w:t>
      </w:r>
    </w:p>
    <w:p w:rsidR="007240DA" w:rsidRPr="00272F28" w:rsidRDefault="007240DA" w:rsidP="007240DA">
      <w:pPr>
        <w:spacing w:before="240" w:after="120"/>
        <w:ind w:left="708" w:hanging="708"/>
        <w:jc w:val="both"/>
        <w:rPr>
          <w:lang w:val="es-MX"/>
        </w:rPr>
      </w:pPr>
      <w:r w:rsidRPr="00272F28">
        <w:rPr>
          <w:lang w:val="es-MX"/>
        </w:rPr>
        <w:t>1.- Aprobar la primera verif</w:t>
      </w:r>
      <w:r>
        <w:rPr>
          <w:lang w:val="es-MX"/>
        </w:rPr>
        <w:t>icación relativa al periodo 2020</w:t>
      </w:r>
      <w:r w:rsidRPr="00272F28">
        <w:rPr>
          <w:lang w:val="es-MX"/>
        </w:rPr>
        <w:t xml:space="preserve">, de los sujetos obligados mencionados con antelación. </w:t>
      </w:r>
    </w:p>
    <w:p w:rsidR="007240DA" w:rsidRPr="00272F28" w:rsidRDefault="007240DA" w:rsidP="007240DA">
      <w:pPr>
        <w:spacing w:before="240" w:after="120"/>
        <w:ind w:left="708" w:hanging="708"/>
        <w:jc w:val="both"/>
        <w:rPr>
          <w:lang w:val="es-MX"/>
        </w:rPr>
      </w:pPr>
      <w:r w:rsidRPr="00272F28">
        <w:rPr>
          <w:lang w:val="es-MX"/>
        </w:rPr>
        <w:t>2.- Notificar a los citados sujetos los resultados de la verificación que se reporta.</w:t>
      </w:r>
    </w:p>
    <w:p w:rsidR="007240DA" w:rsidRPr="00272F28" w:rsidRDefault="007240DA" w:rsidP="007240DA">
      <w:pPr>
        <w:jc w:val="both"/>
        <w:rPr>
          <w:lang w:val="es-MX"/>
        </w:rPr>
      </w:pPr>
      <w:r w:rsidRPr="00272F28">
        <w:rPr>
          <w:lang w:val="es-MX"/>
        </w:rPr>
        <w:t xml:space="preserve">Ahora bien, toda vez que ninguno de los sujetos obligados cumple con la calificación mínima aprobatoria de 90% </w:t>
      </w:r>
      <w:r w:rsidRPr="00272F28">
        <w:rPr>
          <w:sz w:val="20"/>
          <w:lang w:val="es-MX"/>
        </w:rPr>
        <w:t xml:space="preserve">(porcentaje que se estableció para las verificaciones de 2019 a través del acuerdo de Pleno </w:t>
      </w:r>
      <w:r w:rsidRPr="00272F28">
        <w:rPr>
          <w:spacing w:val="2"/>
          <w:sz w:val="20"/>
        </w:rPr>
        <w:t xml:space="preserve">CEGAIP-175/2019 en el que se aprobó la reforma </w:t>
      </w:r>
      <w:r w:rsidRPr="00272F28">
        <w:rPr>
          <w:sz w:val="20"/>
          <w:lang w:val="es-MX"/>
        </w:rPr>
        <w:t xml:space="preserve">del </w:t>
      </w:r>
      <w:r w:rsidRPr="00272F28">
        <w:rPr>
          <w:sz w:val="20"/>
        </w:rPr>
        <w:t>Lineamiento Décimo Segundo inciso e), de los Lineamientos Estatales para la Difusión, Disposición y Evaluación de las Obligaciones de Transparencia Comunes y Específicas)</w:t>
      </w:r>
      <w:r w:rsidRPr="00272F28">
        <w:rPr>
          <w:lang w:val="es-MX"/>
        </w:rPr>
        <w:t xml:space="preserve"> propongo:</w:t>
      </w:r>
    </w:p>
    <w:p w:rsidR="007240DA" w:rsidRPr="005E3D0B" w:rsidRDefault="007240DA" w:rsidP="007240DA">
      <w:pPr>
        <w:ind w:left="708" w:hanging="708"/>
        <w:jc w:val="both"/>
        <w:rPr>
          <w:highlight w:val="yellow"/>
          <w:lang w:val="es-MX"/>
        </w:rPr>
      </w:pPr>
    </w:p>
    <w:p w:rsidR="007240DA" w:rsidRPr="00272F28" w:rsidRDefault="007240DA" w:rsidP="007240DA">
      <w:pPr>
        <w:jc w:val="both"/>
        <w:rPr>
          <w:lang w:val="es-MX"/>
        </w:rPr>
      </w:pPr>
      <w:r w:rsidRPr="00272F28">
        <w:rPr>
          <w:lang w:val="es-MX"/>
        </w:rPr>
        <w:t xml:space="preserve">3.- Requerir a los sujetos obligados mencionados con antelación, para que subsanen las inconsistencias detectadas en la verificación, en un plazo no mayor a 20 veinte días hábiles contados a partir de la notificación de la verificación, y una vez vencido este plazo, esta </w:t>
      </w:r>
      <w:r w:rsidRPr="00272F28">
        <w:t>CEGAIP verificará la publicación de las obligaciones de transparencia.</w:t>
      </w:r>
    </w:p>
    <w:p w:rsidR="007240DA" w:rsidRPr="005E3D0B" w:rsidRDefault="007240DA" w:rsidP="007240DA">
      <w:pPr>
        <w:ind w:left="708" w:hanging="708"/>
        <w:jc w:val="both"/>
        <w:rPr>
          <w:highlight w:val="yellow"/>
          <w:lang w:val="es-MX"/>
        </w:rPr>
      </w:pPr>
    </w:p>
    <w:p w:rsidR="007240DA" w:rsidRPr="00272F28" w:rsidRDefault="007240DA" w:rsidP="007240DA">
      <w:pPr>
        <w:tabs>
          <w:tab w:val="left" w:pos="851"/>
        </w:tabs>
        <w:jc w:val="both"/>
      </w:pPr>
      <w:r w:rsidRPr="00272F28">
        <w:rPr>
          <w:lang w:val="es-MX"/>
        </w:rPr>
        <w:t xml:space="preserve">4.- Apercibir a los referidos sujetos obligados, en el sentido de que de no alcanzar la calificación mínima aprobatoria del 90% de cumplimiento en la verificación que se realice por parte de esta Comisión, se </w:t>
      </w:r>
      <w:r w:rsidRPr="00272F28">
        <w:t>le notificará tal circunstancia por conducto de la Unidad de Transparencia, al superior jerárquico del servidor público responsable de dar cumplimiento, para el efecto de que, en un plazo no mayor a 05 cinco días, se dé cumplimiento a los requerimientos del dictamen.</w:t>
      </w:r>
    </w:p>
    <w:p w:rsidR="007240DA" w:rsidRPr="00272F28" w:rsidRDefault="007240DA" w:rsidP="007240DA">
      <w:pPr>
        <w:ind w:left="708" w:hanging="708"/>
        <w:jc w:val="both"/>
      </w:pPr>
    </w:p>
    <w:p w:rsidR="007240DA" w:rsidRPr="00272F28" w:rsidRDefault="007240DA" w:rsidP="007240DA">
      <w:pPr>
        <w:jc w:val="both"/>
        <w:rPr>
          <w:lang w:val="es-MX"/>
        </w:rPr>
      </w:pPr>
      <w:r w:rsidRPr="00272F28">
        <w:rPr>
          <w:lang w:val="es-MX"/>
        </w:rPr>
        <w:t>Todo lo anterior, con fundamento en el artículo 101 de la Ley de Transparencia y Acceso a la Información Pública.</w:t>
      </w:r>
    </w:p>
    <w:p w:rsidR="007240DA" w:rsidRPr="00272F28" w:rsidRDefault="007240DA" w:rsidP="007240DA">
      <w:pPr>
        <w:spacing w:before="240" w:after="120"/>
        <w:ind w:left="708" w:hanging="708"/>
        <w:jc w:val="both"/>
      </w:pPr>
      <w:r w:rsidRPr="00272F28">
        <w:t>Se somete a la consideración del Pleno la propuesta de la Comisionada Presidente:</w:t>
      </w:r>
    </w:p>
    <w:p w:rsidR="007240DA" w:rsidRPr="00272F28" w:rsidRDefault="007240DA" w:rsidP="007240DA">
      <w:pPr>
        <w:spacing w:before="100" w:beforeAutospacing="1" w:after="100" w:afterAutospacing="1"/>
        <w:ind w:left="708" w:hanging="708"/>
        <w:jc w:val="both"/>
        <w:rPr>
          <w:spacing w:val="2"/>
        </w:rPr>
      </w:pPr>
      <w:r w:rsidRPr="00272F28">
        <w:rPr>
          <w:b/>
          <w:spacing w:val="2"/>
        </w:rPr>
        <w:t>Comisionado Alejandro Lafuente Torres:</w:t>
      </w:r>
      <w:r w:rsidRPr="00272F28">
        <w:rPr>
          <w:spacing w:val="2"/>
        </w:rPr>
        <w:t xml:space="preserve"> A favor.</w:t>
      </w:r>
    </w:p>
    <w:p w:rsidR="007240DA" w:rsidRPr="00272F28" w:rsidRDefault="007240DA" w:rsidP="007240DA">
      <w:pPr>
        <w:spacing w:before="100" w:beforeAutospacing="1" w:after="100" w:afterAutospacing="1"/>
        <w:ind w:left="708" w:hanging="708"/>
        <w:jc w:val="both"/>
        <w:rPr>
          <w:spacing w:val="2"/>
        </w:rPr>
      </w:pPr>
      <w:proofErr w:type="spellStart"/>
      <w:r w:rsidRPr="00272F28">
        <w:rPr>
          <w:b/>
          <w:spacing w:val="2"/>
        </w:rPr>
        <w:t>Mariajosé</w:t>
      </w:r>
      <w:proofErr w:type="spellEnd"/>
      <w:r w:rsidRPr="00272F28">
        <w:rPr>
          <w:b/>
          <w:spacing w:val="2"/>
        </w:rPr>
        <w:t xml:space="preserve"> González Zarzosa, Comisionada:</w:t>
      </w:r>
      <w:r w:rsidRPr="00272F28">
        <w:rPr>
          <w:spacing w:val="2"/>
        </w:rPr>
        <w:t xml:space="preserve"> A favor. </w:t>
      </w:r>
    </w:p>
    <w:p w:rsidR="007240DA" w:rsidRPr="00272F28" w:rsidRDefault="007240DA" w:rsidP="007240DA">
      <w:pPr>
        <w:jc w:val="both"/>
        <w:rPr>
          <w:spacing w:val="2"/>
        </w:rPr>
      </w:pPr>
      <w:r w:rsidRPr="00272F28">
        <w:rPr>
          <w:spacing w:val="2"/>
        </w:rPr>
        <w:t xml:space="preserve">En consecuencia, con número de acuerdo </w:t>
      </w:r>
      <w:r w:rsidRPr="00272F28">
        <w:rPr>
          <w:b/>
          <w:spacing w:val="2"/>
        </w:rPr>
        <w:t>CEGAIP-</w:t>
      </w:r>
      <w:r>
        <w:rPr>
          <w:b/>
          <w:spacing w:val="2"/>
        </w:rPr>
        <w:t>312</w:t>
      </w:r>
      <w:r w:rsidRPr="00272F28">
        <w:rPr>
          <w:b/>
          <w:spacing w:val="2"/>
        </w:rPr>
        <w:t>/20</w:t>
      </w:r>
      <w:r>
        <w:rPr>
          <w:b/>
          <w:spacing w:val="2"/>
        </w:rPr>
        <w:t>20</w:t>
      </w:r>
      <w:r w:rsidRPr="00272F28">
        <w:rPr>
          <w:b/>
          <w:spacing w:val="2"/>
        </w:rPr>
        <w:t>,</w:t>
      </w:r>
      <w:r w:rsidRPr="00272F28">
        <w:rPr>
          <w:spacing w:val="2"/>
        </w:rPr>
        <w:t xml:space="preserve"> se aprueba por </w:t>
      </w:r>
      <w:r w:rsidRPr="00272F28">
        <w:rPr>
          <w:b/>
          <w:spacing w:val="2"/>
        </w:rPr>
        <w:t xml:space="preserve">Unanimidad de Votos </w:t>
      </w:r>
      <w:r w:rsidRPr="00272F28">
        <w:rPr>
          <w:spacing w:val="2"/>
        </w:rPr>
        <w:t>lo siguiente:</w:t>
      </w:r>
    </w:p>
    <w:p w:rsidR="007240DA" w:rsidRDefault="007240DA" w:rsidP="007240DA">
      <w:pPr>
        <w:spacing w:before="240" w:after="120"/>
        <w:ind w:left="708" w:hanging="708"/>
        <w:jc w:val="both"/>
        <w:rPr>
          <w:lang w:val="es-MX"/>
        </w:rPr>
      </w:pPr>
      <w:r w:rsidRPr="00272F28">
        <w:rPr>
          <w:lang w:val="es-MX"/>
        </w:rPr>
        <w:t>1.- Aprobar la primera verificación relativa al periodo 20</w:t>
      </w:r>
      <w:r>
        <w:rPr>
          <w:lang w:val="es-MX"/>
        </w:rPr>
        <w:t>20</w:t>
      </w:r>
      <w:r w:rsidRPr="00272F28">
        <w:rPr>
          <w:lang w:val="es-MX"/>
        </w:rPr>
        <w:t>, de los sujetos obligados:</w:t>
      </w:r>
    </w:p>
    <w:tbl>
      <w:tblPr>
        <w:tblStyle w:val="Tablaconcuadrcula"/>
        <w:tblpPr w:leftFromText="141" w:rightFromText="141" w:vertAnchor="text" w:tblpY="1"/>
        <w:tblOverlap w:val="never"/>
        <w:tblW w:w="8642" w:type="dxa"/>
        <w:tblLook w:val="04A0" w:firstRow="1" w:lastRow="0" w:firstColumn="1" w:lastColumn="0" w:noHBand="0" w:noVBand="1"/>
      </w:tblPr>
      <w:tblGrid>
        <w:gridCol w:w="8642"/>
      </w:tblGrid>
      <w:tr w:rsidR="007240DA" w:rsidRPr="003E6C64" w:rsidTr="000E6D70">
        <w:trPr>
          <w:trHeight w:val="4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Instituto de Migración y Enlace Internacional </w:t>
            </w:r>
          </w:p>
        </w:tc>
      </w:tr>
      <w:tr w:rsidR="007240DA" w:rsidRPr="003E6C64" w:rsidTr="000E6D70">
        <w:trPr>
          <w:trHeight w:val="9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Archivo Histórico “Lic. Antonio Rocha Cordero”</w:t>
            </w:r>
          </w:p>
        </w:tc>
      </w:tr>
      <w:tr w:rsidR="007240DA" w:rsidRPr="003E6C64" w:rsidTr="000E6D70">
        <w:trPr>
          <w:trHeight w:val="9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Museo Federico Silva</w:t>
            </w:r>
          </w:p>
        </w:tc>
      </w:tr>
      <w:tr w:rsidR="007240DA" w:rsidRPr="003E6C64" w:rsidTr="000E6D70">
        <w:trPr>
          <w:trHeight w:val="9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Ayuntamiento de Villa de Arriaga</w:t>
            </w:r>
          </w:p>
        </w:tc>
      </w:tr>
      <w:tr w:rsidR="007240DA" w:rsidRPr="003E6C64" w:rsidTr="000E6D70">
        <w:trPr>
          <w:trHeight w:val="9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Tribunal Estatal de Conciliación y Arbitraje</w:t>
            </w:r>
          </w:p>
        </w:tc>
      </w:tr>
      <w:tr w:rsidR="007240DA" w:rsidRPr="003E6C64" w:rsidTr="000E6D70">
        <w:trPr>
          <w:trHeight w:val="9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Partido de la Revolución Democrática</w:t>
            </w:r>
          </w:p>
        </w:tc>
      </w:tr>
      <w:tr w:rsidR="007240DA" w:rsidRPr="003E6C64" w:rsidTr="000E6D70">
        <w:trPr>
          <w:trHeight w:val="9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Partido Movimiento Ciudadano</w:t>
            </w:r>
          </w:p>
        </w:tc>
      </w:tr>
      <w:tr w:rsidR="007240DA" w:rsidRPr="003E6C64" w:rsidTr="000E6D70">
        <w:trPr>
          <w:trHeight w:val="12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lastRenderedPageBreak/>
              <w:t>Ayuntamiento de Santo Domingo</w:t>
            </w:r>
          </w:p>
        </w:tc>
      </w:tr>
      <w:tr w:rsidR="007240DA" w:rsidRPr="003E6C64" w:rsidTr="000E6D70">
        <w:trPr>
          <w:trHeight w:val="12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Sistema Municipal para el Desarrollo Integral de la Familia de Charcas</w:t>
            </w:r>
          </w:p>
        </w:tc>
      </w:tr>
      <w:tr w:rsidR="007240DA" w:rsidRPr="003E6C64" w:rsidTr="000E6D70">
        <w:trPr>
          <w:trHeight w:val="12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Sistema Municipal para el Desarrollo Integral de la Familia de </w:t>
            </w:r>
            <w:proofErr w:type="spellStart"/>
            <w:r w:rsidRPr="003E6C64">
              <w:rPr>
                <w:sz w:val="22"/>
                <w:szCs w:val="22"/>
              </w:rPr>
              <w:t>Mexquitic</w:t>
            </w:r>
            <w:proofErr w:type="spellEnd"/>
            <w:r w:rsidRPr="003E6C64">
              <w:rPr>
                <w:sz w:val="22"/>
                <w:szCs w:val="22"/>
              </w:rPr>
              <w:t xml:space="preserve"> de Carmona</w:t>
            </w:r>
          </w:p>
        </w:tc>
      </w:tr>
      <w:tr w:rsidR="007240DA" w:rsidRPr="003E6C64" w:rsidTr="000E6D70">
        <w:trPr>
          <w:trHeight w:val="12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Sistema Municipal para el Desarrollo Integral de la Familia de Rayón 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Sindicato de Trabajadores al Servicio del Ayuntamiento de Cerritos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Sindicato de Trabajadores al Servicio del Ayuntamiento de San Luis Potosí</w:t>
            </w:r>
          </w:p>
        </w:tc>
      </w:tr>
      <w:tr w:rsidR="007240DA" w:rsidRPr="003E6C64" w:rsidTr="000E6D70">
        <w:trPr>
          <w:trHeight w:val="29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Sindicato Único de Trabajadores de Soledad de Graciano Sánchez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Sindicato Democrático de Trabajadores de Soledad de Graciano Sánchez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Sindicato de Trabajadores al Servicio del Municipio de </w:t>
            </w:r>
            <w:proofErr w:type="spellStart"/>
            <w:r w:rsidRPr="003E6C64">
              <w:rPr>
                <w:sz w:val="22"/>
                <w:szCs w:val="22"/>
              </w:rPr>
              <w:t>Tamasopo</w:t>
            </w:r>
            <w:proofErr w:type="spellEnd"/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Sindicato único de Trabajadores al Servicio del Ayuntamiento de </w:t>
            </w:r>
            <w:proofErr w:type="spellStart"/>
            <w:r w:rsidRPr="003E6C64">
              <w:rPr>
                <w:sz w:val="22"/>
                <w:szCs w:val="22"/>
              </w:rPr>
              <w:t>Axtla</w:t>
            </w:r>
            <w:proofErr w:type="spellEnd"/>
            <w:r w:rsidRPr="003E6C64">
              <w:rPr>
                <w:sz w:val="22"/>
                <w:szCs w:val="22"/>
              </w:rPr>
              <w:t xml:space="preserve"> 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Sindicato Estatal Renovado de Trabajadores de Gobierno del Estado 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Sindicato Administrativo de la Universidad Autónoma de San Luis Potosí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Sindicato de Trabajadores y Empleados al Servicio del Ayuntamiento de Villa de Reyes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Sindicato Democrático de Trabajadores al Servicio del Municipio de Villa de Reyes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Sindicato de Trabajadores del Instituto Tecnológico Superior de </w:t>
            </w:r>
            <w:proofErr w:type="spellStart"/>
            <w:r w:rsidRPr="003E6C64">
              <w:rPr>
                <w:sz w:val="22"/>
                <w:szCs w:val="22"/>
              </w:rPr>
              <w:t>Tamazunchale</w:t>
            </w:r>
            <w:proofErr w:type="spellEnd"/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Sindicato Organizado Libre de Trabajadores del Gobierno del Estado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Unión de Asociaciones del Personal Académico de la Universidad Autónoma de San Luis Potosí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Partido Movimiento de Regeneración Nacional 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Ayuntamiento de </w:t>
            </w:r>
            <w:proofErr w:type="spellStart"/>
            <w:r w:rsidRPr="003E6C64">
              <w:rPr>
                <w:sz w:val="22"/>
                <w:szCs w:val="22"/>
              </w:rPr>
              <w:t>Alaquínes</w:t>
            </w:r>
            <w:proofErr w:type="spellEnd"/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Ayuntamiento de Lagunillas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Ayuntamiento de </w:t>
            </w:r>
            <w:proofErr w:type="spellStart"/>
            <w:r w:rsidRPr="003E6C64">
              <w:rPr>
                <w:sz w:val="22"/>
                <w:szCs w:val="22"/>
              </w:rPr>
              <w:t>Mexquitic</w:t>
            </w:r>
            <w:proofErr w:type="spellEnd"/>
            <w:r w:rsidRPr="003E6C64">
              <w:rPr>
                <w:sz w:val="22"/>
                <w:szCs w:val="22"/>
              </w:rPr>
              <w:t xml:space="preserve"> de Carmona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Organismo Operador Paramunicipal Descentralizado del Ayuntamiento de Cárdenas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Organismo Operador Paramunicipal de Agua, Drenaje y Saneamiento de </w:t>
            </w:r>
            <w:proofErr w:type="spellStart"/>
            <w:r w:rsidRPr="003E6C64">
              <w:rPr>
                <w:sz w:val="22"/>
                <w:szCs w:val="22"/>
              </w:rPr>
              <w:t>Cedral</w:t>
            </w:r>
            <w:proofErr w:type="spellEnd"/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Organismo Operador Paramunicipal de Agua Potable, Alcantarillado y Saneamiento de Ciudad Fernández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Organismo Operador Paramunicipal de Agua Potable, Alcantarillado y Saneamiento de Ébano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Dirección de Agua Potable, Alcantarillado y Saneamiento de </w:t>
            </w:r>
            <w:proofErr w:type="spellStart"/>
            <w:r w:rsidRPr="003E6C64">
              <w:rPr>
                <w:sz w:val="22"/>
                <w:szCs w:val="22"/>
              </w:rPr>
              <w:t>Tanquian</w:t>
            </w:r>
            <w:proofErr w:type="spellEnd"/>
            <w:r w:rsidRPr="003E6C64">
              <w:rPr>
                <w:sz w:val="22"/>
                <w:szCs w:val="22"/>
              </w:rPr>
              <w:t xml:space="preserve"> de Escobedo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Organismo Operador de Agua Potable de Villa de la Paz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Organismo Operador de Agua potable de Villa de Reyes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Sistema de Agua y Drenaje de </w:t>
            </w:r>
            <w:proofErr w:type="spellStart"/>
            <w:r w:rsidRPr="003E6C64">
              <w:rPr>
                <w:sz w:val="22"/>
                <w:szCs w:val="22"/>
              </w:rPr>
              <w:t>Axtla</w:t>
            </w:r>
            <w:proofErr w:type="spellEnd"/>
            <w:r w:rsidRPr="003E6C64">
              <w:rPr>
                <w:sz w:val="22"/>
                <w:szCs w:val="22"/>
              </w:rPr>
              <w:t xml:space="preserve"> de Terrazas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Organismo de Agua Potable de Villa de Arista 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Sistema Municipal para el Desarrollo Integral de la Familia de Villa de Arriaga 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Sistema Municipal para el Desarrollo Integral de la Familia de Villa de Guadalupe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Sistema Municipal para el Desarrollo Integral de la Familia de Villa de la Paz 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>Sistema Municipal para el Desarrollo Integral de la Familia de Villa de Reyes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Sistema Municipal para el Desarrollo Integral de la Familia de Villa Hidalgo 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Organismo Operador de Agua Potable, Alcantarillado y Saneamiento del Municipio de </w:t>
            </w:r>
            <w:proofErr w:type="spellStart"/>
            <w:r w:rsidRPr="003E6C64">
              <w:rPr>
                <w:sz w:val="22"/>
                <w:szCs w:val="22"/>
              </w:rPr>
              <w:t>Tamuín</w:t>
            </w:r>
            <w:proofErr w:type="spellEnd"/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Organismo Operador de Agua Potable, Alcantarillado y Saneamiento del Municipio de </w:t>
            </w:r>
            <w:proofErr w:type="spellStart"/>
            <w:r w:rsidRPr="003E6C64">
              <w:rPr>
                <w:sz w:val="22"/>
                <w:szCs w:val="22"/>
              </w:rPr>
              <w:t>Tamazunchale</w:t>
            </w:r>
            <w:proofErr w:type="spellEnd"/>
            <w:r w:rsidRPr="003E6C64">
              <w:rPr>
                <w:sz w:val="22"/>
                <w:szCs w:val="22"/>
              </w:rPr>
              <w:t xml:space="preserve"> </w:t>
            </w:r>
          </w:p>
        </w:tc>
      </w:tr>
      <w:tr w:rsidR="007240DA" w:rsidRPr="003E6C64" w:rsidTr="000E6D70">
        <w:trPr>
          <w:trHeight w:val="229"/>
        </w:trPr>
        <w:tc>
          <w:tcPr>
            <w:tcW w:w="6941" w:type="dxa"/>
          </w:tcPr>
          <w:p w:rsidR="007240DA" w:rsidRPr="003E6C64" w:rsidRDefault="007240DA" w:rsidP="000E6D70">
            <w:pPr>
              <w:tabs>
                <w:tab w:val="left" w:pos="-1260"/>
              </w:tabs>
              <w:jc w:val="center"/>
              <w:rPr>
                <w:sz w:val="22"/>
                <w:szCs w:val="22"/>
              </w:rPr>
            </w:pPr>
            <w:r w:rsidRPr="003E6C64">
              <w:rPr>
                <w:sz w:val="22"/>
                <w:szCs w:val="22"/>
              </w:rPr>
              <w:t xml:space="preserve">Promotora del Estado </w:t>
            </w:r>
          </w:p>
        </w:tc>
      </w:tr>
    </w:tbl>
    <w:p w:rsidR="007240DA" w:rsidRDefault="007240DA" w:rsidP="00E709C6">
      <w:pPr>
        <w:spacing w:before="240" w:after="120"/>
        <w:jc w:val="both"/>
        <w:rPr>
          <w:lang w:val="es-MX"/>
        </w:rPr>
      </w:pPr>
    </w:p>
    <w:p w:rsidR="007240DA" w:rsidRPr="00272F28" w:rsidRDefault="007240DA" w:rsidP="007240DA">
      <w:pPr>
        <w:spacing w:before="240" w:after="120"/>
        <w:ind w:left="708" w:hanging="708"/>
        <w:jc w:val="both"/>
        <w:rPr>
          <w:lang w:val="es-MX"/>
        </w:rPr>
      </w:pPr>
      <w:r>
        <w:rPr>
          <w:lang w:val="es-MX"/>
        </w:rPr>
        <w:t xml:space="preserve">2.- </w:t>
      </w:r>
      <w:r w:rsidRPr="00272F28">
        <w:rPr>
          <w:lang w:val="es-MX"/>
        </w:rPr>
        <w:t>Notificar a los citados sujetos los resultados de la verificación que se reporta.</w:t>
      </w:r>
    </w:p>
    <w:p w:rsidR="007240DA" w:rsidRPr="00272F28" w:rsidRDefault="007240DA" w:rsidP="007240DA">
      <w:pPr>
        <w:ind w:left="708" w:hanging="708"/>
        <w:jc w:val="both"/>
        <w:rPr>
          <w:lang w:val="es-MX"/>
        </w:rPr>
      </w:pPr>
      <w:bookmarkStart w:id="0" w:name="_GoBack"/>
      <w:bookmarkEnd w:id="0"/>
    </w:p>
    <w:p w:rsidR="007240DA" w:rsidRPr="00272F28" w:rsidRDefault="007240DA" w:rsidP="007240DA">
      <w:pPr>
        <w:jc w:val="both"/>
        <w:rPr>
          <w:lang w:val="es-MX"/>
        </w:rPr>
      </w:pPr>
      <w:r w:rsidRPr="00272F28">
        <w:rPr>
          <w:lang w:val="es-MX"/>
        </w:rPr>
        <w:lastRenderedPageBreak/>
        <w:t xml:space="preserve">3.- Requerir a los sujetos obligados mencionados con antelación, para que subsanen las inconsistencias detectadas en la verificación, en un plazo no mayor a 20 veinte días hábiles contados a partir de la notificación de la verificación, y una vez vencido este plazo, esta </w:t>
      </w:r>
      <w:r w:rsidRPr="00272F28">
        <w:t>CEGAIP verificará la publicación de las obligaciones de transparencia.</w:t>
      </w:r>
    </w:p>
    <w:p w:rsidR="007240DA" w:rsidRPr="00272F28" w:rsidRDefault="007240DA" w:rsidP="007240DA">
      <w:pPr>
        <w:ind w:left="708" w:hanging="708"/>
        <w:jc w:val="both"/>
        <w:rPr>
          <w:lang w:val="es-MX"/>
        </w:rPr>
      </w:pPr>
    </w:p>
    <w:p w:rsidR="007240DA" w:rsidRPr="00272F28" w:rsidRDefault="007240DA" w:rsidP="007240DA">
      <w:pPr>
        <w:jc w:val="both"/>
      </w:pPr>
      <w:r w:rsidRPr="00272F28">
        <w:rPr>
          <w:lang w:val="es-MX"/>
        </w:rPr>
        <w:t xml:space="preserve">4.- Apercibir a los referidos sujetos obligados, en el sentido de que de no alcanzar la calificación mínima aprobatoria del 90% de cumplimiento en la verificación que se realice por parte de esta Comisión, se </w:t>
      </w:r>
      <w:r w:rsidRPr="00272F28">
        <w:t>le notificará tal circunstancia por conducto de la Unidad de Transparencia, al superior jerárquico del servidor público responsable de dar cumplimiento, para el efecto de que, en un plazo no mayor a 05 cinco días, se dé cumplimiento a los requerimientos del dictamen.</w:t>
      </w:r>
    </w:p>
    <w:p w:rsidR="007240DA" w:rsidRPr="00272F28" w:rsidRDefault="007240DA" w:rsidP="007240DA">
      <w:pPr>
        <w:ind w:left="708" w:hanging="708"/>
        <w:jc w:val="both"/>
      </w:pPr>
    </w:p>
    <w:p w:rsidR="007240DA" w:rsidRPr="00272F28" w:rsidRDefault="007240DA" w:rsidP="007240DA">
      <w:pPr>
        <w:jc w:val="both"/>
        <w:rPr>
          <w:lang w:val="es-MX"/>
        </w:rPr>
      </w:pPr>
      <w:r w:rsidRPr="00272F28">
        <w:rPr>
          <w:lang w:val="es-MX"/>
        </w:rPr>
        <w:t>Todo lo anterior, con fundamento en el artículo 101 de la Ley de Transparencia y Acceso a la Información Pública.</w:t>
      </w:r>
    </w:p>
    <w:p w:rsidR="007240DA" w:rsidRPr="00272F28" w:rsidRDefault="007240DA" w:rsidP="007240DA">
      <w:pPr>
        <w:spacing w:line="360" w:lineRule="auto"/>
        <w:jc w:val="both"/>
        <w:rPr>
          <w:u w:val="single"/>
          <w:lang w:val="es-MX"/>
        </w:rPr>
      </w:pPr>
    </w:p>
    <w:p w:rsidR="007240DA" w:rsidRDefault="007240DA" w:rsidP="007240DA">
      <w:pPr>
        <w:jc w:val="both"/>
        <w:rPr>
          <w:u w:val="single"/>
          <w:lang w:val="es-MX"/>
        </w:rPr>
      </w:pPr>
      <w:r w:rsidRPr="00272F28">
        <w:rPr>
          <w:u w:val="single"/>
          <w:lang w:val="es-MX"/>
        </w:rPr>
        <w:t xml:space="preserve">Notifíquese el presente asunto al Director de Vigilancia, Análisis y Gestión </w:t>
      </w:r>
      <w:proofErr w:type="gramStart"/>
      <w:r w:rsidRPr="00272F28">
        <w:rPr>
          <w:u w:val="single"/>
          <w:lang w:val="es-MX"/>
        </w:rPr>
        <w:t>Documental  y</w:t>
      </w:r>
      <w:proofErr w:type="gramEnd"/>
      <w:r w:rsidRPr="00272F28">
        <w:rPr>
          <w:u w:val="single"/>
          <w:lang w:val="es-MX"/>
        </w:rPr>
        <w:t xml:space="preserve"> a la Unidad de Verificaciones para que realicen las gestiones necesarias para el cumplimiento del  presente acuerdo de Pleno.</w:t>
      </w:r>
    </w:p>
    <w:p w:rsidR="007240DA" w:rsidRDefault="007240DA" w:rsidP="007240DA">
      <w:pPr>
        <w:tabs>
          <w:tab w:val="left" w:pos="-1260"/>
        </w:tabs>
        <w:jc w:val="both"/>
        <w:rPr>
          <w:i/>
        </w:rPr>
      </w:pPr>
    </w:p>
    <w:p w:rsidR="00846D4D" w:rsidRDefault="00846D4D"/>
    <w:sectPr w:rsidR="00846D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0DA"/>
    <w:rsid w:val="007240DA"/>
    <w:rsid w:val="00846D4D"/>
    <w:rsid w:val="00E7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C0DC7"/>
  <w15:chartTrackingRefBased/>
  <w15:docId w15:val="{688688FE-978F-44D1-B225-763EA79C8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40DA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240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949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2020-09-04T16:26:00Z</dcterms:created>
  <dcterms:modified xsi:type="dcterms:W3CDTF">2020-09-04T21:27:00Z</dcterms:modified>
</cp:coreProperties>
</file>