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6B798155"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8E136F">
        <w:rPr>
          <w:rFonts w:ascii="AvantGarde Bk BT" w:hAnsi="AvantGarde Bk BT" w:cs="Arial"/>
          <w:b/>
          <w:color w:val="000000" w:themeColor="text1"/>
          <w:sz w:val="24"/>
          <w:szCs w:val="24"/>
        </w:rPr>
        <w:t>1</w:t>
      </w:r>
      <w:r w:rsidR="00F640B9">
        <w:rPr>
          <w:rFonts w:ascii="AvantGarde Bk BT" w:hAnsi="AvantGarde Bk BT" w:cs="Arial"/>
          <w:b/>
          <w:color w:val="000000" w:themeColor="text1"/>
          <w:sz w:val="24"/>
          <w:szCs w:val="24"/>
        </w:rPr>
        <w:t>231</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640B9">
        <w:rPr>
          <w:rFonts w:ascii="AvantGarde Bk BT" w:hAnsi="AvantGarde Bk BT" w:cs="Arial"/>
          <w:b/>
          <w:color w:val="000000" w:themeColor="text1"/>
          <w:sz w:val="24"/>
          <w:szCs w:val="24"/>
        </w:rPr>
        <w:t>SIGEMI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0F9034C1" w14:textId="6F238B70" w:rsidR="00946007" w:rsidRPr="00DB70BD" w:rsidRDefault="00AC309C" w:rsidP="00DB70BD">
      <w:pPr>
        <w:pStyle w:val="corte4fondo"/>
        <w:tabs>
          <w:tab w:val="left" w:pos="567"/>
        </w:tabs>
        <w:spacing w:after="240"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PROCURADURIA GENERAL DE JUSTICIA EN EL ESTADO</w:t>
      </w:r>
      <w:r w:rsidR="007D2F86">
        <w:rPr>
          <w:rFonts w:ascii="AvantGarde Bk BT" w:hAnsi="AvantGarde Bk BT" w:cs="Arial"/>
          <w:b/>
          <w:color w:val="000000" w:themeColor="text1"/>
          <w:sz w:val="24"/>
          <w:szCs w:val="24"/>
        </w:rPr>
        <w:t>.</w:t>
      </w:r>
    </w:p>
    <w:p w14:paraId="371E81B4" w14:textId="77777777" w:rsidR="00DB70BD"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p>
    <w:p w14:paraId="2A449101" w14:textId="5D5FCD2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F640B9">
        <w:rPr>
          <w:rFonts w:ascii="AvantGarde Bk BT" w:hAnsi="AvantGarde Bk BT" w:cs="Arial"/>
          <w:color w:val="000000" w:themeColor="text1"/>
          <w:sz w:val="24"/>
          <w:szCs w:val="24"/>
        </w:rPr>
        <w:t>28 veintiocho de agosto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0822D9D9" w14:textId="413F3433" w:rsidR="00946007" w:rsidRPr="007C5605" w:rsidRDefault="00946007" w:rsidP="00DB70B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5EE4CC60"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F640B9">
        <w:rPr>
          <w:rFonts w:ascii="AvantGarde Bk BT" w:hAnsi="AvantGarde Bk BT" w:cs="Arial"/>
          <w:color w:val="000000" w:themeColor="text1"/>
          <w:sz w:val="24"/>
          <w:szCs w:val="24"/>
        </w:rPr>
        <w:t>23 veintitrés de mayo</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2019 dos mil diecinueve </w:t>
      </w:r>
      <w:r w:rsidR="00B34373">
        <w:rPr>
          <w:rFonts w:ascii="AvantGarde Bk BT" w:hAnsi="AvantGarde Bk BT" w:cs="Arial"/>
          <w:color w:val="000000" w:themeColor="text1"/>
          <w:sz w:val="24"/>
          <w:szCs w:val="24"/>
        </w:rPr>
        <w:t>l</w:t>
      </w:r>
      <w:r w:rsidR="00C57F5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C57F5F">
        <w:rPr>
          <w:rFonts w:ascii="AvantGarde Bk BT" w:hAnsi="AvantGarde Bk BT" w:cs="Arial"/>
          <w:b/>
          <w:color w:val="000000" w:themeColor="text1"/>
          <w:sz w:val="24"/>
          <w:szCs w:val="24"/>
        </w:rPr>
        <w:t>PROCURADURIA GENERAL DE JUSTICIA EN EL ESTADO</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3964CD">
        <w:rPr>
          <w:rFonts w:ascii="AvantGarde Bk BT" w:hAnsi="AvantGarde Bk BT" w:cs="Arial"/>
          <w:color w:val="000000" w:themeColor="text1"/>
          <w:sz w:val="24"/>
          <w:szCs w:val="24"/>
        </w:rPr>
        <w:t>olio 0</w:t>
      </w:r>
      <w:r w:rsidR="00F640B9">
        <w:rPr>
          <w:rFonts w:ascii="AvantGarde Bk BT" w:hAnsi="AvantGarde Bk BT" w:cs="Arial"/>
          <w:color w:val="000000" w:themeColor="text1"/>
          <w:sz w:val="24"/>
          <w:szCs w:val="24"/>
        </w:rPr>
        <w:t>06852</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6A8D21FB"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640B9">
        <w:rPr>
          <w:rFonts w:ascii="AvantGarde Bk BT" w:hAnsi="AvantGarde Bk BT" w:cs="Arial"/>
          <w:color w:val="000000" w:themeColor="text1"/>
          <w:sz w:val="24"/>
          <w:szCs w:val="24"/>
        </w:rPr>
        <w:t>28 veintiocho de mayo</w:t>
      </w:r>
      <w:r w:rsidR="00EF668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45ACCAF6"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640B9">
        <w:rPr>
          <w:rFonts w:ascii="AvantGarde Bk BT" w:hAnsi="AvantGarde Bk BT" w:cs="Arial"/>
          <w:color w:val="000000" w:themeColor="text1"/>
          <w:sz w:val="24"/>
          <w:szCs w:val="24"/>
        </w:rPr>
        <w:t>11 once de junio</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6853BBE7"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F640B9">
        <w:rPr>
          <w:rFonts w:ascii="AvantGarde Bk BT" w:hAnsi="AvantGarde Bk BT" w:cs="Arial"/>
          <w:color w:val="000000" w:themeColor="text1"/>
          <w:sz w:val="24"/>
          <w:szCs w:val="24"/>
        </w:rPr>
        <w:t>13 trece de junio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w:t>
      </w:r>
      <w:r w:rsidRPr="007C5605">
        <w:rPr>
          <w:rFonts w:ascii="AvantGarde Bk BT" w:hAnsi="AvantGarde Bk BT" w:cs="Arial"/>
          <w:color w:val="000000" w:themeColor="text1"/>
          <w:sz w:val="24"/>
          <w:szCs w:val="24"/>
        </w:rPr>
        <w:lastRenderedPageBreak/>
        <w:t xml:space="preserve">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3B63CE3F"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F640B9">
        <w:rPr>
          <w:rFonts w:ascii="AvantGarde Bk BT" w:hAnsi="AvantGarde Bk BT" w:cs="Arial"/>
          <w:color w:val="000000" w:themeColor="text1"/>
          <w:sz w:val="24"/>
          <w:szCs w:val="24"/>
        </w:rPr>
        <w:t>05 cinco de julio</w:t>
      </w:r>
      <w:r w:rsidR="00B3437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4F86564C"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w:t>
      </w:r>
      <w:r w:rsidR="00476DB3">
        <w:rPr>
          <w:rFonts w:ascii="AvantGarde Bk BT" w:hAnsi="AvantGarde Bk BT" w:cs="Arial"/>
          <w:color w:val="000000" w:themeColor="text1"/>
          <w:sz w:val="24"/>
          <w:szCs w:val="24"/>
        </w:rPr>
        <w:t xml:space="preserve">fracción </w:t>
      </w:r>
      <w:r w:rsidR="00D34F65">
        <w:rPr>
          <w:rFonts w:ascii="AvantGarde Bk BT" w:hAnsi="AvantGarde Bk BT" w:cs="Arial"/>
          <w:color w:val="000000" w:themeColor="text1"/>
          <w:sz w:val="24"/>
          <w:szCs w:val="24"/>
        </w:rPr>
        <w:t>V</w:t>
      </w:r>
      <w:r w:rsidR="00F640B9">
        <w:rPr>
          <w:rFonts w:ascii="AvantGarde Bk BT" w:hAnsi="AvantGarde Bk BT" w:cs="Arial"/>
          <w:color w:val="000000" w:themeColor="text1"/>
          <w:sz w:val="24"/>
          <w:szCs w:val="24"/>
        </w:rPr>
        <w:t>I</w:t>
      </w:r>
      <w:r w:rsidR="00F640B9">
        <w:rPr>
          <w:rFonts w:ascii="AvantGarde Bk BT" w:hAnsi="AvantGarde Bk BT" w:cs="Arial"/>
          <w:color w:val="000000" w:themeColor="text1"/>
          <w:sz w:val="24"/>
          <w:szCs w:val="24"/>
        </w:rPr>
        <w:t>II</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35A8A0FA"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964CD">
        <w:rPr>
          <w:rFonts w:ascii="AvantGarde Bk BT" w:hAnsi="AvantGarde Bk BT" w:cs="Arial"/>
          <w:b/>
          <w:color w:val="000000" w:themeColor="text1"/>
          <w:sz w:val="24"/>
          <w:szCs w:val="24"/>
        </w:rPr>
        <w:t>1</w:t>
      </w:r>
      <w:r w:rsidR="00F640B9">
        <w:rPr>
          <w:rFonts w:ascii="AvantGarde Bk BT" w:hAnsi="AvantGarde Bk BT" w:cs="Arial"/>
          <w:b/>
          <w:color w:val="000000" w:themeColor="text1"/>
          <w:sz w:val="24"/>
          <w:szCs w:val="24"/>
        </w:rPr>
        <w:t>231</w:t>
      </w:r>
      <w:r>
        <w:rPr>
          <w:rFonts w:ascii="AvantGarde Bk BT" w:hAnsi="AvantGarde Bk BT" w:cs="Arial"/>
          <w:b/>
          <w:color w:val="000000" w:themeColor="text1"/>
          <w:sz w:val="24"/>
          <w:szCs w:val="24"/>
        </w:rPr>
        <w:t xml:space="preserve">/2019-1 </w:t>
      </w:r>
      <w:r w:rsidR="00F640B9">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0D0D28A" w14:textId="25618386"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57F5F">
        <w:rPr>
          <w:rFonts w:ascii="AvantGarde Bk BT" w:hAnsi="AvantGarde Bk BT" w:cs="Arial"/>
          <w:b/>
          <w:color w:val="000000" w:themeColor="text1"/>
          <w:sz w:val="24"/>
          <w:szCs w:val="24"/>
        </w:rPr>
        <w:t>PROCURADURIA GENERAL DE JUSTICIA EN EL ESTADO</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50996B5" w14:textId="1121E54F" w:rsidR="00B34373" w:rsidRDefault="00946007" w:rsidP="00C57F5F">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230F3781" w14:textId="4AD0E31F"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F640B9">
        <w:rPr>
          <w:rFonts w:ascii="AvantGarde Bk BT" w:hAnsi="AvantGarde Bk BT" w:cs="Arial"/>
          <w:color w:val="000000" w:themeColor="text1"/>
          <w:sz w:val="24"/>
          <w:szCs w:val="24"/>
        </w:rPr>
        <w:t>19 diecinueve de julio</w:t>
      </w:r>
      <w:r>
        <w:rPr>
          <w:rFonts w:ascii="AvantGarde Bk BT" w:hAnsi="AvantGarde Bk BT" w:cs="Arial"/>
          <w:color w:val="000000" w:themeColor="text1"/>
          <w:sz w:val="24"/>
          <w:szCs w:val="24"/>
        </w:rPr>
        <w:t xml:space="preserve"> de 2019 dos mil diecinueve el ponente:</w:t>
      </w:r>
    </w:p>
    <w:p w14:paraId="19D12330" w14:textId="75918301"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476DB3">
        <w:rPr>
          <w:rFonts w:ascii="AvantGarde Bk BT" w:hAnsi="AvantGarde Bk BT" w:cs="Arial"/>
          <w:color w:val="000000" w:themeColor="text1"/>
          <w:sz w:val="24"/>
          <w:szCs w:val="24"/>
        </w:rPr>
        <w:t>UT</w:t>
      </w:r>
      <w:r w:rsidR="00F640B9">
        <w:rPr>
          <w:rFonts w:ascii="AvantGarde Bk BT" w:hAnsi="AvantGarde Bk BT" w:cs="Arial"/>
          <w:color w:val="000000" w:themeColor="text1"/>
          <w:sz w:val="24"/>
          <w:szCs w:val="24"/>
        </w:rPr>
        <w:t>/260</w:t>
      </w:r>
      <w:r w:rsidR="00664777">
        <w:rPr>
          <w:rFonts w:ascii="AvantGarde Bk BT" w:hAnsi="AvantGarde Bk BT" w:cs="Arial"/>
          <w:color w:val="000000" w:themeColor="text1"/>
          <w:sz w:val="24"/>
          <w:szCs w:val="24"/>
        </w:rPr>
        <w:t>/</w:t>
      </w:r>
      <w:r w:rsidR="00476DB3">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C57F5F">
        <w:rPr>
          <w:rFonts w:ascii="AvantGarde Bk BT" w:hAnsi="AvantGarde Bk BT" w:cs="Arial"/>
          <w:sz w:val="24"/>
          <w:szCs w:val="24"/>
        </w:rPr>
        <w:t>Iván Juárez Ojeda</w:t>
      </w:r>
      <w:r w:rsidR="00476DB3">
        <w:rPr>
          <w:rFonts w:ascii="AvantGarde Bk BT" w:hAnsi="AvantGarde Bk BT" w:cs="Arial"/>
          <w:sz w:val="24"/>
          <w:szCs w:val="24"/>
        </w:rPr>
        <w:t>, Titular</w:t>
      </w:r>
      <w:r w:rsidR="00645312">
        <w:rPr>
          <w:rFonts w:ascii="AvantGarde Bk BT" w:hAnsi="AvantGarde Bk BT" w:cs="Arial"/>
          <w:sz w:val="24"/>
          <w:szCs w:val="24"/>
        </w:rPr>
        <w:t xml:space="preserve">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4C662B">
        <w:rPr>
          <w:rFonts w:ascii="AvantGarde Bk BT" w:hAnsi="AvantGarde Bk BT" w:cs="Arial"/>
          <w:sz w:val="24"/>
          <w:szCs w:val="24"/>
        </w:rPr>
        <w:t>01 un</w:t>
      </w:r>
      <w:r w:rsidR="00EF6683">
        <w:rPr>
          <w:rFonts w:ascii="AvantGarde Bk BT" w:hAnsi="AvantGarde Bk BT" w:cs="Arial"/>
          <w:sz w:val="24"/>
          <w:szCs w:val="24"/>
        </w:rPr>
        <w:t xml:space="preserve"> </w:t>
      </w:r>
      <w:r w:rsidRPr="000028AA">
        <w:rPr>
          <w:rFonts w:ascii="AvantGarde Bk BT" w:hAnsi="AvantGarde Bk BT" w:cs="Arial"/>
          <w:sz w:val="24"/>
          <w:szCs w:val="24"/>
        </w:rPr>
        <w:t xml:space="preserve">anexo, recibido en este organismo el </w:t>
      </w:r>
      <w:r w:rsidR="00F640B9">
        <w:rPr>
          <w:rFonts w:ascii="AvantGarde Bk BT" w:hAnsi="AvantGarde Bk BT" w:cs="Arial"/>
          <w:sz w:val="24"/>
          <w:szCs w:val="24"/>
        </w:rPr>
        <w:t>12 doce de julio</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8FAC944" w:rsidR="00946007" w:rsidRDefault="006B71F8" w:rsidP="00476DB3">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28081E14" w14:textId="76A5CA5A" w:rsidR="00476DB3" w:rsidRDefault="00476DB3" w:rsidP="00927822">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Finalmente, con fundamento en el artículo 174, fracciones IV y VII de la ley de la materia, decretó cerrado el periodo de instrucción.</w:t>
      </w:r>
    </w:p>
    <w:p w14:paraId="29C7C638" w14:textId="53C5BF82"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4A15EE1" w14:textId="2D170329" w:rsidR="00252DB3" w:rsidRPr="00E965A2" w:rsidRDefault="00252DB3" w:rsidP="00252DB3">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Pr>
          <w:rFonts w:ascii="AvantGarde Bk BT" w:hAnsi="AvantGarde Bk BT" w:cs="Arial"/>
          <w:sz w:val="24"/>
          <w:szCs w:val="24"/>
        </w:rPr>
        <w:t>28 veintiocho</w:t>
      </w:r>
      <w:r>
        <w:rPr>
          <w:rFonts w:ascii="AvantGarde Bk BT" w:hAnsi="AvantGarde Bk BT" w:cs="Arial"/>
          <w:sz w:val="24"/>
          <w:szCs w:val="24"/>
        </w:rPr>
        <w:t xml:space="preserve"> de mayo</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DC1DCAA" w14:textId="51EB6A44" w:rsidR="00252DB3" w:rsidRPr="00E965A2" w:rsidRDefault="00252DB3" w:rsidP="00252DB3">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Pr>
          <w:rFonts w:ascii="AvantGarde Bk BT" w:hAnsi="AvantGarde Bk BT" w:cs="Arial"/>
          <w:sz w:val="24"/>
          <w:szCs w:val="24"/>
        </w:rPr>
        <w:t>29 veintinueve</w:t>
      </w:r>
      <w:r>
        <w:rPr>
          <w:rFonts w:ascii="AvantGarde Bk BT" w:hAnsi="AvantGarde Bk BT" w:cs="Arial"/>
          <w:sz w:val="24"/>
          <w:szCs w:val="24"/>
        </w:rPr>
        <w:t xml:space="preserve"> de mayo al </w:t>
      </w:r>
      <w:r>
        <w:rPr>
          <w:rFonts w:ascii="AvantGarde Bk BT" w:hAnsi="AvantGarde Bk BT" w:cs="Arial"/>
          <w:sz w:val="24"/>
          <w:szCs w:val="24"/>
        </w:rPr>
        <w:t>18 dieciocho</w:t>
      </w:r>
      <w:r>
        <w:rPr>
          <w:rFonts w:ascii="AvantGarde Bk BT" w:hAnsi="AvantGarde Bk BT" w:cs="Arial"/>
          <w:sz w:val="24"/>
          <w:szCs w:val="24"/>
        </w:rPr>
        <w:t xml:space="preserve"> de junio </w:t>
      </w:r>
      <w:r w:rsidRPr="00E965A2">
        <w:rPr>
          <w:rFonts w:ascii="AvantGarde Bk BT" w:hAnsi="AvantGarde Bk BT" w:cs="Arial"/>
          <w:sz w:val="24"/>
          <w:szCs w:val="24"/>
        </w:rPr>
        <w:t>de 2019 dos mil diecinueve.</w:t>
      </w:r>
    </w:p>
    <w:p w14:paraId="413B5A92" w14:textId="63DAD42E" w:rsidR="00252DB3" w:rsidRPr="00E965A2" w:rsidRDefault="00252DB3" w:rsidP="00252DB3">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 Sin tomar en cuenta los días </w:t>
      </w:r>
      <w:r>
        <w:rPr>
          <w:rFonts w:ascii="AvantGarde Bk BT" w:hAnsi="AvantGarde Bk BT" w:cs="Arial"/>
          <w:sz w:val="24"/>
          <w:szCs w:val="24"/>
        </w:rPr>
        <w:t>01 uno,</w:t>
      </w:r>
      <w:r>
        <w:rPr>
          <w:rFonts w:ascii="AvantGarde Bk BT" w:hAnsi="AvantGarde Bk BT" w:cs="Arial"/>
          <w:sz w:val="24"/>
          <w:szCs w:val="24"/>
        </w:rPr>
        <w:t xml:space="preserve"> 02 dos</w:t>
      </w:r>
      <w:r>
        <w:rPr>
          <w:rFonts w:ascii="AvantGarde Bk BT" w:hAnsi="AvantGarde Bk BT" w:cs="Arial"/>
          <w:sz w:val="24"/>
          <w:szCs w:val="24"/>
        </w:rPr>
        <w:t>, 08 ocho, 09 nueve, 15 quince y 16 dieciséis</w:t>
      </w:r>
      <w:r>
        <w:rPr>
          <w:rFonts w:ascii="AvantGarde Bk BT" w:hAnsi="AvantGarde Bk BT" w:cs="Arial"/>
          <w:sz w:val="24"/>
          <w:szCs w:val="24"/>
        </w:rPr>
        <w:t xml:space="preserve"> de junio de 2019 dos mil diecinueve </w:t>
      </w:r>
      <w:r w:rsidRPr="00E965A2">
        <w:rPr>
          <w:rFonts w:ascii="AvantGarde Bk BT" w:hAnsi="AvantGarde Bk BT" w:cs="Arial"/>
          <w:sz w:val="24"/>
          <w:szCs w:val="24"/>
        </w:rPr>
        <w:t>por ser inhábiles.</w:t>
      </w:r>
    </w:p>
    <w:p w14:paraId="1D0E73C6" w14:textId="6289C7AB" w:rsidR="00252DB3" w:rsidRPr="00927822" w:rsidRDefault="00252DB3" w:rsidP="00252DB3">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Pr>
          <w:rFonts w:ascii="AvantGarde Bk BT" w:hAnsi="AvantGarde Bk BT" w:cs="Arial"/>
          <w:sz w:val="24"/>
          <w:szCs w:val="24"/>
        </w:rPr>
        <w:t>11 once de junio</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44C8F901"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2F3D157E"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7F5A85F4" w14:textId="090C34A5" w:rsidR="00813B27" w:rsidRPr="004751A3" w:rsidRDefault="00946007" w:rsidP="004751A3">
      <w:pPr>
        <w:pStyle w:val="corte4fondo"/>
        <w:tabs>
          <w:tab w:val="left" w:pos="567"/>
        </w:tabs>
        <w:ind w:left="-142"/>
        <w:rPr>
          <w:rFonts w:ascii="AvantGarde Bk BT" w:hAnsi="AvantGarde Bk BT" w:cs="Arial"/>
          <w:i/>
          <w:sz w:val="20"/>
          <w:szCs w:val="22"/>
        </w:rPr>
      </w:pPr>
      <w:r w:rsidRPr="00E0750B">
        <w:rPr>
          <w:rFonts w:ascii="AvantGarde Bk BT" w:hAnsi="AvantGarde Bk BT" w:cs="Arial"/>
          <w:sz w:val="24"/>
          <w:szCs w:val="24"/>
        </w:rPr>
        <w:t>“</w:t>
      </w:r>
      <w:r w:rsidR="004751A3" w:rsidRPr="004751A3">
        <w:rPr>
          <w:rFonts w:ascii="AvantGarde Bk BT" w:hAnsi="AvantGarde Bk BT" w:cs="Arial"/>
          <w:i/>
          <w:sz w:val="20"/>
          <w:szCs w:val="22"/>
        </w:rPr>
        <w:t>sueldo neto</w:t>
      </w:r>
      <w:r w:rsidR="004751A3">
        <w:rPr>
          <w:rFonts w:ascii="AvantGarde Bk BT" w:hAnsi="AvantGarde Bk BT" w:cs="Arial"/>
          <w:i/>
          <w:sz w:val="20"/>
          <w:szCs w:val="22"/>
        </w:rPr>
        <w:t xml:space="preserve">, prestaciones y categorías de: </w:t>
      </w:r>
      <w:r w:rsidR="004751A3" w:rsidRPr="004751A3">
        <w:rPr>
          <w:rFonts w:ascii="AvantGarde Bk BT" w:hAnsi="AvantGarde Bk BT" w:cs="Arial"/>
          <w:i/>
          <w:sz w:val="20"/>
          <w:szCs w:val="22"/>
        </w:rPr>
        <w:t>agentes del ministerio público y/o fiscales agentes de policía de investigación/ministerial peritos</w:t>
      </w:r>
      <w:r w:rsidRPr="00E0750B">
        <w:rPr>
          <w:rFonts w:ascii="AvantGarde Bk BT" w:hAnsi="AvantGarde Bk BT" w:cs="Arial"/>
          <w:sz w:val="24"/>
          <w:szCs w:val="24"/>
        </w:rPr>
        <w:t xml:space="preserve">” </w:t>
      </w:r>
      <w:r w:rsidR="00410C5D">
        <w:rPr>
          <w:rFonts w:ascii="AvantGarde Bk BT" w:hAnsi="AvantGarde Bk BT" w:cs="Arial"/>
          <w:b/>
          <w:sz w:val="24"/>
          <w:szCs w:val="24"/>
        </w:rPr>
        <w:t xml:space="preserve">SIC. </w:t>
      </w:r>
      <w:r w:rsidRPr="00E0750B">
        <w:rPr>
          <w:rFonts w:ascii="AvantGarde Bk BT" w:hAnsi="AvantGarde Bk BT" w:cs="Arial"/>
          <w:sz w:val="24"/>
          <w:szCs w:val="24"/>
        </w:rPr>
        <w:t xml:space="preserve">(Visible a foja </w:t>
      </w:r>
      <w:r w:rsidR="00B824D7">
        <w:rPr>
          <w:rFonts w:ascii="AvantGarde Bk BT" w:hAnsi="AvantGarde Bk BT" w:cs="Arial"/>
          <w:sz w:val="24"/>
          <w:szCs w:val="24"/>
        </w:rPr>
        <w:t>02</w:t>
      </w:r>
      <w:r w:rsidRPr="00E0750B">
        <w:rPr>
          <w:rFonts w:ascii="AvantGarde Bk BT" w:hAnsi="AvantGarde Bk BT" w:cs="Arial"/>
          <w:sz w:val="24"/>
          <w:szCs w:val="24"/>
        </w:rPr>
        <w:t xml:space="preserve"> de autos).</w:t>
      </w:r>
    </w:p>
    <w:p w14:paraId="3BC6D529" w14:textId="4196C61F" w:rsidR="00813B27" w:rsidRDefault="00813B27" w:rsidP="00414E98">
      <w:pPr>
        <w:pStyle w:val="corte4fondo"/>
        <w:tabs>
          <w:tab w:val="left" w:pos="567"/>
        </w:tabs>
        <w:ind w:firstLine="0"/>
        <w:rPr>
          <w:rFonts w:ascii="AvantGarde Bk BT" w:hAnsi="AvantGarde Bk BT" w:cs="Arial"/>
          <w:sz w:val="24"/>
          <w:szCs w:val="24"/>
        </w:rPr>
      </w:pPr>
    </w:p>
    <w:p w14:paraId="48F358FB" w14:textId="043B5509" w:rsidR="00946007" w:rsidRPr="00E0750B" w:rsidRDefault="002E054C" w:rsidP="002A3C06">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64384" behindDoc="0" locked="0" layoutInCell="1" allowOverlap="1" wp14:anchorId="7B3605AF" wp14:editId="620969BB">
            <wp:simplePos x="0" y="0"/>
            <wp:positionH relativeFrom="page">
              <wp:align>center</wp:align>
            </wp:positionH>
            <wp:positionV relativeFrom="paragraph">
              <wp:posOffset>506316</wp:posOffset>
            </wp:positionV>
            <wp:extent cx="3888105" cy="2987040"/>
            <wp:effectExtent l="0" t="0" r="0" b="381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2989" t="18457" r="23876" b="9261"/>
                    <a:stretch/>
                  </pic:blipFill>
                  <pic:spPr bwMode="auto">
                    <a:xfrm>
                      <a:off x="0" y="0"/>
                      <a:ext cx="3888105" cy="29870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6007" w:rsidRPr="00E0750B">
        <w:rPr>
          <w:rFonts w:ascii="AvantGarde Bk BT" w:hAnsi="AvantGarde Bk BT" w:cs="Arial"/>
          <w:sz w:val="24"/>
          <w:szCs w:val="24"/>
        </w:rPr>
        <w:t>Como respuesta a la solicitud, el sujeto obligado emitió la siguiente contestación:</w:t>
      </w:r>
    </w:p>
    <w:p w14:paraId="286B694F" w14:textId="61D00421" w:rsidR="00371B07" w:rsidRDefault="00371B07" w:rsidP="00414E98">
      <w:pPr>
        <w:pStyle w:val="corte4fondo"/>
        <w:tabs>
          <w:tab w:val="left" w:pos="567"/>
        </w:tabs>
        <w:spacing w:after="240"/>
        <w:ind w:firstLine="680"/>
        <w:rPr>
          <w:rFonts w:ascii="AvantGarde Bk BT" w:hAnsi="AvantGarde Bk BT" w:cs="Arial"/>
          <w:sz w:val="24"/>
          <w:szCs w:val="24"/>
        </w:rPr>
      </w:pPr>
    </w:p>
    <w:p w14:paraId="3F435B13" w14:textId="77777777" w:rsidR="00B44C1A" w:rsidRDefault="00B44C1A" w:rsidP="00414E98">
      <w:pPr>
        <w:pStyle w:val="corte4fondo"/>
        <w:tabs>
          <w:tab w:val="left" w:pos="567"/>
        </w:tabs>
        <w:spacing w:after="240"/>
        <w:ind w:firstLine="680"/>
        <w:rPr>
          <w:rFonts w:ascii="AvantGarde Bk BT" w:hAnsi="AvantGarde Bk BT" w:cs="Arial"/>
          <w:sz w:val="24"/>
          <w:szCs w:val="24"/>
        </w:rPr>
      </w:pPr>
    </w:p>
    <w:p w14:paraId="07AAC0E9" w14:textId="77777777" w:rsidR="00B44C1A" w:rsidRDefault="00B44C1A" w:rsidP="00414E98">
      <w:pPr>
        <w:pStyle w:val="corte4fondo"/>
        <w:tabs>
          <w:tab w:val="left" w:pos="567"/>
        </w:tabs>
        <w:spacing w:after="240"/>
        <w:ind w:firstLine="680"/>
        <w:rPr>
          <w:rFonts w:ascii="AvantGarde Bk BT" w:hAnsi="AvantGarde Bk BT" w:cs="Arial"/>
          <w:sz w:val="24"/>
          <w:szCs w:val="24"/>
        </w:rPr>
      </w:pPr>
    </w:p>
    <w:p w14:paraId="168C2658" w14:textId="77777777" w:rsidR="00B44C1A" w:rsidRDefault="00B44C1A" w:rsidP="00414E98">
      <w:pPr>
        <w:pStyle w:val="corte4fondo"/>
        <w:tabs>
          <w:tab w:val="left" w:pos="567"/>
        </w:tabs>
        <w:spacing w:after="240"/>
        <w:ind w:firstLine="680"/>
        <w:rPr>
          <w:rFonts w:ascii="AvantGarde Bk BT" w:hAnsi="AvantGarde Bk BT" w:cs="Arial"/>
          <w:sz w:val="24"/>
          <w:szCs w:val="24"/>
        </w:rPr>
      </w:pPr>
    </w:p>
    <w:p w14:paraId="3EA0C6E2" w14:textId="77777777" w:rsidR="00B44C1A" w:rsidRDefault="00B44C1A" w:rsidP="00414E98">
      <w:pPr>
        <w:pStyle w:val="corte4fondo"/>
        <w:tabs>
          <w:tab w:val="left" w:pos="567"/>
        </w:tabs>
        <w:spacing w:after="240"/>
        <w:ind w:firstLine="680"/>
        <w:rPr>
          <w:rFonts w:ascii="AvantGarde Bk BT" w:hAnsi="AvantGarde Bk BT" w:cs="Arial"/>
          <w:sz w:val="24"/>
          <w:szCs w:val="24"/>
        </w:rPr>
      </w:pPr>
    </w:p>
    <w:p w14:paraId="1D220CA1" w14:textId="77777777" w:rsidR="00B44C1A" w:rsidRDefault="00B44C1A" w:rsidP="00414E98">
      <w:pPr>
        <w:pStyle w:val="corte4fondo"/>
        <w:tabs>
          <w:tab w:val="left" w:pos="567"/>
        </w:tabs>
        <w:spacing w:after="240"/>
        <w:ind w:firstLine="680"/>
        <w:rPr>
          <w:rFonts w:ascii="AvantGarde Bk BT" w:hAnsi="AvantGarde Bk BT" w:cs="Arial"/>
          <w:sz w:val="24"/>
          <w:szCs w:val="24"/>
        </w:rPr>
      </w:pPr>
    </w:p>
    <w:p w14:paraId="393DF55A" w14:textId="4092FBB1" w:rsidR="00B44C1A" w:rsidRDefault="00B44C1A" w:rsidP="002E054C">
      <w:pPr>
        <w:pStyle w:val="corte4fondo"/>
        <w:tabs>
          <w:tab w:val="left" w:pos="567"/>
        </w:tabs>
        <w:spacing w:after="240"/>
        <w:ind w:firstLine="0"/>
        <w:rPr>
          <w:rFonts w:ascii="AvantGarde Bk BT" w:hAnsi="AvantGarde Bk BT" w:cs="Arial"/>
          <w:sz w:val="24"/>
          <w:szCs w:val="24"/>
        </w:rPr>
      </w:pPr>
    </w:p>
    <w:p w14:paraId="0A510466" w14:textId="23F8D3D1" w:rsidR="006D4E1D" w:rsidRDefault="00B44C1A" w:rsidP="00414E98">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5408" behindDoc="0" locked="0" layoutInCell="1" allowOverlap="1" wp14:anchorId="41727C47" wp14:editId="7E446AAE">
            <wp:simplePos x="0" y="0"/>
            <wp:positionH relativeFrom="page">
              <wp:posOffset>2210435</wp:posOffset>
            </wp:positionH>
            <wp:positionV relativeFrom="paragraph">
              <wp:posOffset>558165</wp:posOffset>
            </wp:positionV>
            <wp:extent cx="3245485" cy="3347085"/>
            <wp:effectExtent l="0" t="0" r="0" b="571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1902" t="17797" r="31684" b="15700"/>
                    <a:stretch/>
                  </pic:blipFill>
                  <pic:spPr bwMode="auto">
                    <a:xfrm>
                      <a:off x="0" y="0"/>
                      <a:ext cx="3245485" cy="33470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14E98">
        <w:rPr>
          <w:rFonts w:ascii="AvantGarde Bk BT" w:hAnsi="AvantGarde Bk BT" w:cs="Arial"/>
          <w:sz w:val="24"/>
          <w:szCs w:val="24"/>
        </w:rPr>
        <w:t xml:space="preserve">A este respecto es menester precisar que el sujeto obligado acompañó </w:t>
      </w:r>
      <w:r w:rsidR="00371B07">
        <w:rPr>
          <w:rFonts w:ascii="AvantGarde Bk BT" w:hAnsi="AvantGarde Bk BT" w:cs="Arial"/>
          <w:sz w:val="24"/>
          <w:szCs w:val="24"/>
        </w:rPr>
        <w:t xml:space="preserve">como </w:t>
      </w:r>
      <w:r w:rsidR="00414E98">
        <w:rPr>
          <w:rFonts w:ascii="AvantGarde Bk BT" w:hAnsi="AvantGarde Bk BT" w:cs="Arial"/>
          <w:sz w:val="24"/>
          <w:szCs w:val="24"/>
        </w:rPr>
        <w:t>anexo a su respuesta</w:t>
      </w:r>
      <w:r>
        <w:rPr>
          <w:rFonts w:ascii="AvantGarde Bk BT" w:hAnsi="AvantGarde Bk BT" w:cs="Arial"/>
          <w:sz w:val="24"/>
          <w:szCs w:val="24"/>
        </w:rPr>
        <w:t xml:space="preserve"> el siguiente oficio</w:t>
      </w:r>
      <w:r w:rsidR="00371B07">
        <w:rPr>
          <w:rFonts w:ascii="AvantGarde Bk BT" w:hAnsi="AvantGarde Bk BT" w:cs="Arial"/>
          <w:sz w:val="24"/>
          <w:szCs w:val="24"/>
        </w:rPr>
        <w:t>:</w:t>
      </w:r>
    </w:p>
    <w:p w14:paraId="1BDB6340" w14:textId="142D2BDF" w:rsidR="00371B07" w:rsidRDefault="00371B07" w:rsidP="00414E98">
      <w:pPr>
        <w:pStyle w:val="corte4fondo"/>
        <w:tabs>
          <w:tab w:val="left" w:pos="567"/>
        </w:tabs>
        <w:spacing w:after="240"/>
        <w:ind w:firstLine="680"/>
        <w:rPr>
          <w:rFonts w:ascii="AvantGarde Bk BT" w:hAnsi="AvantGarde Bk BT" w:cs="Arial"/>
          <w:sz w:val="24"/>
          <w:szCs w:val="24"/>
        </w:rPr>
      </w:pPr>
    </w:p>
    <w:p w14:paraId="62300181" w14:textId="77777777" w:rsidR="00371B07" w:rsidRDefault="00371B07" w:rsidP="00C3545D">
      <w:pPr>
        <w:pStyle w:val="corte4fondo"/>
        <w:tabs>
          <w:tab w:val="left" w:pos="567"/>
        </w:tabs>
        <w:ind w:firstLine="680"/>
        <w:rPr>
          <w:rFonts w:ascii="AvantGarde Bk BT" w:hAnsi="AvantGarde Bk BT" w:cs="Arial"/>
          <w:sz w:val="24"/>
          <w:szCs w:val="24"/>
        </w:rPr>
      </w:pPr>
    </w:p>
    <w:p w14:paraId="5B17CEE6" w14:textId="77777777" w:rsidR="00371B07" w:rsidRDefault="00371B07" w:rsidP="00C3545D">
      <w:pPr>
        <w:pStyle w:val="corte4fondo"/>
        <w:tabs>
          <w:tab w:val="left" w:pos="567"/>
        </w:tabs>
        <w:ind w:firstLine="680"/>
        <w:rPr>
          <w:rFonts w:ascii="AvantGarde Bk BT" w:hAnsi="AvantGarde Bk BT" w:cs="Arial"/>
          <w:sz w:val="24"/>
          <w:szCs w:val="24"/>
        </w:rPr>
      </w:pPr>
    </w:p>
    <w:p w14:paraId="5D3AC368" w14:textId="77777777" w:rsidR="00371B07" w:rsidRDefault="00371B07" w:rsidP="00C3545D">
      <w:pPr>
        <w:pStyle w:val="corte4fondo"/>
        <w:tabs>
          <w:tab w:val="left" w:pos="567"/>
        </w:tabs>
        <w:ind w:firstLine="680"/>
        <w:rPr>
          <w:rFonts w:ascii="AvantGarde Bk BT" w:hAnsi="AvantGarde Bk BT" w:cs="Arial"/>
          <w:sz w:val="24"/>
          <w:szCs w:val="24"/>
        </w:rPr>
      </w:pPr>
    </w:p>
    <w:p w14:paraId="49E8A660" w14:textId="77777777" w:rsidR="00371B07" w:rsidRDefault="00371B07" w:rsidP="00C3545D">
      <w:pPr>
        <w:pStyle w:val="corte4fondo"/>
        <w:tabs>
          <w:tab w:val="left" w:pos="567"/>
        </w:tabs>
        <w:ind w:firstLine="680"/>
        <w:rPr>
          <w:rFonts w:ascii="AvantGarde Bk BT" w:hAnsi="AvantGarde Bk BT" w:cs="Arial"/>
          <w:sz w:val="24"/>
          <w:szCs w:val="24"/>
        </w:rPr>
      </w:pPr>
    </w:p>
    <w:p w14:paraId="1FC282E3" w14:textId="77777777" w:rsidR="00371B07" w:rsidRDefault="00371B07" w:rsidP="00C3545D">
      <w:pPr>
        <w:pStyle w:val="corte4fondo"/>
        <w:tabs>
          <w:tab w:val="left" w:pos="567"/>
        </w:tabs>
        <w:ind w:firstLine="680"/>
        <w:rPr>
          <w:rFonts w:ascii="AvantGarde Bk BT" w:hAnsi="AvantGarde Bk BT" w:cs="Arial"/>
          <w:sz w:val="24"/>
          <w:szCs w:val="24"/>
        </w:rPr>
      </w:pPr>
    </w:p>
    <w:p w14:paraId="3F4A4FA9" w14:textId="77777777" w:rsidR="00371B07" w:rsidRDefault="00371B07" w:rsidP="00C3545D">
      <w:pPr>
        <w:pStyle w:val="corte4fondo"/>
        <w:tabs>
          <w:tab w:val="left" w:pos="567"/>
        </w:tabs>
        <w:ind w:firstLine="680"/>
        <w:rPr>
          <w:rFonts w:ascii="AvantGarde Bk BT" w:hAnsi="AvantGarde Bk BT" w:cs="Arial"/>
          <w:sz w:val="24"/>
          <w:szCs w:val="24"/>
        </w:rPr>
      </w:pPr>
    </w:p>
    <w:p w14:paraId="6379E245" w14:textId="77777777" w:rsidR="00371B07" w:rsidRDefault="00371B07" w:rsidP="00C3545D">
      <w:pPr>
        <w:pStyle w:val="corte4fondo"/>
        <w:tabs>
          <w:tab w:val="left" w:pos="567"/>
        </w:tabs>
        <w:ind w:firstLine="680"/>
        <w:rPr>
          <w:rFonts w:ascii="AvantGarde Bk BT" w:hAnsi="AvantGarde Bk BT" w:cs="Arial"/>
          <w:sz w:val="24"/>
          <w:szCs w:val="24"/>
        </w:rPr>
      </w:pPr>
    </w:p>
    <w:p w14:paraId="616FBFF9" w14:textId="77777777" w:rsidR="00371B07" w:rsidRDefault="00371B07" w:rsidP="00C3545D">
      <w:pPr>
        <w:pStyle w:val="corte4fondo"/>
        <w:tabs>
          <w:tab w:val="left" w:pos="567"/>
        </w:tabs>
        <w:ind w:firstLine="680"/>
        <w:rPr>
          <w:rFonts w:ascii="AvantGarde Bk BT" w:hAnsi="AvantGarde Bk BT" w:cs="Arial"/>
          <w:sz w:val="24"/>
          <w:szCs w:val="24"/>
        </w:rPr>
      </w:pPr>
    </w:p>
    <w:p w14:paraId="3DAA7593" w14:textId="77777777" w:rsidR="00371B07" w:rsidRDefault="00371B07" w:rsidP="00C3545D">
      <w:pPr>
        <w:pStyle w:val="corte4fondo"/>
        <w:tabs>
          <w:tab w:val="left" w:pos="567"/>
        </w:tabs>
        <w:ind w:firstLine="680"/>
        <w:rPr>
          <w:rFonts w:ascii="AvantGarde Bk BT" w:hAnsi="AvantGarde Bk BT" w:cs="Arial"/>
          <w:sz w:val="24"/>
          <w:szCs w:val="24"/>
        </w:rPr>
      </w:pPr>
    </w:p>
    <w:p w14:paraId="5EC8D868" w14:textId="12A2A0AB" w:rsidR="00371B07" w:rsidRDefault="00371B07" w:rsidP="00B44C1A">
      <w:pPr>
        <w:pStyle w:val="corte4fondo"/>
        <w:tabs>
          <w:tab w:val="left" w:pos="567"/>
        </w:tabs>
        <w:ind w:firstLine="0"/>
        <w:rPr>
          <w:rFonts w:ascii="AvantGarde Bk BT" w:hAnsi="AvantGarde Bk BT" w:cs="Arial"/>
          <w:sz w:val="24"/>
          <w:szCs w:val="24"/>
        </w:rPr>
      </w:pPr>
    </w:p>
    <w:p w14:paraId="333BCF35" w14:textId="7571AA1B" w:rsidR="00B44C1A" w:rsidRDefault="00B44C1A" w:rsidP="00B44C1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Asimismo, el sujeto obligado acompañó a su respuesta una relación de sueldo neto, prestaciones y categoría de Agentes del Ministerio Público, Policías y Peritos, </w:t>
      </w:r>
      <w:r>
        <w:rPr>
          <w:rFonts w:ascii="AvantGarde Bk BT" w:hAnsi="AvantGarde Bk BT" w:cs="Arial"/>
          <w:sz w:val="24"/>
          <w:szCs w:val="24"/>
        </w:rPr>
        <w:lastRenderedPageBreak/>
        <w:t>misma que</w:t>
      </w:r>
      <w:r w:rsidR="003C1317">
        <w:rPr>
          <w:rFonts w:ascii="AvantGarde Bk BT" w:hAnsi="AvantGarde Bk BT" w:cs="Arial"/>
          <w:sz w:val="24"/>
          <w:szCs w:val="24"/>
        </w:rPr>
        <w:t xml:space="preserve"> se encuentra visible a foja 05</w:t>
      </w:r>
      <w:r>
        <w:rPr>
          <w:rFonts w:ascii="AvantGarde Bk BT" w:hAnsi="AvantGarde Bk BT" w:cs="Arial"/>
          <w:sz w:val="24"/>
          <w:szCs w:val="24"/>
        </w:rPr>
        <w:t xml:space="preserve"> de autos y que se tiene por reproducida como si a la letra se insertase.</w:t>
      </w:r>
    </w:p>
    <w:p w14:paraId="505F0041" w14:textId="3472CD54" w:rsidR="00946007" w:rsidRPr="00E0750B" w:rsidRDefault="00946007" w:rsidP="00C3545D">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650C10F6" w:rsidR="00946007" w:rsidRPr="00E0750B" w:rsidRDefault="00946007" w:rsidP="005F108B">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B44C1A">
        <w:rPr>
          <w:rFonts w:ascii="AvantGarde Bk BT" w:hAnsi="AvantGarde Bk BT" w:cs="Arial"/>
          <w:i/>
          <w:sz w:val="20"/>
          <w:szCs w:val="22"/>
        </w:rPr>
        <w:t xml:space="preserve">en la respuesta que se </w:t>
      </w:r>
      <w:proofErr w:type="spellStart"/>
      <w:r w:rsidR="00B44C1A">
        <w:rPr>
          <w:rFonts w:ascii="AvantGarde Bk BT" w:hAnsi="AvantGarde Bk BT" w:cs="Arial"/>
          <w:i/>
          <w:sz w:val="20"/>
          <w:szCs w:val="22"/>
        </w:rPr>
        <w:t>envio</w:t>
      </w:r>
      <w:proofErr w:type="spellEnd"/>
      <w:r w:rsidR="00B44C1A">
        <w:rPr>
          <w:rFonts w:ascii="AvantGarde Bk BT" w:hAnsi="AvantGarde Bk BT" w:cs="Arial"/>
          <w:i/>
          <w:sz w:val="20"/>
          <w:szCs w:val="22"/>
        </w:rPr>
        <w:t xml:space="preserve"> </w:t>
      </w:r>
      <w:r w:rsidR="00456856">
        <w:rPr>
          <w:rFonts w:ascii="AvantGarde Bk BT" w:hAnsi="AvantGarde Bk BT" w:cs="Arial"/>
          <w:i/>
          <w:sz w:val="20"/>
          <w:szCs w:val="22"/>
        </w:rPr>
        <w:t>no se establece si el personal percibe aguinaldo y su monto</w:t>
      </w:r>
      <w:r w:rsidR="00EE75F1" w:rsidRPr="00414E98">
        <w:rPr>
          <w:rFonts w:ascii="AvantGarde Bk BT" w:hAnsi="AvantGarde Bk BT" w:cs="Arial"/>
          <w:i/>
          <w:sz w:val="20"/>
          <w:szCs w:val="22"/>
        </w:rPr>
        <w:t>.</w:t>
      </w:r>
      <w:r w:rsidR="00C44B12">
        <w:rPr>
          <w:rFonts w:ascii="AvantGarde Bk BT" w:hAnsi="AvantGarde Bk BT" w:cs="Arial"/>
          <w:sz w:val="24"/>
          <w:szCs w:val="24"/>
        </w:rPr>
        <w:t>”</w:t>
      </w:r>
      <w:r w:rsidRPr="0037595A">
        <w:rPr>
          <w:rFonts w:ascii="AvantGarde Bk BT" w:hAnsi="AvantGarde Bk BT" w:cs="Arial"/>
          <w:sz w:val="24"/>
          <w:szCs w:val="24"/>
        </w:rPr>
        <w:t xml:space="preserve"> </w:t>
      </w:r>
      <w:r w:rsidR="00456856" w:rsidRPr="00456856">
        <w:rPr>
          <w:rFonts w:ascii="AvantGarde Bk BT" w:hAnsi="AvantGarde Bk BT" w:cs="Arial"/>
          <w:b/>
          <w:sz w:val="24"/>
          <w:szCs w:val="24"/>
        </w:rPr>
        <w:t>SIC</w:t>
      </w:r>
      <w:r w:rsidR="00456856">
        <w:rPr>
          <w:rFonts w:ascii="AvantGarde Bk BT" w:hAnsi="AvantGarde Bk BT" w:cs="Arial"/>
          <w:sz w:val="24"/>
          <w:szCs w:val="24"/>
        </w:rPr>
        <w:t xml:space="preserve"> </w:t>
      </w:r>
      <w:r w:rsidRPr="0037595A">
        <w:rPr>
          <w:rFonts w:ascii="AvantGarde Bk BT" w:hAnsi="AvantGarde Bk BT" w:cs="Arial"/>
          <w:sz w:val="24"/>
          <w:szCs w:val="24"/>
        </w:rPr>
        <w:t xml:space="preserve">(Visible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Pr="0037595A">
        <w:rPr>
          <w:rFonts w:ascii="AvantGarde Bk BT" w:hAnsi="AvantGarde Bk BT" w:cs="Arial"/>
          <w:sz w:val="24"/>
          <w:szCs w:val="24"/>
        </w:rPr>
        <w:t>de autos).</w:t>
      </w:r>
    </w:p>
    <w:p w14:paraId="674D3D9E" w14:textId="4DBDEF25" w:rsidR="00703B88" w:rsidRDefault="00946007" w:rsidP="007D7B73">
      <w:pPr>
        <w:pStyle w:val="corte4fondo"/>
        <w:tabs>
          <w:tab w:val="left" w:pos="567"/>
        </w:tabs>
        <w:spacing w:after="240"/>
        <w:ind w:firstLine="680"/>
        <w:rPr>
          <w:rFonts w:ascii="AvantGarde Bk BT" w:hAnsi="AvantGarde Bk BT" w:cs="Arial"/>
          <w:sz w:val="24"/>
          <w:szCs w:val="24"/>
        </w:rPr>
      </w:pPr>
      <w:r w:rsidRPr="001E2BA6">
        <w:rPr>
          <w:rFonts w:ascii="AvantGarde Bk BT" w:hAnsi="AvantGarde Bk BT" w:cs="Arial"/>
          <w:sz w:val="24"/>
          <w:szCs w:val="24"/>
        </w:rPr>
        <w:t xml:space="preserve">Al respecto, en el informe que el sujeto obligado rindió ante este organismo, </w:t>
      </w:r>
      <w:r w:rsidR="00D4006E" w:rsidRPr="001E2BA6">
        <w:rPr>
          <w:rFonts w:ascii="AvantGarde Bk BT" w:hAnsi="AvantGarde Bk BT" w:cs="Arial"/>
          <w:sz w:val="24"/>
          <w:szCs w:val="24"/>
        </w:rPr>
        <w:t xml:space="preserve">y que </w:t>
      </w:r>
      <w:r w:rsidR="00395037" w:rsidRPr="001E2BA6">
        <w:rPr>
          <w:rFonts w:ascii="AvantGarde Bk BT" w:hAnsi="AvantGarde Bk BT" w:cs="Arial"/>
          <w:sz w:val="24"/>
          <w:szCs w:val="24"/>
        </w:rPr>
        <w:t xml:space="preserve">se encuentra </w:t>
      </w:r>
      <w:r w:rsidR="00D4006E" w:rsidRPr="001E2BA6">
        <w:rPr>
          <w:rFonts w:ascii="AvantGarde Bk BT" w:hAnsi="AvantGarde Bk BT" w:cs="Arial"/>
          <w:sz w:val="24"/>
          <w:szCs w:val="24"/>
        </w:rPr>
        <w:t xml:space="preserve">visible de foja </w:t>
      </w:r>
      <w:r w:rsidR="00456856">
        <w:rPr>
          <w:rFonts w:ascii="AvantGarde Bk BT" w:hAnsi="AvantGarde Bk BT" w:cs="Arial"/>
          <w:sz w:val="24"/>
          <w:szCs w:val="24"/>
        </w:rPr>
        <w:t>19</w:t>
      </w:r>
      <w:r w:rsidR="00C44B12" w:rsidRPr="001E2BA6">
        <w:rPr>
          <w:rFonts w:ascii="AvantGarde Bk BT" w:hAnsi="AvantGarde Bk BT" w:cs="Arial"/>
          <w:sz w:val="24"/>
          <w:szCs w:val="24"/>
        </w:rPr>
        <w:t xml:space="preserve"> </w:t>
      </w:r>
      <w:r w:rsidR="00726109">
        <w:rPr>
          <w:rFonts w:ascii="AvantGarde Bk BT" w:hAnsi="AvantGarde Bk BT" w:cs="Arial"/>
          <w:sz w:val="24"/>
          <w:szCs w:val="24"/>
        </w:rPr>
        <w:t>a 21</w:t>
      </w:r>
      <w:r w:rsidR="00410C5D">
        <w:rPr>
          <w:rFonts w:ascii="AvantGarde Bk BT" w:hAnsi="AvantGarde Bk BT" w:cs="Arial"/>
          <w:sz w:val="24"/>
          <w:szCs w:val="24"/>
        </w:rPr>
        <w:t xml:space="preserve"> </w:t>
      </w:r>
      <w:r w:rsidR="00C44B12" w:rsidRPr="001E2BA6">
        <w:rPr>
          <w:rFonts w:ascii="AvantGarde Bk BT" w:hAnsi="AvantGarde Bk BT" w:cs="Arial"/>
          <w:sz w:val="24"/>
          <w:szCs w:val="24"/>
        </w:rPr>
        <w:t>de autos</w:t>
      </w:r>
      <w:r w:rsidR="00D4006E" w:rsidRPr="001E2BA6">
        <w:rPr>
          <w:rFonts w:ascii="AvantGarde Bk BT" w:hAnsi="AvantGarde Bk BT" w:cs="Arial"/>
          <w:sz w:val="24"/>
          <w:szCs w:val="24"/>
        </w:rPr>
        <w:t xml:space="preserve">, </w:t>
      </w:r>
      <w:r w:rsidR="00726109">
        <w:rPr>
          <w:rFonts w:ascii="AvantGarde Bk BT" w:hAnsi="AvantGarde Bk BT" w:cs="Arial"/>
          <w:sz w:val="24"/>
          <w:szCs w:val="24"/>
        </w:rPr>
        <w:t xml:space="preserve">reiteró su respuesta y solicitó que el recurso de revisión fuera </w:t>
      </w:r>
      <w:r w:rsidR="00456856">
        <w:rPr>
          <w:rFonts w:ascii="AvantGarde Bk BT" w:hAnsi="AvantGarde Bk BT" w:cs="Arial"/>
          <w:sz w:val="24"/>
          <w:szCs w:val="24"/>
        </w:rPr>
        <w:t>sobreseído</w:t>
      </w:r>
      <w:r w:rsidR="00410C5D">
        <w:rPr>
          <w:rFonts w:ascii="AvantGarde Bk BT" w:hAnsi="AvantGarde Bk BT" w:cs="Arial"/>
          <w:sz w:val="24"/>
          <w:szCs w:val="24"/>
        </w:rPr>
        <w:t>.</w:t>
      </w:r>
    </w:p>
    <w:p w14:paraId="782D4B0A" w14:textId="3A5C5757" w:rsidR="0089472D" w:rsidRDefault="0089472D" w:rsidP="0089472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 este cuerpo colegiado estima que los agravios vertidos por el particular resultan</w:t>
      </w:r>
      <w:r w:rsidRPr="00F02A2C">
        <w:rPr>
          <w:rFonts w:ascii="AvantGarde Bk BT" w:hAnsi="AvantGarde Bk BT" w:cs="Arial"/>
          <w:sz w:val="24"/>
          <w:szCs w:val="24"/>
        </w:rPr>
        <w:t xml:space="preserve"> </w:t>
      </w:r>
      <w:r w:rsidR="00AE058B">
        <w:rPr>
          <w:rFonts w:ascii="AvantGarde Bk BT" w:hAnsi="AvantGarde Bk BT" w:cs="Arial"/>
          <w:sz w:val="24"/>
          <w:szCs w:val="24"/>
        </w:rPr>
        <w:t>operantes en razón de las siguientes consideraciones:</w:t>
      </w:r>
    </w:p>
    <w:p w14:paraId="7510678C" w14:textId="77777777" w:rsidR="007745D7" w:rsidRDefault="007745D7" w:rsidP="007745D7">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primer término,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11615714" w14:textId="77777777" w:rsidR="007745D7" w:rsidRDefault="007745D7" w:rsidP="007745D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entes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lastRenderedPageBreak/>
        <w:t>concordancia entre el requerimiento formulado por el particular y la respuesta proporcionada</w:t>
      </w:r>
      <w:r>
        <w:rPr>
          <w:rFonts w:ascii="AvantGarde Bk BT" w:hAnsi="AvantGarde Bk BT" w:cs="Arial"/>
          <w:sz w:val="24"/>
          <w:szCs w:val="24"/>
        </w:rPr>
        <w:t>.</w:t>
      </w:r>
    </w:p>
    <w:p w14:paraId="5E565F6C" w14:textId="77777777" w:rsidR="007745D7" w:rsidRDefault="007745D7" w:rsidP="006130D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297A52D" w14:textId="77777777" w:rsidR="007745D7" w:rsidRDefault="007745D7" w:rsidP="007745D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02/17. Congruencia y </w:t>
      </w:r>
      <w:proofErr w:type="gramStart"/>
      <w:r w:rsidRPr="00B96B2A">
        <w:rPr>
          <w:rFonts w:ascii="AvantGarde Bk BT" w:hAnsi="AvantGarde Bk BT" w:cs="Arial"/>
          <w:b/>
          <w:i/>
          <w:sz w:val="20"/>
          <w:szCs w:val="24"/>
        </w:rPr>
        <w:t>exhaustividad.-</w:t>
      </w:r>
      <w:proofErr w:type="gramEnd"/>
      <w:r w:rsidRPr="00B96B2A">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B96B2A">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B96B2A">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7EA87B3F" w14:textId="77777777" w:rsidR="007745D7" w:rsidRPr="00E638C1" w:rsidRDefault="007745D7" w:rsidP="003C1317">
      <w:pPr>
        <w:pStyle w:val="corte4fondo"/>
        <w:tabs>
          <w:tab w:val="left" w:pos="567"/>
        </w:tabs>
        <w:ind w:firstLine="680"/>
        <w:rPr>
          <w:rFonts w:ascii="AvantGarde Bk BT" w:hAnsi="AvantGarde Bk BT" w:cs="Arial"/>
          <w:color w:val="000000" w:themeColor="text1"/>
          <w:sz w:val="24"/>
        </w:rPr>
      </w:pPr>
      <w:r>
        <w:rPr>
          <w:rFonts w:ascii="AvantGarde Bk BT" w:hAnsi="AvantGarde Bk BT" w:cs="Arial"/>
          <w:sz w:val="24"/>
          <w:szCs w:val="24"/>
        </w:rPr>
        <w:t xml:space="preserve">Ahora bien, es menester no perder de vista que todos los funcionarios públicos se encuentran sujetos al principio de legalidad, mismo que implica que toda determinación deberá de encontrarse debidamente fundada y motivada, </w:t>
      </w:r>
      <w:r>
        <w:rPr>
          <w:rFonts w:ascii="AvantGarde Bk BT" w:hAnsi="AvantGarde Bk BT" w:cs="Arial"/>
          <w:color w:val="000000" w:themeColor="text1"/>
          <w:sz w:val="24"/>
          <w:szCs w:val="22"/>
        </w:rPr>
        <w:t xml:space="preserve">en la inteligencia de que la </w:t>
      </w:r>
      <w:r w:rsidRPr="00E638C1">
        <w:rPr>
          <w:rFonts w:ascii="AvantGarde Bk BT" w:hAnsi="AvantGarde Bk BT" w:cs="Arial"/>
          <w:color w:val="000000" w:themeColor="text1"/>
          <w:sz w:val="24"/>
        </w:rPr>
        <w:t xml:space="preserve">fundamentación </w:t>
      </w:r>
      <w:r>
        <w:rPr>
          <w:rFonts w:ascii="AvantGarde Bk BT" w:hAnsi="AvantGarde Bk BT" w:cs="Arial"/>
          <w:color w:val="000000" w:themeColor="text1"/>
          <w:sz w:val="24"/>
        </w:rPr>
        <w:t>es el</w:t>
      </w:r>
      <w:r w:rsidRPr="00E638C1">
        <w:rPr>
          <w:rFonts w:ascii="AvantGarde Bk BT" w:hAnsi="AvantGarde Bk BT" w:cs="Arial"/>
          <w:color w:val="000000" w:themeColor="text1"/>
          <w:sz w:val="24"/>
        </w:rPr>
        <w:t xml:space="preserve"> conjunto de preceptos legales, ya sean de carácter sustantivo –parte legislativa que confiere derechos o impone obligaciones- o adjetivo –cuerpo legislativ</w:t>
      </w:r>
      <w:r>
        <w:rPr>
          <w:rFonts w:ascii="AvantGarde Bk BT" w:hAnsi="AvantGarde Bk BT" w:cs="Arial"/>
          <w:color w:val="000000" w:themeColor="text1"/>
          <w:sz w:val="24"/>
        </w:rPr>
        <w:t>o que regula el procedimiento- y, la</w:t>
      </w:r>
      <w:r w:rsidRPr="00E638C1">
        <w:rPr>
          <w:rFonts w:ascii="AvantGarde Bk BT" w:hAnsi="AvantGarde Bk BT" w:cs="Arial"/>
          <w:color w:val="000000" w:themeColor="text1"/>
          <w:sz w:val="24"/>
        </w:rPr>
        <w:t xml:space="preserve"> motivación</w:t>
      </w:r>
      <w:r>
        <w:rPr>
          <w:rFonts w:ascii="AvantGarde Bk BT" w:hAnsi="AvantGarde Bk BT" w:cs="Arial"/>
          <w:color w:val="000000" w:themeColor="text1"/>
          <w:sz w:val="24"/>
        </w:rPr>
        <w:t xml:space="preserve"> es</w:t>
      </w:r>
      <w:r w:rsidRPr="00E638C1">
        <w:rPr>
          <w:rFonts w:ascii="AvantGarde Bk BT" w:hAnsi="AvantGarde Bk BT" w:cs="Arial"/>
          <w:color w:val="000000" w:themeColor="text1"/>
          <w:sz w:val="24"/>
        </w:rPr>
        <w:t xml:space="preserve"> el conjunto de razonamientos lógico-jurídicos que justifiquen el porqué de su actuar de cada caso concreto; sirve de apoyo la siguiente tesis emitida por los tribunales de la federación:</w:t>
      </w:r>
    </w:p>
    <w:p w14:paraId="208D202B" w14:textId="77777777" w:rsidR="007745D7" w:rsidRPr="00B96B2A" w:rsidRDefault="007745D7" w:rsidP="007745D7">
      <w:pPr>
        <w:pStyle w:val="corte4fondo"/>
        <w:rPr>
          <w:rFonts w:ascii="AvantGarde Bk BT" w:hAnsi="AvantGarde Bk BT" w:cs="Arial"/>
          <w:i/>
          <w:color w:val="000000" w:themeColor="text1"/>
          <w:sz w:val="20"/>
        </w:rPr>
      </w:pPr>
      <w:r w:rsidRPr="00E638C1">
        <w:rPr>
          <w:rFonts w:ascii="AvantGarde Bk BT" w:hAnsi="AvantGarde Bk BT" w:cs="Arial"/>
          <w:i/>
          <w:color w:val="000000" w:themeColor="text1"/>
          <w:sz w:val="24"/>
        </w:rPr>
        <w:t>“</w:t>
      </w:r>
      <w:r w:rsidRPr="00B96B2A">
        <w:rPr>
          <w:rFonts w:ascii="AvantGarde Bk BT" w:hAnsi="AvantGarde Bk BT" w:cs="Arial"/>
          <w:i/>
          <w:color w:val="000000" w:themeColor="text1"/>
          <w:sz w:val="20"/>
        </w:rPr>
        <w:t xml:space="preserve">209986. I. 4o. P. 56 P. Tribunales Colegiados de Circuito. Octava Época. Semanario Judicial de la Federación. Tomo XIV, </w:t>
      </w:r>
      <w:proofErr w:type="gramStart"/>
      <w:r w:rsidRPr="00B96B2A">
        <w:rPr>
          <w:rFonts w:ascii="AvantGarde Bk BT" w:hAnsi="AvantGarde Bk BT" w:cs="Arial"/>
          <w:i/>
          <w:color w:val="000000" w:themeColor="text1"/>
          <w:sz w:val="20"/>
        </w:rPr>
        <w:t>Noviembre</w:t>
      </w:r>
      <w:proofErr w:type="gramEnd"/>
      <w:r w:rsidRPr="00B96B2A">
        <w:rPr>
          <w:rFonts w:ascii="AvantGarde Bk BT" w:hAnsi="AvantGarde Bk BT" w:cs="Arial"/>
          <w:i/>
          <w:color w:val="000000" w:themeColor="text1"/>
          <w:sz w:val="20"/>
        </w:rPr>
        <w:t xml:space="preserve"> de 1994, Pág. 450.</w:t>
      </w:r>
    </w:p>
    <w:p w14:paraId="6117C3E5" w14:textId="77777777" w:rsidR="007745D7" w:rsidRPr="00CF6C45" w:rsidRDefault="007745D7" w:rsidP="007745D7">
      <w:pPr>
        <w:pStyle w:val="corte4fondo"/>
        <w:spacing w:after="240"/>
        <w:rPr>
          <w:rFonts w:ascii="AvantGarde Bk BT" w:hAnsi="AvantGarde Bk BT" w:cs="Arial"/>
          <w:i/>
          <w:color w:val="000000" w:themeColor="text1"/>
          <w:sz w:val="24"/>
        </w:rPr>
      </w:pPr>
      <w:r w:rsidRPr="00B96B2A">
        <w:rPr>
          <w:rFonts w:ascii="AvantGarde Bk BT" w:hAnsi="AvantGarde Bk BT" w:cs="Arial"/>
          <w:b/>
          <w:i/>
          <w:color w:val="000000" w:themeColor="text1"/>
          <w:sz w:val="20"/>
        </w:rPr>
        <w:t>Fundamentación y motivación, concepto de.-</w:t>
      </w:r>
      <w:r w:rsidRPr="00B96B2A">
        <w:rPr>
          <w:rFonts w:ascii="AvantGarde Bk BT" w:hAnsi="AvantGarde Bk BT" w:cs="Arial"/>
          <w:i/>
          <w:color w:val="000000" w:themeColor="text1"/>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E638C1">
        <w:rPr>
          <w:rFonts w:ascii="AvantGarde Bk BT" w:hAnsi="AvantGarde Bk BT" w:cs="Arial"/>
          <w:i/>
          <w:color w:val="000000" w:themeColor="text1"/>
          <w:sz w:val="24"/>
        </w:rPr>
        <w:t>.”</w:t>
      </w:r>
    </w:p>
    <w:p w14:paraId="67C323D2" w14:textId="602C377C" w:rsidR="007745D7" w:rsidRPr="003F0818" w:rsidRDefault="007745D7" w:rsidP="007745D7">
      <w:pPr>
        <w:pStyle w:val="corte4fondo"/>
        <w:tabs>
          <w:tab w:val="left" w:pos="567"/>
        </w:tabs>
        <w:spacing w:after="240"/>
        <w:ind w:firstLine="680"/>
        <w:rPr>
          <w:rFonts w:ascii="AvantGarde Bk BT" w:hAnsi="AvantGarde Bk BT" w:cs="Arial"/>
          <w:sz w:val="24"/>
          <w:szCs w:val="24"/>
        </w:rPr>
      </w:pPr>
      <w:r w:rsidRPr="003F0818">
        <w:rPr>
          <w:rFonts w:ascii="AvantGarde Bk BT" w:hAnsi="AvantGarde Bk BT" w:cs="Arial"/>
          <w:sz w:val="24"/>
          <w:szCs w:val="24"/>
        </w:rPr>
        <w:lastRenderedPageBreak/>
        <w:t>Asimismo, el artículo 152 de la ley de la materia prevé que en el supuesto de que la información ya obre en medios impresos como libros, compendios, trípticos, registros públicos, en formatos electrónicos disponibles en Internet o en cualquier otro medio, se deberá privilegiar la entrega de dicha información y el sujeto obligado está constreñido a señalar el lugar en que se encuentre la información o proporcionar las instrucciones necesaria para que el peticionario pueda consultar la información</w:t>
      </w:r>
      <w:r w:rsidRPr="003F0818">
        <w:rPr>
          <w:rStyle w:val="Refdenotaalpie"/>
          <w:rFonts w:ascii="AvantGarde Bk BT" w:hAnsi="AvantGarde Bk BT" w:cs="Arial"/>
          <w:sz w:val="24"/>
          <w:szCs w:val="24"/>
        </w:rPr>
        <w:footnoteReference w:id="3"/>
      </w:r>
      <w:r w:rsidRPr="003F0818">
        <w:rPr>
          <w:rFonts w:ascii="AvantGarde Bk BT" w:hAnsi="AvantGarde Bk BT" w:cs="Arial"/>
          <w:sz w:val="24"/>
          <w:szCs w:val="24"/>
        </w:rPr>
        <w:t>.</w:t>
      </w:r>
    </w:p>
    <w:p w14:paraId="44422441" w14:textId="73CAB2D2" w:rsidR="007745D7" w:rsidRDefault="007745D7" w:rsidP="007745D7">
      <w:pPr>
        <w:pStyle w:val="corte4fondo"/>
        <w:tabs>
          <w:tab w:val="left" w:pos="567"/>
        </w:tabs>
        <w:spacing w:after="240"/>
        <w:ind w:firstLine="680"/>
        <w:rPr>
          <w:rFonts w:ascii="AvantGarde Bk BT" w:hAnsi="AvantGarde Bk BT" w:cs="Arial"/>
          <w:sz w:val="24"/>
          <w:szCs w:val="24"/>
        </w:rPr>
      </w:pPr>
      <w:r w:rsidRPr="006032DC">
        <w:rPr>
          <w:rFonts w:ascii="AvantGarde Bk BT" w:hAnsi="AvantGarde Bk BT" w:cs="Arial"/>
          <w:sz w:val="24"/>
          <w:szCs w:val="24"/>
        </w:rPr>
        <w:t xml:space="preserve">Así, en el caso concreto la información solicitada por el particular es de la considerada como pública de oficio, pues se encuentra contenida dentro del catálogo de las obligaciones comunes  de transparencia previstas por </w:t>
      </w:r>
      <w:r w:rsidR="003C1317">
        <w:rPr>
          <w:rFonts w:ascii="AvantGarde Bk BT" w:hAnsi="AvantGarde Bk BT" w:cs="Arial"/>
          <w:sz w:val="24"/>
          <w:szCs w:val="24"/>
        </w:rPr>
        <w:t>el</w:t>
      </w:r>
      <w:r w:rsidRPr="006032DC">
        <w:rPr>
          <w:rFonts w:ascii="AvantGarde Bk BT" w:hAnsi="AvantGarde Bk BT" w:cs="Arial"/>
          <w:sz w:val="24"/>
          <w:szCs w:val="24"/>
        </w:rPr>
        <w:t xml:space="preserve"> </w:t>
      </w:r>
      <w:r w:rsidR="003C1317">
        <w:rPr>
          <w:rFonts w:ascii="AvantGarde Bk BT" w:hAnsi="AvantGarde Bk BT" w:cs="Arial"/>
          <w:sz w:val="24"/>
          <w:szCs w:val="24"/>
        </w:rPr>
        <w:t>artículo</w:t>
      </w:r>
      <w:r w:rsidRPr="006032DC">
        <w:rPr>
          <w:rFonts w:ascii="AvantGarde Bk BT" w:hAnsi="AvantGarde Bk BT" w:cs="Arial"/>
          <w:sz w:val="24"/>
          <w:szCs w:val="24"/>
        </w:rPr>
        <w:t xml:space="preserve"> </w:t>
      </w:r>
      <w:r w:rsidRPr="006032DC">
        <w:rPr>
          <w:rFonts w:ascii="AvantGarde Bk BT" w:hAnsi="AvantGarde Bk BT" w:cs="Arial"/>
          <w:color w:val="000000" w:themeColor="text1"/>
          <w:sz w:val="24"/>
          <w:szCs w:val="24"/>
        </w:rPr>
        <w:t xml:space="preserve">84, </w:t>
      </w:r>
      <w:r w:rsidR="003C1317" w:rsidRPr="003C1317">
        <w:rPr>
          <w:rFonts w:ascii="AvantGarde Bk BT" w:hAnsi="AvantGarde Bk BT" w:cs="Arial"/>
          <w:color w:val="000000" w:themeColor="text1"/>
          <w:sz w:val="24"/>
          <w:szCs w:val="24"/>
        </w:rPr>
        <w:t>fracción XI</w:t>
      </w:r>
      <w:r w:rsidRPr="003C1317">
        <w:rPr>
          <w:rStyle w:val="Refdenotaalpie"/>
          <w:rFonts w:ascii="AvantGarde Bk BT" w:hAnsi="AvantGarde Bk BT" w:cs="Arial"/>
          <w:sz w:val="24"/>
          <w:szCs w:val="24"/>
        </w:rPr>
        <w:footnoteReference w:id="4"/>
      </w:r>
      <w:r w:rsidRPr="003C1317">
        <w:rPr>
          <w:rFonts w:ascii="AvantGarde Bk BT" w:hAnsi="AvantGarde Bk BT" w:cs="Arial"/>
          <w:sz w:val="24"/>
          <w:szCs w:val="24"/>
        </w:rPr>
        <w:t xml:space="preserve"> de la Ley de Transparencia.</w:t>
      </w:r>
    </w:p>
    <w:p w14:paraId="19F61851" w14:textId="708A9798" w:rsidR="003C1317" w:rsidRDefault="003C1317" w:rsidP="003C1317">
      <w:pPr>
        <w:pStyle w:val="corte4fondo"/>
        <w:tabs>
          <w:tab w:val="left" w:pos="567"/>
        </w:tabs>
        <w:spacing w:after="240"/>
        <w:ind w:firstLine="680"/>
        <w:rPr>
          <w:rFonts w:ascii="AvantGarde Bk BT" w:hAnsi="AvantGarde Bk BT" w:cs="Arial"/>
          <w:sz w:val="24"/>
          <w:szCs w:val="24"/>
        </w:rPr>
      </w:pPr>
      <w:r w:rsidRPr="003C1317">
        <w:rPr>
          <w:rFonts w:ascii="AvantGarde Bk BT" w:hAnsi="AvantGarde Bk BT" w:cs="Arial"/>
          <w:color w:val="000000" w:themeColor="text1"/>
          <w:sz w:val="24"/>
          <w:szCs w:val="24"/>
        </w:rPr>
        <w:t>Bajo el marco de las consideraciones antes anotadas y</w:t>
      </w:r>
      <w:r w:rsidRPr="003C1317">
        <w:rPr>
          <w:rFonts w:ascii="AvantGarde Bk BT" w:hAnsi="AvantGarde Bk BT" w:cs="Arial"/>
          <w:color w:val="000000" w:themeColor="text1"/>
          <w:sz w:val="24"/>
          <w:szCs w:val="24"/>
        </w:rPr>
        <w:t xml:space="preserve"> de las constancias </w:t>
      </w:r>
      <w:r w:rsidRPr="003C1317">
        <w:rPr>
          <w:rFonts w:ascii="AvantGarde Bk BT" w:hAnsi="AvantGarde Bk BT" w:cs="Arial"/>
          <w:color w:val="000000" w:themeColor="text1"/>
          <w:sz w:val="24"/>
          <w:szCs w:val="24"/>
        </w:rPr>
        <w:t>que integran los autos</w:t>
      </w:r>
      <w:r w:rsidRPr="003C1317">
        <w:rPr>
          <w:rFonts w:ascii="AvantGarde Bk BT" w:hAnsi="AvantGarde Bk BT" w:cs="Arial"/>
          <w:color w:val="000000" w:themeColor="text1"/>
          <w:sz w:val="24"/>
          <w:szCs w:val="24"/>
        </w:rPr>
        <w:t xml:space="preserve">, se advierte que </w:t>
      </w:r>
      <w:r w:rsidRPr="003C1317">
        <w:rPr>
          <w:rFonts w:ascii="AvantGarde Bk BT" w:hAnsi="AvantGarde Bk BT" w:cs="Arial"/>
          <w:color w:val="000000" w:themeColor="text1"/>
          <w:sz w:val="24"/>
          <w:szCs w:val="24"/>
        </w:rPr>
        <w:t xml:space="preserve">el sujeto obligado </w:t>
      </w:r>
      <w:r w:rsidRPr="003C1317">
        <w:rPr>
          <w:rFonts w:ascii="AvantGarde Bk BT" w:hAnsi="AvantGarde Bk BT" w:cs="Arial"/>
          <w:sz w:val="24"/>
          <w:szCs w:val="24"/>
        </w:rPr>
        <w:t xml:space="preserve">elaboró una respuesta </w:t>
      </w:r>
      <w:r w:rsidRPr="003C1317">
        <w:rPr>
          <w:rFonts w:ascii="AvantGarde Bk BT" w:hAnsi="AvantGarde Bk BT" w:cs="Arial"/>
          <w:i/>
          <w:sz w:val="24"/>
          <w:szCs w:val="24"/>
        </w:rPr>
        <w:t>ad hoc</w:t>
      </w:r>
      <w:r w:rsidRPr="003C1317">
        <w:rPr>
          <w:rFonts w:ascii="AvantGarde Bk BT" w:hAnsi="AvantGarde Bk BT" w:cs="Arial"/>
          <w:sz w:val="24"/>
          <w:szCs w:val="24"/>
        </w:rPr>
        <w:t xml:space="preserve"> a los requerimientos del peticionario; sin embargo, este debió realizar la búsqueda de la información requerida y entregar el soporte documental que respalde su respuesta, es decir, del cumulo de documentos que conforme a sus atribuciones genere o posea, debió proporcionar la expresión documental que contenga la información solicitada.</w:t>
      </w:r>
    </w:p>
    <w:p w14:paraId="110F8C35" w14:textId="77777777" w:rsidR="003C1317" w:rsidRDefault="003C1317" w:rsidP="003C13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1C828A3F" w14:textId="77777777" w:rsidR="003C1317" w:rsidRPr="00204353" w:rsidRDefault="003C1317" w:rsidP="003C131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xml:space="preserve">. Por lo anterior, los sujetos obligados deben garantizar el derecho de acceso a la </w:t>
      </w:r>
      <w:r w:rsidRPr="00B96B2A">
        <w:rPr>
          <w:rFonts w:ascii="AvantGarde Bk BT" w:hAnsi="AvantGarde Bk BT" w:cs="Arial"/>
          <w:i/>
          <w:sz w:val="20"/>
          <w:szCs w:val="24"/>
        </w:rPr>
        <w:lastRenderedPageBreak/>
        <w:t>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6BB6B6FE" w14:textId="638C080F" w:rsidR="007745D7" w:rsidRPr="003C1317" w:rsidRDefault="003C1317" w:rsidP="003C1317">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3D89DDE3" w14:textId="34EC663A" w:rsidR="003C1317" w:rsidRDefault="003C1317" w:rsidP="00CA0F8B">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anterior se colige que la respuesta emitida por el sujeto obligado es incorrecta, pues debió</w:t>
      </w:r>
      <w:r w:rsidR="005132F5">
        <w:rPr>
          <w:rFonts w:ascii="AvantGarde Bk BT" w:hAnsi="AvantGarde Bk BT" w:cs="Arial"/>
          <w:color w:val="000000" w:themeColor="text1"/>
          <w:sz w:val="24"/>
          <w:szCs w:val="24"/>
        </w:rPr>
        <w:t xml:space="preserve"> entregar al peticionario los formatos alojados en la Plataforma Estatal de Transparencia (PETS), relativos al artículo 84, fracción XI de la ley de la materia.</w:t>
      </w:r>
    </w:p>
    <w:p w14:paraId="6C1A8C52" w14:textId="61C090F3" w:rsidR="005132F5" w:rsidRDefault="005132F5" w:rsidP="00CA0F8B">
      <w:pPr>
        <w:pStyle w:val="corte4fondo"/>
        <w:spacing w:after="240"/>
        <w:rPr>
          <w:rFonts w:ascii="AvantGarde Bk BT" w:hAnsi="AvantGarde Bk BT" w:cs="Arial"/>
          <w:sz w:val="24"/>
          <w:szCs w:val="24"/>
        </w:rPr>
      </w:pPr>
      <w:r>
        <w:rPr>
          <w:rFonts w:ascii="AvantGarde Bk BT" w:hAnsi="AvantGarde Bk BT" w:cs="Arial"/>
          <w:color w:val="000000" w:themeColor="text1"/>
          <w:sz w:val="24"/>
          <w:szCs w:val="24"/>
        </w:rPr>
        <w:t xml:space="preserve">Por otro lado, no pasan inadvertidas las manifestaciones vertidas por el sujeto obligado respecto a que el solicitante en ningún momento mencionó en su solicitud que deseaba saber la cantidad que se paga a </w:t>
      </w:r>
      <w:r>
        <w:rPr>
          <w:rFonts w:ascii="AvantGarde Bk BT" w:hAnsi="AvantGarde Bk BT" w:cs="Arial"/>
          <w:sz w:val="24"/>
          <w:szCs w:val="24"/>
        </w:rPr>
        <w:t>Agentes del Ministerio Público,</w:t>
      </w:r>
      <w:r>
        <w:rPr>
          <w:rFonts w:ascii="AvantGarde Bk BT" w:hAnsi="AvantGarde Bk BT" w:cs="Arial"/>
          <w:sz w:val="24"/>
          <w:szCs w:val="24"/>
        </w:rPr>
        <w:t xml:space="preserve"> Fiscales, Policías</w:t>
      </w:r>
      <w:r>
        <w:rPr>
          <w:rFonts w:ascii="AvantGarde Bk BT" w:hAnsi="AvantGarde Bk BT" w:cs="Arial"/>
          <w:sz w:val="24"/>
          <w:szCs w:val="24"/>
        </w:rPr>
        <w:t xml:space="preserve"> y Peritos</w:t>
      </w:r>
      <w:r>
        <w:rPr>
          <w:rFonts w:ascii="AvantGarde Bk BT" w:hAnsi="AvantGarde Bk BT" w:cs="Arial"/>
          <w:sz w:val="24"/>
          <w:szCs w:val="24"/>
        </w:rPr>
        <w:t xml:space="preserve"> por concepto de aguinaldo; sin embargo, resulta dable precisar que el sujeto obligado </w:t>
      </w:r>
      <w:r w:rsidR="00AA765E">
        <w:rPr>
          <w:rFonts w:ascii="AvantGarde Bk BT" w:hAnsi="AvantGarde Bk BT" w:cs="Arial"/>
          <w:sz w:val="24"/>
          <w:szCs w:val="24"/>
        </w:rPr>
        <w:t>debió</w:t>
      </w:r>
      <w:r>
        <w:rPr>
          <w:rFonts w:ascii="AvantGarde Bk BT" w:hAnsi="AvantGarde Bk BT" w:cs="Arial"/>
          <w:sz w:val="24"/>
          <w:szCs w:val="24"/>
        </w:rPr>
        <w:t xml:space="preserve"> realizar una interpretaci</w:t>
      </w:r>
      <w:r w:rsidR="00AA765E">
        <w:rPr>
          <w:rFonts w:ascii="AvantGarde Bk BT" w:hAnsi="AvantGarde Bk BT" w:cs="Arial"/>
          <w:sz w:val="24"/>
          <w:szCs w:val="24"/>
        </w:rPr>
        <w:t>ón amplia de la solicitud</w:t>
      </w:r>
      <w:r>
        <w:rPr>
          <w:rFonts w:ascii="AvantGarde Bk BT" w:hAnsi="AvantGarde Bk BT" w:cs="Arial"/>
          <w:sz w:val="24"/>
          <w:szCs w:val="24"/>
        </w:rPr>
        <w:t xml:space="preserve"> de informaci</w:t>
      </w:r>
      <w:r w:rsidR="00AA765E">
        <w:rPr>
          <w:rFonts w:ascii="AvantGarde Bk BT" w:hAnsi="AvantGarde Bk BT" w:cs="Arial"/>
          <w:sz w:val="24"/>
          <w:szCs w:val="24"/>
        </w:rPr>
        <w:t xml:space="preserve">ón, ya que, el vocablo </w:t>
      </w:r>
      <w:r w:rsidR="00611472">
        <w:rPr>
          <w:rFonts w:ascii="AvantGarde Bk BT" w:hAnsi="AvantGarde Bk BT" w:cs="Arial"/>
          <w:sz w:val="24"/>
          <w:szCs w:val="24"/>
        </w:rPr>
        <w:t xml:space="preserve">“prestación” </w:t>
      </w:r>
      <w:r w:rsidR="006702F9">
        <w:rPr>
          <w:rFonts w:ascii="AvantGarde Bk BT" w:hAnsi="AvantGarde Bk BT" w:cs="Arial"/>
          <w:sz w:val="24"/>
          <w:szCs w:val="24"/>
        </w:rPr>
        <w:t>se refiere a la cantidad en dinero por concepto de sobresueldo, horas extra, gratificación anual (aguinaldo), bono de actuación, prima por antigüedad, ayuda para renta, etcétera</w:t>
      </w:r>
      <w:r w:rsidR="006702F9">
        <w:rPr>
          <w:rStyle w:val="Refdenotaalpie"/>
          <w:rFonts w:ascii="AvantGarde Bk BT" w:hAnsi="AvantGarde Bk BT" w:cs="Arial"/>
          <w:color w:val="000000" w:themeColor="text1"/>
          <w:sz w:val="24"/>
          <w:szCs w:val="24"/>
        </w:rPr>
        <w:footnoteReference w:id="5"/>
      </w:r>
      <w:r w:rsidR="00C2211A">
        <w:rPr>
          <w:rFonts w:ascii="AvantGarde Bk BT" w:hAnsi="AvantGarde Bk BT" w:cs="Arial"/>
          <w:sz w:val="24"/>
          <w:szCs w:val="24"/>
        </w:rPr>
        <w:t>.</w:t>
      </w:r>
    </w:p>
    <w:p w14:paraId="3385A38D" w14:textId="09FADB47" w:rsidR="00C2211A" w:rsidRDefault="00C2211A" w:rsidP="006130DF">
      <w:pPr>
        <w:pStyle w:val="corte4fondo"/>
        <w:rPr>
          <w:rFonts w:ascii="AvantGarde Bk BT" w:hAnsi="AvantGarde Bk BT" w:cs="Arial"/>
          <w:sz w:val="24"/>
          <w:szCs w:val="24"/>
        </w:rPr>
      </w:pPr>
      <w:r>
        <w:rPr>
          <w:rFonts w:ascii="AvantGarde Bk BT" w:hAnsi="AvantGarde Bk BT" w:cs="Arial"/>
          <w:sz w:val="24"/>
          <w:szCs w:val="24"/>
        </w:rPr>
        <w:t>Para mayor abundamiento resulta ilustrativa la siguiente jurisprudencia emitida por los Tribunales Federales:</w:t>
      </w:r>
    </w:p>
    <w:p w14:paraId="66B92633" w14:textId="1DDF93B4" w:rsidR="00C2211A" w:rsidRPr="00274936" w:rsidRDefault="00C2211A" w:rsidP="00274936">
      <w:pPr>
        <w:pStyle w:val="corte4fondo"/>
        <w:rPr>
          <w:rFonts w:ascii="AvantGarde Bk BT" w:hAnsi="AvantGarde Bk BT" w:cs="Arial"/>
          <w:b/>
          <w:i/>
          <w:sz w:val="20"/>
          <w:szCs w:val="24"/>
        </w:rPr>
      </w:pPr>
      <w:r>
        <w:rPr>
          <w:rFonts w:ascii="AvantGarde Bk BT" w:hAnsi="AvantGarde Bk BT" w:cs="Arial"/>
          <w:sz w:val="24"/>
          <w:szCs w:val="24"/>
        </w:rPr>
        <w:t>“</w:t>
      </w:r>
      <w:r w:rsidR="00274936" w:rsidRPr="00274936">
        <w:rPr>
          <w:rFonts w:ascii="AvantGarde Bk BT" w:hAnsi="AvantGarde Bk BT" w:cs="Arial"/>
          <w:b/>
          <w:i/>
          <w:sz w:val="20"/>
          <w:szCs w:val="24"/>
        </w:rPr>
        <w:t xml:space="preserve">Época: Octava Época; Registro: 1009954; </w:t>
      </w:r>
      <w:r w:rsidRPr="00274936">
        <w:rPr>
          <w:rFonts w:ascii="AvantGarde Bk BT" w:hAnsi="AvantGarde Bk BT" w:cs="Arial"/>
          <w:b/>
          <w:i/>
          <w:sz w:val="20"/>
          <w:szCs w:val="24"/>
        </w:rPr>
        <w:t>Instancia: Tr</w:t>
      </w:r>
      <w:r w:rsidR="00274936" w:rsidRPr="00274936">
        <w:rPr>
          <w:rFonts w:ascii="AvantGarde Bk BT" w:hAnsi="AvantGarde Bk BT" w:cs="Arial"/>
          <w:b/>
          <w:i/>
          <w:sz w:val="20"/>
          <w:szCs w:val="24"/>
        </w:rPr>
        <w:t xml:space="preserve">ibunales Colegiados de Circuito; Tipo de Tesis: Jurisprudencia; Fuente: Apéndice de 2011; </w:t>
      </w:r>
      <w:r w:rsidRPr="00274936">
        <w:rPr>
          <w:rFonts w:ascii="AvantGarde Bk BT" w:hAnsi="AvantGarde Bk BT" w:cs="Arial"/>
          <w:b/>
          <w:i/>
          <w:sz w:val="20"/>
          <w:szCs w:val="24"/>
        </w:rPr>
        <w:t>Tomo VI. Laboral Segunda Parte - TCC Primera Sección - Relaciones laborales ordin</w:t>
      </w:r>
      <w:r w:rsidR="00274936" w:rsidRPr="00274936">
        <w:rPr>
          <w:rFonts w:ascii="AvantGarde Bk BT" w:hAnsi="AvantGarde Bk BT" w:cs="Arial"/>
          <w:b/>
          <w:i/>
          <w:sz w:val="20"/>
          <w:szCs w:val="24"/>
        </w:rPr>
        <w:t>arias Subsección 1 - Sustantivo; Materia(s): Laboral; Tesis: 1159; Página: 1164.</w:t>
      </w:r>
    </w:p>
    <w:p w14:paraId="77BAF95F" w14:textId="2E19305A" w:rsidR="00C2211A" w:rsidRPr="00274936" w:rsidRDefault="00274936" w:rsidP="00274936">
      <w:pPr>
        <w:pStyle w:val="corte4fondo"/>
        <w:spacing w:after="240"/>
        <w:rPr>
          <w:rFonts w:ascii="AvantGarde Bk BT" w:hAnsi="AvantGarde Bk BT" w:cs="Arial"/>
          <w:sz w:val="24"/>
          <w:szCs w:val="24"/>
        </w:rPr>
      </w:pPr>
      <w:r w:rsidRPr="00274936">
        <w:rPr>
          <w:rFonts w:ascii="AvantGarde Bk BT" w:hAnsi="AvantGarde Bk BT" w:cs="Arial"/>
          <w:b/>
          <w:i/>
          <w:sz w:val="20"/>
          <w:szCs w:val="24"/>
        </w:rPr>
        <w:t xml:space="preserve">Aguinaldo, no debe considerarse como parte integral del salario. </w:t>
      </w:r>
      <w:proofErr w:type="gramStart"/>
      <w:r w:rsidRPr="00274936">
        <w:rPr>
          <w:rFonts w:ascii="AvantGarde Bk BT" w:hAnsi="AvantGarde Bk BT" w:cs="Arial"/>
          <w:b/>
          <w:i/>
          <w:sz w:val="20"/>
          <w:szCs w:val="24"/>
        </w:rPr>
        <w:t>Convenio.-</w:t>
      </w:r>
      <w:proofErr w:type="gramEnd"/>
      <w:r w:rsidRPr="00274936">
        <w:rPr>
          <w:rFonts w:ascii="AvantGarde Bk BT" w:hAnsi="AvantGarde Bk BT" w:cs="Arial"/>
          <w:i/>
          <w:sz w:val="20"/>
          <w:szCs w:val="24"/>
        </w:rPr>
        <w:t xml:space="preserve"> </w:t>
      </w:r>
      <w:r w:rsidR="00C2211A" w:rsidRPr="006130DF">
        <w:rPr>
          <w:rFonts w:ascii="AvantGarde Bk BT" w:hAnsi="AvantGarde Bk BT" w:cs="Arial"/>
          <w:i/>
          <w:sz w:val="20"/>
          <w:szCs w:val="24"/>
          <w:u w:val="single"/>
        </w:rPr>
        <w:t>El aguinaldo, por su naturaleza extraordinaria</w:t>
      </w:r>
      <w:r w:rsidR="00C2211A" w:rsidRPr="00274936">
        <w:rPr>
          <w:rFonts w:ascii="AvantGarde Bk BT" w:hAnsi="AvantGarde Bk BT" w:cs="Arial"/>
          <w:i/>
          <w:sz w:val="20"/>
          <w:szCs w:val="24"/>
        </w:rPr>
        <w:t xml:space="preserve">, no forma parte integrante del salario base de la liquidación, pues </w:t>
      </w:r>
      <w:r w:rsidR="00C2211A" w:rsidRPr="006130DF">
        <w:rPr>
          <w:rFonts w:ascii="AvantGarde Bk BT" w:hAnsi="AvantGarde Bk BT" w:cs="Arial"/>
          <w:i/>
          <w:sz w:val="20"/>
          <w:szCs w:val="24"/>
          <w:u w:val="single"/>
        </w:rPr>
        <w:t>dicha prestación se otorga al trabajador como un beneficio económico que le permita atender las necesidades propias de las fiestas decembrinas</w:t>
      </w:r>
      <w:r w:rsidR="00C2211A" w:rsidRPr="00274936">
        <w:rPr>
          <w:rFonts w:ascii="AvantGarde Bk BT" w:hAnsi="AvantGarde Bk BT" w:cs="Arial"/>
          <w:i/>
          <w:sz w:val="20"/>
          <w:szCs w:val="24"/>
        </w:rPr>
        <w:t xml:space="preserve"> y no como contraprestación por algún servicio </w:t>
      </w:r>
      <w:r w:rsidR="00C2211A" w:rsidRPr="00274936">
        <w:rPr>
          <w:rFonts w:ascii="AvantGarde Bk BT" w:hAnsi="AvantGarde Bk BT" w:cs="Arial"/>
          <w:i/>
          <w:sz w:val="20"/>
          <w:szCs w:val="24"/>
        </w:rPr>
        <w:lastRenderedPageBreak/>
        <w:t>prestado dentro de la jornada ordinaria. Máxime, si por virtud de un convenio entre las partes dicha percepción se excluye como concepto integrante del salario, estipulándose en cambio beneficios superiores a los legales, en favor de los trabajadores, en cuyo caso, el convenio de liquidación debe considerarse válido de conformidad con el artículo 3o. transitorio</w:t>
      </w:r>
      <w:r w:rsidRPr="00274936">
        <w:rPr>
          <w:rFonts w:ascii="AvantGarde Bk BT" w:hAnsi="AvantGarde Bk BT" w:cs="Arial"/>
          <w:i/>
          <w:sz w:val="20"/>
          <w:szCs w:val="24"/>
        </w:rPr>
        <w:t xml:space="preserve"> de la Ley Federal del Trabajo.</w:t>
      </w:r>
      <w:r>
        <w:rPr>
          <w:rFonts w:ascii="AvantGarde Bk BT" w:hAnsi="AvantGarde Bk BT" w:cs="Arial"/>
          <w:sz w:val="24"/>
          <w:szCs w:val="24"/>
        </w:rPr>
        <w:t>”</w:t>
      </w:r>
      <w:r w:rsidR="006130DF">
        <w:rPr>
          <w:rFonts w:ascii="AvantGarde Bk BT" w:hAnsi="AvantGarde Bk BT" w:cs="Arial"/>
          <w:sz w:val="24"/>
          <w:szCs w:val="24"/>
        </w:rPr>
        <w:t xml:space="preserve"> (Énfasis propio).</w:t>
      </w:r>
    </w:p>
    <w:p w14:paraId="1A2EF349" w14:textId="6A05DF2C" w:rsidR="006130DF" w:rsidRDefault="002E054C" w:rsidP="00CA0F8B">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es evidente que el sujeto obligado debió entregar la expresión documental que contenga todas las prestaciones que perciben </w:t>
      </w:r>
      <w:r>
        <w:rPr>
          <w:rFonts w:ascii="AvantGarde Bk BT" w:hAnsi="AvantGarde Bk BT" w:cs="Arial"/>
          <w:sz w:val="24"/>
          <w:szCs w:val="24"/>
        </w:rPr>
        <w:t>Agentes del Ministerio Público, Fiscales, Policías y Peritos</w:t>
      </w:r>
      <w:r>
        <w:rPr>
          <w:rFonts w:ascii="AvantGarde Bk BT" w:hAnsi="AvantGarde Bk BT" w:cs="Arial"/>
          <w:sz w:val="24"/>
          <w:szCs w:val="24"/>
        </w:rPr>
        <w:t>.</w:t>
      </w:r>
    </w:p>
    <w:p w14:paraId="7EF269A6" w14:textId="667B1058" w:rsidR="00CA0F8B" w:rsidRPr="00CB2002" w:rsidRDefault="00D26FEF" w:rsidP="00CA0F8B">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w:t>
      </w:r>
      <w:r w:rsidR="00CA0F8B" w:rsidRPr="000D7A8C">
        <w:rPr>
          <w:rFonts w:ascii="AvantGarde Bk BT" w:hAnsi="AvantGarde Bk BT" w:cs="Arial"/>
          <w:color w:val="000000" w:themeColor="text1"/>
          <w:sz w:val="24"/>
          <w:szCs w:val="24"/>
        </w:rPr>
        <w:t>, este cuerpo colegiado estima pertinente puntualizar que los sujetos</w:t>
      </w:r>
      <w:r w:rsidR="00CA0F8B" w:rsidRPr="00CB2002">
        <w:rPr>
          <w:rFonts w:ascii="AvantGarde Bk BT" w:hAnsi="AvantGarde Bk BT" w:cs="Arial"/>
          <w:color w:val="000000" w:themeColor="text1"/>
          <w:sz w:val="24"/>
          <w:szCs w:val="24"/>
        </w:rPr>
        <w:t xml:space="preserve">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00CA0F8B" w:rsidRPr="00CB2002">
        <w:rPr>
          <w:rFonts w:ascii="AvantGarde Bk BT" w:hAnsi="AvantGarde Bk BT" w:cs="Arial"/>
          <w:color w:val="000000" w:themeColor="text1"/>
          <w:sz w:val="24"/>
          <w:szCs w:val="24"/>
          <w:vertAlign w:val="superscript"/>
        </w:rPr>
        <w:footnoteReference w:id="6"/>
      </w:r>
      <w:r w:rsidR="00CA0F8B" w:rsidRPr="00CB2002">
        <w:rPr>
          <w:rFonts w:ascii="AvantGarde Bk BT" w:hAnsi="AvantGarde Bk BT" w:cs="Arial"/>
          <w:color w:val="000000" w:themeColor="text1"/>
          <w:sz w:val="24"/>
          <w:szCs w:val="24"/>
        </w:rPr>
        <w:t>.</w:t>
      </w:r>
    </w:p>
    <w:p w14:paraId="452080D5" w14:textId="77777777" w:rsidR="00002DE6" w:rsidRPr="00873D15" w:rsidRDefault="00002DE6" w:rsidP="00002DE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0AFB509C" w14:textId="77777777" w:rsidR="00002DE6" w:rsidRDefault="00002DE6" w:rsidP="002E054C">
      <w:pPr>
        <w:pStyle w:val="corte4fondo"/>
        <w:tabs>
          <w:tab w:val="left" w:pos="567"/>
        </w:tabs>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207BDB49" w14:textId="7AA9462D" w:rsidR="0089472D" w:rsidRDefault="00DB70BD" w:rsidP="002E054C">
      <w:pPr>
        <w:pStyle w:val="corte4fondo"/>
        <w:numPr>
          <w:ilvl w:val="3"/>
          <w:numId w:val="4"/>
        </w:numPr>
        <w:tabs>
          <w:tab w:val="left" w:pos="567"/>
        </w:tabs>
        <w:spacing w:after="240"/>
        <w:ind w:left="993" w:hanging="284"/>
        <w:rPr>
          <w:rFonts w:ascii="AvantGarde Bk BT" w:hAnsi="AvantGarde Bk BT" w:cs="Arial"/>
          <w:color w:val="000000" w:themeColor="text1"/>
          <w:sz w:val="24"/>
          <w:szCs w:val="24"/>
        </w:rPr>
      </w:pPr>
      <w:r>
        <w:rPr>
          <w:rFonts w:ascii="AvantGarde Bk BT" w:hAnsi="AvantGarde Bk BT" w:cs="Arial"/>
          <w:color w:val="000000" w:themeColor="text1"/>
          <w:sz w:val="24"/>
          <w:szCs w:val="24"/>
        </w:rPr>
        <w:t>Realice una nueva respuesta y entregue</w:t>
      </w:r>
      <w:r w:rsidR="002E054C">
        <w:rPr>
          <w:rFonts w:ascii="AvantGarde Bk BT" w:hAnsi="AvantGarde Bk BT" w:cs="Arial"/>
          <w:color w:val="000000" w:themeColor="text1"/>
          <w:sz w:val="24"/>
          <w:szCs w:val="24"/>
        </w:rPr>
        <w:t xml:space="preserve"> </w:t>
      </w:r>
      <w:r w:rsidR="002E054C">
        <w:rPr>
          <w:rFonts w:ascii="AvantGarde Bk BT" w:hAnsi="AvantGarde Bk BT" w:cs="Arial"/>
          <w:color w:val="000000" w:themeColor="text1"/>
          <w:sz w:val="24"/>
          <w:szCs w:val="24"/>
        </w:rPr>
        <w:t>los formatos alojados en la Plataforma Estatal de Transparencia (PETS), relativos al artículo 84, fracción XI de la ley de la materia</w:t>
      </w:r>
      <w:r w:rsidR="002E054C">
        <w:rPr>
          <w:rFonts w:ascii="AvantGarde Bk BT" w:hAnsi="AvantGarde Bk BT" w:cs="Arial"/>
          <w:color w:val="000000" w:themeColor="text1"/>
          <w:sz w:val="24"/>
          <w:szCs w:val="24"/>
        </w:rPr>
        <w:t xml:space="preserve"> que contenga todas las prestaciones que reciben los </w:t>
      </w:r>
      <w:r w:rsidR="002E054C">
        <w:rPr>
          <w:rFonts w:ascii="AvantGarde Bk BT" w:hAnsi="AvantGarde Bk BT" w:cs="Arial"/>
          <w:sz w:val="24"/>
          <w:szCs w:val="24"/>
        </w:rPr>
        <w:t>Agentes del Ministerio Público, Fiscales, Policías y Peritos</w:t>
      </w:r>
      <w:r>
        <w:rPr>
          <w:rFonts w:ascii="AvantGarde Bk BT" w:hAnsi="AvantGarde Bk BT" w:cs="Arial"/>
          <w:color w:val="000000" w:themeColor="text1"/>
          <w:sz w:val="24"/>
          <w:szCs w:val="24"/>
        </w:rPr>
        <w:t>.</w:t>
      </w:r>
    </w:p>
    <w:p w14:paraId="6872A0A6" w14:textId="103F9C38" w:rsidR="00002DE6" w:rsidRPr="007C5605" w:rsidRDefault="006601D9" w:rsidP="006601D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002DE6" w:rsidRPr="007C5605">
        <w:rPr>
          <w:rFonts w:ascii="AvantGarde Bk BT" w:hAnsi="AvantGarde Bk BT" w:cs="Arial"/>
          <w:b/>
          <w:color w:val="000000" w:themeColor="text1"/>
          <w:sz w:val="24"/>
          <w:szCs w:val="24"/>
        </w:rPr>
        <w:t>Modalidad de la información.</w:t>
      </w:r>
    </w:p>
    <w:p w14:paraId="172E84D4" w14:textId="5BFD8B3D"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lastRenderedPageBreak/>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00F310F1">
        <w:rPr>
          <w:rFonts w:ascii="AvantGarde Bk BT" w:hAnsi="AvantGarde Bk BT" w:cs="Arial"/>
          <w:color w:val="000000" w:themeColor="text1"/>
          <w:sz w:val="24"/>
          <w:szCs w:val="24"/>
        </w:rPr>
        <w:t xml:space="preserve">así como vía correo electrónico, </w:t>
      </w:r>
      <w:r w:rsidRPr="00D67102">
        <w:rPr>
          <w:rFonts w:ascii="AvantGarde Bk BT" w:hAnsi="AvantGarde Bk BT" w:cs="Arial"/>
          <w:color w:val="000000" w:themeColor="text1"/>
          <w:sz w:val="24"/>
          <w:szCs w:val="24"/>
        </w:rPr>
        <w:t xml:space="preserve">el sujeto obligado deberá </w:t>
      </w:r>
      <w:r w:rsidR="00F310F1">
        <w:rPr>
          <w:rFonts w:ascii="AvantGarde Bk BT" w:hAnsi="AvantGarde Bk BT" w:cs="Arial"/>
          <w:color w:val="000000" w:themeColor="text1"/>
          <w:sz w:val="24"/>
          <w:szCs w:val="24"/>
        </w:rPr>
        <w:t>notificar la nueva respuesta a través de los estrados</w:t>
      </w:r>
      <w:r w:rsidRPr="00D67102">
        <w:rPr>
          <w:rFonts w:ascii="AvantGarde Bk BT" w:hAnsi="AvantGarde Bk BT" w:cs="Arial"/>
          <w:color w:val="000000" w:themeColor="text1"/>
          <w:sz w:val="24"/>
          <w:szCs w:val="24"/>
        </w:rPr>
        <w:t>.</w:t>
      </w:r>
    </w:p>
    <w:p w14:paraId="6EAA672B" w14:textId="741AF591" w:rsidR="00002DE6" w:rsidRPr="00831D47"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002DE6"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5E3763A4" w14:textId="277FB666"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2E054C">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DF66B8A" w14:textId="18403AD1" w:rsidR="00002DE6" w:rsidRPr="004C15C0" w:rsidRDefault="00002DE6" w:rsidP="00002DE6">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6601D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362AF80" w14:textId="40DA06F2"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1BF38CF5" w14:textId="7B4350D2" w:rsidR="00002DE6" w:rsidRPr="00684218"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002DE6" w:rsidRPr="008E469A">
        <w:rPr>
          <w:rFonts w:ascii="AvantGarde Bk BT" w:hAnsi="AvantGarde Bk BT" w:cs="Arial"/>
          <w:b/>
          <w:color w:val="000000" w:themeColor="text1"/>
          <w:sz w:val="24"/>
          <w:szCs w:val="24"/>
        </w:rPr>
        <w:t>. Medio de impugnación.</w:t>
      </w:r>
    </w:p>
    <w:p w14:paraId="05E2542E" w14:textId="450238F6" w:rsidR="00002DE6" w:rsidRPr="003358EE" w:rsidRDefault="00002DE6" w:rsidP="0088410D">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w:t>
      </w:r>
      <w:r w:rsidRPr="008E469A">
        <w:rPr>
          <w:rFonts w:ascii="AvantGarde Bk BT" w:hAnsi="AvantGarde Bk BT" w:cs="Arial"/>
          <w:color w:val="000000" w:themeColor="text1"/>
          <w:sz w:val="24"/>
          <w:szCs w:val="24"/>
        </w:rPr>
        <w:lastRenderedPageBreak/>
        <w:t>Información y Protección de Datos Personales o ante el Poder Judicial de la Federación.</w:t>
      </w:r>
    </w:p>
    <w:p w14:paraId="3B749AE1" w14:textId="35F73E55" w:rsidR="00002DE6" w:rsidRPr="00E215D2" w:rsidRDefault="00002DE6" w:rsidP="00002DE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B4BDBD0" w14:textId="55A5700C" w:rsidR="00683ECE" w:rsidRPr="007C5605" w:rsidRDefault="00002DE6" w:rsidP="002E054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1894ECE1" w14:textId="5CF2C1B8" w:rsidR="00683ECE" w:rsidRPr="007C5605" w:rsidRDefault="00002DE6" w:rsidP="002E054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9A5D262" w14:textId="04DB782B" w:rsidR="00683ECE" w:rsidRPr="00002DE6" w:rsidRDefault="00002DE6" w:rsidP="002E054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7EF604F" w14:textId="6C0BB37C" w:rsidR="00683ECE" w:rsidRDefault="00A42E6E" w:rsidP="002E054C">
      <w:pPr>
        <w:pStyle w:val="corte4fondo"/>
        <w:tabs>
          <w:tab w:val="left" w:pos="567"/>
        </w:tabs>
        <w:spacing w:after="240"/>
        <w:rPr>
          <w:rFonts w:ascii="AvantGarde Bk BT" w:hAnsi="AvantGarde Bk BT"/>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2E054C">
        <w:rPr>
          <w:rFonts w:ascii="AvantGarde Bk BT" w:hAnsi="AvantGarde Bk BT"/>
          <w:sz w:val="24"/>
          <w:szCs w:val="24"/>
        </w:rPr>
        <w:t>28 veintiocho de agosto</w:t>
      </w:r>
      <w:r w:rsidRPr="00E0750B">
        <w:rPr>
          <w:rFonts w:ascii="AvantGarde Bk BT" w:hAnsi="AvantGarde Bk BT"/>
          <w:sz w:val="24"/>
          <w:szCs w:val="24"/>
        </w:rPr>
        <w:t xml:space="preserve"> de 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w:t>
      </w:r>
      <w:proofErr w:type="spellStart"/>
      <w:r>
        <w:rPr>
          <w:rFonts w:ascii="AvantGarde Bk BT" w:hAnsi="AvantGarde Bk BT" w:cs="Arial"/>
          <w:color w:val="000000" w:themeColor="text1"/>
          <w:sz w:val="24"/>
          <w:szCs w:val="24"/>
        </w:rPr>
        <w:t>Mariajosé</w:t>
      </w:r>
      <w:proofErr w:type="spellEnd"/>
      <w:r>
        <w:rPr>
          <w:rFonts w:ascii="AvantGarde Bk BT" w:hAnsi="AvantGarde Bk BT" w:cs="Arial"/>
          <w:color w:val="000000" w:themeColor="text1"/>
          <w:sz w:val="24"/>
          <w:szCs w:val="24"/>
        </w:rPr>
        <w:t xml:space="preserve"> González Zarzosa,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177463EA" w14:textId="3F48A355" w:rsidR="00A42E6E" w:rsidRDefault="00A42E6E" w:rsidP="00A42E6E">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COMISIONADO      </w:t>
      </w:r>
      <w:r w:rsidR="00274CF6">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COMISIONADA PRESIDENTE</w:t>
      </w:r>
    </w:p>
    <w:p w14:paraId="6729D269" w14:textId="77777777" w:rsidR="00A42E6E" w:rsidRPr="003358EE" w:rsidRDefault="00A42E6E" w:rsidP="00A42E6E">
      <w:pPr>
        <w:pStyle w:val="NormalWeb"/>
        <w:rPr>
          <w:rFonts w:ascii="AvantGarde Bk BT" w:hAnsi="AvantGarde Bk BT" w:cs="Arial"/>
          <w:b/>
          <w:color w:val="000000" w:themeColor="text1"/>
          <w:lang w:val="es-MX"/>
        </w:rPr>
      </w:pPr>
    </w:p>
    <w:p w14:paraId="49BDE5E0" w14:textId="5EB187E5" w:rsidR="00683ECE" w:rsidRDefault="00A42E6E" w:rsidP="00683EC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LIC. PAULINA SÁNCHEZ PÉREZ DEL POZO.</w:t>
      </w:r>
    </w:p>
    <w:p w14:paraId="2C18D94A" w14:textId="209F6B03" w:rsidR="00274CF6" w:rsidRPr="003358EE" w:rsidRDefault="00274CF6" w:rsidP="009F0167">
      <w:pPr>
        <w:pStyle w:val="NormalWeb"/>
        <w:rPr>
          <w:rFonts w:ascii="AvantGarde Bk BT" w:hAnsi="AvantGarde Bk BT" w:cs="Arial"/>
          <w:b/>
          <w:color w:val="000000" w:themeColor="text1"/>
          <w:lang w:val="es-MX"/>
        </w:rPr>
      </w:pPr>
    </w:p>
    <w:p w14:paraId="7931902B" w14:textId="27A2FA6D" w:rsidR="00A42E6E" w:rsidRPr="003358EE" w:rsidRDefault="00274CF6" w:rsidP="00274CF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A42E6E" w:rsidRPr="003358EE">
        <w:rPr>
          <w:rFonts w:ascii="AvantGarde Bk BT" w:hAnsi="AvantGarde Bk BT" w:cs="Arial"/>
          <w:b/>
          <w:color w:val="000000" w:themeColor="text1"/>
          <w:lang w:val="es-MX"/>
        </w:rPr>
        <w:t xml:space="preserve">COMISIONADA        </w:t>
      </w:r>
      <w:r w:rsidR="00A42E6E">
        <w:rPr>
          <w:rFonts w:ascii="AvantGarde Bk BT" w:hAnsi="AvantGarde Bk BT" w:cs="Arial"/>
          <w:b/>
          <w:color w:val="000000" w:themeColor="text1"/>
          <w:lang w:val="es-MX"/>
        </w:rPr>
        <w:t xml:space="preserve">                        </w:t>
      </w:r>
      <w:r w:rsidR="00A42E6E"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A42E6E" w:rsidRPr="003358EE">
        <w:rPr>
          <w:rFonts w:ascii="AvantGarde Bk BT" w:hAnsi="AvantGarde Bk BT" w:cs="Arial"/>
          <w:b/>
          <w:color w:val="000000" w:themeColor="text1"/>
          <w:lang w:val="es-MX"/>
        </w:rPr>
        <w:t xml:space="preserve">     SECRETARIA DE PLENO</w:t>
      </w:r>
    </w:p>
    <w:p w14:paraId="7D74C69E" w14:textId="77777777" w:rsidR="00A42E6E" w:rsidRPr="003358EE" w:rsidRDefault="00A42E6E" w:rsidP="00A42E6E">
      <w:pPr>
        <w:pStyle w:val="NormalWeb"/>
        <w:rPr>
          <w:rFonts w:ascii="AvantGarde Bk BT" w:hAnsi="AvantGarde Bk BT" w:cs="Arial"/>
          <w:b/>
          <w:color w:val="000000" w:themeColor="text1"/>
          <w:lang w:val="es-MX"/>
        </w:rPr>
      </w:pPr>
      <w:bookmarkStart w:id="0" w:name="_GoBack"/>
      <w:bookmarkEnd w:id="0"/>
    </w:p>
    <w:p w14:paraId="03F48520" w14:textId="77777777" w:rsidR="00A42E6E" w:rsidRPr="003358EE" w:rsidRDefault="00A42E6E" w:rsidP="00A42E6E">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6A3DB7D" w14:textId="77777777" w:rsidR="00A42E6E" w:rsidRPr="001314EC" w:rsidRDefault="00A42E6E" w:rsidP="002E054C">
      <w:pPr>
        <w:autoSpaceDE w:val="0"/>
        <w:autoSpaceDN w:val="0"/>
        <w:adjustRightInd w:val="0"/>
        <w:spacing w:after="0" w:line="24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67283375" w14:textId="06BD0C25" w:rsidR="00A42E6E" w:rsidRPr="004C15C0" w:rsidRDefault="00A42E6E" w:rsidP="00A42E6E">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sidR="002E054C">
        <w:rPr>
          <w:rFonts w:ascii="AvantGarde Bk BT" w:hAnsi="AvantGarde Bk BT" w:cs="Arial"/>
          <w:color w:val="000000" w:themeColor="text1"/>
          <w:sz w:val="14"/>
          <w:szCs w:val="14"/>
        </w:rPr>
        <w:t>28 veintiocho de agosto</w:t>
      </w:r>
      <w:r>
        <w:rPr>
          <w:rFonts w:ascii="AvantGarde Bk BT" w:hAnsi="AvantGarde Bk BT" w:cs="Arial"/>
          <w:color w:val="000000" w:themeColor="text1"/>
          <w:sz w:val="14"/>
          <w:szCs w:val="14"/>
        </w:rPr>
        <w:t xml:space="preserve"> de 2019 dos mil diecinueve, dentro de los autos</w:t>
      </w:r>
      <w:r w:rsidR="002E054C">
        <w:rPr>
          <w:rFonts w:ascii="AvantGarde Bk BT" w:hAnsi="AvantGarde Bk BT" w:cs="Arial"/>
          <w:color w:val="000000" w:themeColor="text1"/>
          <w:sz w:val="14"/>
          <w:szCs w:val="14"/>
        </w:rPr>
        <w:t xml:space="preserve"> del recurso de revisión RR-1231</w:t>
      </w:r>
      <w:r>
        <w:rPr>
          <w:rFonts w:ascii="AvantGarde Bk BT" w:hAnsi="AvantGarde Bk BT" w:cs="Arial"/>
          <w:color w:val="000000" w:themeColor="text1"/>
          <w:sz w:val="14"/>
          <w:szCs w:val="14"/>
        </w:rPr>
        <w:t xml:space="preserve">/2018-1 </w:t>
      </w:r>
      <w:r w:rsidR="002E054C">
        <w:rPr>
          <w:rFonts w:ascii="AvantGarde Bk BT" w:hAnsi="AvantGarde Bk BT" w:cs="Arial"/>
          <w:color w:val="000000" w:themeColor="text1"/>
          <w:sz w:val="14"/>
          <w:szCs w:val="14"/>
        </w:rPr>
        <w:t>SIGEMI</w:t>
      </w:r>
      <w:r>
        <w:rPr>
          <w:rFonts w:ascii="AvantGarde Bk BT" w:hAnsi="AvantGarde Bk BT" w:cs="Arial"/>
          <w:color w:val="000000" w:themeColor="text1"/>
          <w:sz w:val="14"/>
          <w:szCs w:val="14"/>
        </w:rPr>
        <w:t>.)</w:t>
      </w:r>
    </w:p>
    <w:p w14:paraId="0D4DF0CB" w14:textId="647C1742" w:rsidR="00946007" w:rsidRPr="00773492" w:rsidRDefault="00946007" w:rsidP="00A42E6E">
      <w:pPr>
        <w:pStyle w:val="corte4fondo"/>
        <w:rPr>
          <w:rFonts w:ascii="AvantGarde Bk BT" w:hAnsi="AvantGarde Bk BT" w:cs="Arial"/>
          <w:sz w:val="14"/>
          <w:szCs w:val="24"/>
        </w:rPr>
      </w:pPr>
    </w:p>
    <w:sectPr w:rsidR="00946007" w:rsidRPr="00773492"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8A206F" w14:textId="77777777" w:rsidR="0072205A" w:rsidRDefault="0072205A">
      <w:pPr>
        <w:spacing w:after="0" w:line="240" w:lineRule="auto"/>
      </w:pPr>
      <w:r>
        <w:separator/>
      </w:r>
    </w:p>
  </w:endnote>
  <w:endnote w:type="continuationSeparator" w:id="0">
    <w:p w14:paraId="5D83DD1A" w14:textId="77777777" w:rsidR="0072205A" w:rsidRDefault="00722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EBCF6C" w14:textId="77777777" w:rsidR="0072205A" w:rsidRDefault="0072205A">
      <w:pPr>
        <w:spacing w:after="0" w:line="240" w:lineRule="auto"/>
      </w:pPr>
      <w:r>
        <w:separator/>
      </w:r>
    </w:p>
  </w:footnote>
  <w:footnote w:type="continuationSeparator" w:id="0">
    <w:p w14:paraId="0C9977AB" w14:textId="77777777" w:rsidR="0072205A" w:rsidRDefault="0072205A">
      <w:pPr>
        <w:spacing w:after="0" w:line="240" w:lineRule="auto"/>
      </w:pPr>
      <w:r>
        <w:continuationSeparator/>
      </w:r>
    </w:p>
  </w:footnote>
  <w:footnote w:id="1">
    <w:p w14:paraId="129BD135" w14:textId="77777777" w:rsidR="007745D7" w:rsidRPr="00824FBE" w:rsidRDefault="007745D7" w:rsidP="007745D7">
      <w:pPr>
        <w:pStyle w:val="Textonotapie"/>
        <w:jc w:val="both"/>
        <w:rPr>
          <w:sz w:val="16"/>
          <w:szCs w:val="16"/>
          <w:lang w:val="es-ES_tradnl"/>
        </w:rPr>
      </w:pPr>
      <w:r w:rsidRPr="00824FBE">
        <w:rPr>
          <w:rStyle w:val="Refdenotaalpie"/>
          <w:sz w:val="16"/>
          <w:szCs w:val="16"/>
        </w:rPr>
        <w:footnoteRef/>
      </w:r>
      <w:r w:rsidRPr="00824FBE">
        <w:rPr>
          <w:sz w:val="16"/>
          <w:szCs w:val="16"/>
        </w:rPr>
        <w:t xml:space="preserve"> </w:t>
      </w:r>
      <w:r w:rsidRPr="00824FBE">
        <w:rPr>
          <w:bCs/>
          <w:sz w:val="16"/>
          <w:szCs w:val="16"/>
          <w:lang w:val="es-ES_tradnl"/>
        </w:rPr>
        <w:t xml:space="preserve">ARTÍCULO 61. </w:t>
      </w:r>
      <w:r w:rsidRPr="00824FBE">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EB59AA5" w14:textId="77777777" w:rsidR="007745D7" w:rsidRPr="00824FBE" w:rsidRDefault="007745D7" w:rsidP="007745D7">
      <w:pPr>
        <w:pStyle w:val="Textonotapie"/>
        <w:jc w:val="both"/>
        <w:rPr>
          <w:sz w:val="16"/>
          <w:szCs w:val="16"/>
          <w:lang w:val="es-ES_tradnl"/>
        </w:rPr>
      </w:pPr>
      <w:r w:rsidRPr="00824FBE">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17FA9538" w14:textId="77777777" w:rsidR="007745D7" w:rsidRPr="00824FBE" w:rsidRDefault="007745D7" w:rsidP="007745D7">
      <w:pPr>
        <w:pStyle w:val="Textonotapie"/>
        <w:jc w:val="both"/>
        <w:rPr>
          <w:sz w:val="16"/>
          <w:szCs w:val="16"/>
        </w:rPr>
      </w:pPr>
      <w:r w:rsidRPr="00824FBE">
        <w:rPr>
          <w:rStyle w:val="Refdenotaalpie"/>
          <w:sz w:val="16"/>
          <w:szCs w:val="16"/>
        </w:rPr>
        <w:footnoteRef/>
      </w:r>
      <w:r w:rsidRPr="00824FBE">
        <w:rPr>
          <w:sz w:val="16"/>
          <w:szCs w:val="16"/>
        </w:rPr>
        <w:t xml:space="preserve"> ARTÍCULO 18. Los sujetos obligados deberán documentar todo acto que derive del ejercicio de sus facultades, competencias o funciones.</w:t>
      </w:r>
    </w:p>
    <w:p w14:paraId="033B40C4" w14:textId="77777777" w:rsidR="007745D7" w:rsidRPr="00824FBE" w:rsidRDefault="007745D7" w:rsidP="007745D7">
      <w:pPr>
        <w:pStyle w:val="Textonotapie"/>
        <w:jc w:val="both"/>
        <w:rPr>
          <w:sz w:val="16"/>
          <w:szCs w:val="16"/>
        </w:rPr>
      </w:pPr>
      <w:r w:rsidRPr="00824FBE">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13305441" w14:textId="77777777" w:rsidR="007745D7" w:rsidRPr="00824FBE" w:rsidRDefault="007745D7" w:rsidP="007745D7">
      <w:pPr>
        <w:pStyle w:val="Textonotapie"/>
        <w:jc w:val="both"/>
        <w:rPr>
          <w:sz w:val="16"/>
          <w:szCs w:val="16"/>
        </w:rPr>
      </w:pPr>
      <w:r w:rsidRPr="00824FBE">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01D0C2B" w14:textId="77777777" w:rsidR="007745D7" w:rsidRPr="00824FBE" w:rsidRDefault="007745D7" w:rsidP="007745D7">
      <w:pPr>
        <w:pStyle w:val="Textonotapie"/>
        <w:jc w:val="both"/>
        <w:rPr>
          <w:sz w:val="16"/>
          <w:szCs w:val="16"/>
        </w:rPr>
      </w:pPr>
      <w:r w:rsidRPr="00824FBE">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26E77F0" w14:textId="77777777" w:rsidR="007745D7" w:rsidRPr="00824FBE" w:rsidRDefault="007745D7" w:rsidP="007745D7">
      <w:pPr>
        <w:pStyle w:val="Textonotapie"/>
        <w:jc w:val="both"/>
        <w:rPr>
          <w:sz w:val="16"/>
          <w:szCs w:val="16"/>
        </w:rPr>
      </w:pPr>
      <w:r w:rsidRPr="00824FBE">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62FBF360" w14:textId="77777777" w:rsidR="007745D7" w:rsidRPr="00012C16" w:rsidRDefault="007745D7" w:rsidP="007745D7">
      <w:pPr>
        <w:pStyle w:val="Textonotapie"/>
        <w:jc w:val="both"/>
        <w:rPr>
          <w:sz w:val="16"/>
        </w:rPr>
      </w:pPr>
      <w:r w:rsidRPr="00012C16">
        <w:rPr>
          <w:rStyle w:val="Refdenotaalpie"/>
          <w:sz w:val="16"/>
        </w:rPr>
        <w:footnoteRef/>
      </w:r>
      <w:r w:rsidRPr="00012C16">
        <w:rPr>
          <w:sz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76B484C3" w14:textId="77777777" w:rsidR="007745D7" w:rsidRPr="00C179ED" w:rsidRDefault="007745D7" w:rsidP="007745D7">
      <w:pPr>
        <w:pStyle w:val="Textonotapie"/>
        <w:jc w:val="both"/>
        <w:rPr>
          <w:sz w:val="16"/>
        </w:rPr>
      </w:pPr>
      <w:r w:rsidRPr="00012C16">
        <w:rPr>
          <w:rStyle w:val="Refdenotaalpie"/>
          <w:sz w:val="16"/>
        </w:rPr>
        <w:footnoteRef/>
      </w:r>
      <w:r w:rsidRPr="00012C16">
        <w:rPr>
          <w:sz w:val="16"/>
        </w:rPr>
        <w:t xml:space="preserve"> </w:t>
      </w:r>
      <w:r w:rsidRPr="00C179ED">
        <w:rPr>
          <w:sz w:val="16"/>
        </w:rP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6562A59" w14:textId="77777777" w:rsidR="007745D7" w:rsidRDefault="007745D7" w:rsidP="007745D7">
      <w:pPr>
        <w:pStyle w:val="Textonotapie"/>
        <w:jc w:val="both"/>
        <w:rPr>
          <w:sz w:val="16"/>
        </w:rPr>
      </w:pPr>
      <w:r w:rsidRPr="00012C16">
        <w:rPr>
          <w:sz w:val="16"/>
        </w:rPr>
        <w:t>[…]</w:t>
      </w:r>
    </w:p>
    <w:p w14:paraId="32A35566" w14:textId="1EB29F12" w:rsidR="007745D7" w:rsidRDefault="003C1317" w:rsidP="007745D7">
      <w:pPr>
        <w:pStyle w:val="Textonotapie"/>
        <w:jc w:val="both"/>
        <w:rPr>
          <w:sz w:val="16"/>
        </w:rPr>
      </w:pPr>
      <w:r w:rsidRPr="003C1317">
        <w:rPr>
          <w:sz w:val="16"/>
        </w:rPr>
        <w:t xml:space="preserve">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 </w:t>
      </w:r>
      <w:r w:rsidR="007745D7" w:rsidRPr="003845D8">
        <w:rPr>
          <w:sz w:val="16"/>
        </w:rPr>
        <w:t xml:space="preserve"> </w:t>
      </w:r>
    </w:p>
    <w:p w14:paraId="3F100551" w14:textId="77777777" w:rsidR="007745D7" w:rsidRPr="00012C16" w:rsidRDefault="007745D7" w:rsidP="007745D7">
      <w:pPr>
        <w:pStyle w:val="Textonotapie"/>
        <w:jc w:val="both"/>
        <w:rPr>
          <w:sz w:val="16"/>
        </w:rPr>
      </w:pPr>
      <w:r w:rsidRPr="00012C16">
        <w:rPr>
          <w:sz w:val="16"/>
        </w:rPr>
        <w:t>[…].</w:t>
      </w:r>
    </w:p>
  </w:footnote>
  <w:footnote w:id="5">
    <w:p w14:paraId="07C5ACE2" w14:textId="7A731BC6" w:rsidR="006702F9" w:rsidRDefault="006702F9" w:rsidP="00C2211A">
      <w:pPr>
        <w:pStyle w:val="Bibliografa"/>
        <w:spacing w:after="0"/>
      </w:pPr>
      <w:r w:rsidRPr="00C2211A">
        <w:rPr>
          <w:rStyle w:val="Refdenotaalpie"/>
          <w:sz w:val="16"/>
          <w:szCs w:val="16"/>
        </w:rPr>
        <w:footnoteRef/>
      </w:r>
      <w:r w:rsidRPr="00C2211A">
        <w:rPr>
          <w:sz w:val="16"/>
          <w:szCs w:val="16"/>
        </w:rPr>
        <w:t xml:space="preserve"> </w:t>
      </w:r>
      <w:r w:rsidR="006130DF" w:rsidRPr="00C2211A">
        <w:rPr>
          <w:i/>
          <w:iCs/>
          <w:noProof/>
          <w:sz w:val="16"/>
          <w:szCs w:val="16"/>
        </w:rPr>
        <w:t>"Prestaciones económicas"</w:t>
      </w:r>
      <w:r w:rsidR="006130DF">
        <w:rPr>
          <w:i/>
          <w:iCs/>
          <w:noProof/>
          <w:sz w:val="16"/>
          <w:szCs w:val="16"/>
        </w:rPr>
        <w:t>,</w:t>
      </w:r>
      <w:r w:rsidR="006130DF" w:rsidRPr="00C2211A">
        <w:rPr>
          <w:noProof/>
          <w:sz w:val="16"/>
          <w:szCs w:val="16"/>
        </w:rPr>
        <w:t>(1997)</w:t>
      </w:r>
      <w:r w:rsidR="006130DF">
        <w:rPr>
          <w:i/>
          <w:iCs/>
          <w:noProof/>
          <w:sz w:val="16"/>
          <w:szCs w:val="16"/>
        </w:rPr>
        <w:t xml:space="preserve"> </w:t>
      </w:r>
      <w:r w:rsidR="00C2211A" w:rsidRPr="00C2211A">
        <w:rPr>
          <w:sz w:val="16"/>
          <w:szCs w:val="16"/>
        </w:rPr>
        <w:fldChar w:fldCharType="begin"/>
      </w:r>
      <w:r w:rsidR="00C2211A" w:rsidRPr="00C2211A">
        <w:rPr>
          <w:sz w:val="16"/>
          <w:szCs w:val="16"/>
        </w:rPr>
        <w:instrText xml:space="preserve"> BIBLIOGRAPHY  \l 2058 </w:instrText>
      </w:r>
      <w:r w:rsidR="00C2211A" w:rsidRPr="00C2211A">
        <w:rPr>
          <w:sz w:val="16"/>
          <w:szCs w:val="16"/>
        </w:rPr>
        <w:fldChar w:fldCharType="separate"/>
      </w:r>
      <w:r w:rsidR="00C2211A" w:rsidRPr="00C2211A">
        <w:rPr>
          <w:noProof/>
          <w:sz w:val="16"/>
          <w:szCs w:val="16"/>
        </w:rPr>
        <w:t xml:space="preserve">Martínez Morales, R. I. Diccionarios Jurídicos Temáticos, Derecho Burocrático. </w:t>
      </w:r>
      <w:r w:rsidR="00C2211A" w:rsidRPr="00C2211A">
        <w:rPr>
          <w:i/>
          <w:iCs/>
          <w:noProof/>
          <w:sz w:val="16"/>
          <w:szCs w:val="16"/>
        </w:rPr>
        <w:t xml:space="preserve">, </w:t>
      </w:r>
      <w:r w:rsidR="00C2211A">
        <w:rPr>
          <w:i/>
          <w:iCs/>
          <w:noProof/>
          <w:sz w:val="16"/>
          <w:szCs w:val="16"/>
        </w:rPr>
        <w:t xml:space="preserve">Volumen </w:t>
      </w:r>
      <w:r w:rsidR="00C2211A" w:rsidRPr="00C2211A">
        <w:rPr>
          <w:i/>
          <w:iCs/>
          <w:noProof/>
          <w:sz w:val="16"/>
          <w:szCs w:val="16"/>
        </w:rPr>
        <w:t>V</w:t>
      </w:r>
      <w:r w:rsidR="00C2211A" w:rsidRPr="00C2211A">
        <w:rPr>
          <w:noProof/>
          <w:sz w:val="16"/>
          <w:szCs w:val="16"/>
        </w:rPr>
        <w:t>. D.F., México: Harla.</w:t>
      </w:r>
      <w:r w:rsidR="00C2211A" w:rsidRPr="00C2211A">
        <w:rPr>
          <w:sz w:val="16"/>
          <w:szCs w:val="16"/>
        </w:rPr>
        <w:fldChar w:fldCharType="end"/>
      </w:r>
    </w:p>
  </w:footnote>
  <w:footnote w:id="6">
    <w:p w14:paraId="34CC0967" w14:textId="77777777" w:rsidR="00CA0F8B" w:rsidRPr="00F74A73" w:rsidRDefault="00CA0F8B" w:rsidP="00CA0F8B">
      <w:pPr>
        <w:pStyle w:val="Textonotapie"/>
        <w:jc w:val="both"/>
        <w:rPr>
          <w:sz w:val="16"/>
          <w:szCs w:val="18"/>
        </w:rPr>
      </w:pPr>
      <w:r w:rsidRPr="00F74A73">
        <w:rPr>
          <w:rStyle w:val="Refdenotaalpie"/>
          <w:sz w:val="16"/>
          <w:szCs w:val="18"/>
        </w:rPr>
        <w:footnoteRef/>
      </w:r>
      <w:r w:rsidRPr="00F74A73">
        <w:rPr>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61984" w:rsidRDefault="00CA0F8B" w:rsidP="00CA0F8B">
      <w:pPr>
        <w:pStyle w:val="Textonotapie"/>
        <w:jc w:val="both"/>
        <w:rPr>
          <w:sz w:val="16"/>
          <w:szCs w:val="18"/>
        </w:rPr>
      </w:pPr>
      <w:r w:rsidRPr="00F74A73">
        <w:rPr>
          <w:sz w:val="16"/>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w:t>
      </w:r>
      <w:r w:rsidRPr="009B0BB2">
        <w:rPr>
          <w:sz w:val="18"/>
          <w:szCs w:val="18"/>
        </w:rPr>
        <w:t>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11C6539C" w:rsidR="00A66405" w:rsidRDefault="00946007" w:rsidP="007E5F3A">
        <w:pPr>
          <w:pStyle w:val="Encabezado"/>
          <w:jc w:val="center"/>
        </w:pPr>
        <w:r>
          <w:fldChar w:fldCharType="begin"/>
        </w:r>
        <w:r>
          <w:instrText>PAGE   \* MERGEFORMAT</w:instrText>
        </w:r>
        <w:r>
          <w:fldChar w:fldCharType="separate"/>
        </w:r>
        <w:r w:rsidR="004F10B2" w:rsidRPr="004F10B2">
          <w:rPr>
            <w:noProof/>
            <w:lang w:val="es-ES"/>
          </w:rPr>
          <w:t>12</w:t>
        </w:r>
        <w:r>
          <w:fldChar w:fldCharType="end"/>
        </w:r>
        <w:r>
          <w:t xml:space="preserve">                                  </w:t>
        </w:r>
      </w:p>
      <w:p w14:paraId="748FB0B7" w14:textId="7F88E336" w:rsidR="00A66405" w:rsidRDefault="00946007" w:rsidP="007F1CA7">
        <w:pPr>
          <w:pStyle w:val="Encabezado"/>
          <w:jc w:val="right"/>
        </w:pPr>
        <w:r>
          <w:t xml:space="preserve">RECURSO DE REVISIÓN </w:t>
        </w:r>
        <w:r w:rsidR="00EF6683">
          <w:t>1</w:t>
        </w:r>
        <w:r w:rsidR="00F640B9">
          <w:t>231</w:t>
        </w:r>
        <w:r>
          <w:t xml:space="preserve">/2019-1 </w:t>
        </w:r>
        <w:r w:rsidR="00F640B9">
          <w:t>SIGEMI</w:t>
        </w:r>
      </w:p>
    </w:sdtContent>
  </w:sdt>
  <w:p w14:paraId="477B550A" w14:textId="77777777" w:rsidR="00A66405" w:rsidRDefault="001D5F1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53F02"/>
    <w:multiLevelType w:val="hybridMultilevel"/>
    <w:tmpl w:val="EA0C8F8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40472EEA"/>
    <w:multiLevelType w:val="hybridMultilevel"/>
    <w:tmpl w:val="E92E1A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3"/>
  </w:num>
  <w:num w:numId="2">
    <w:abstractNumId w:val="7"/>
  </w:num>
  <w:num w:numId="3">
    <w:abstractNumId w:val="2"/>
  </w:num>
  <w:num w:numId="4">
    <w:abstractNumId w:val="5"/>
  </w:num>
  <w:num w:numId="5">
    <w:abstractNumId w:val="1"/>
  </w:num>
  <w:num w:numId="6">
    <w:abstractNumId w:val="0"/>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7E62"/>
    <w:rsid w:val="00050D73"/>
    <w:rsid w:val="000715ED"/>
    <w:rsid w:val="000A1E7B"/>
    <w:rsid w:val="000B2E37"/>
    <w:rsid w:val="000B649D"/>
    <w:rsid w:val="000C2D1B"/>
    <w:rsid w:val="000D3510"/>
    <w:rsid w:val="000D64A6"/>
    <w:rsid w:val="000D7A8C"/>
    <w:rsid w:val="000F5906"/>
    <w:rsid w:val="00105D91"/>
    <w:rsid w:val="00113FAF"/>
    <w:rsid w:val="00133088"/>
    <w:rsid w:val="001555B9"/>
    <w:rsid w:val="00174E4F"/>
    <w:rsid w:val="00187A7B"/>
    <w:rsid w:val="00191443"/>
    <w:rsid w:val="00193E6A"/>
    <w:rsid w:val="001A4C07"/>
    <w:rsid w:val="001A5790"/>
    <w:rsid w:val="001D2649"/>
    <w:rsid w:val="001D3D3D"/>
    <w:rsid w:val="001E0A58"/>
    <w:rsid w:val="001E2BA6"/>
    <w:rsid w:val="00206363"/>
    <w:rsid w:val="00213884"/>
    <w:rsid w:val="00220A33"/>
    <w:rsid w:val="00225214"/>
    <w:rsid w:val="00252DB3"/>
    <w:rsid w:val="00261984"/>
    <w:rsid w:val="00264834"/>
    <w:rsid w:val="0027039E"/>
    <w:rsid w:val="00274936"/>
    <w:rsid w:val="00274CF6"/>
    <w:rsid w:val="00285161"/>
    <w:rsid w:val="002A3C06"/>
    <w:rsid w:val="002A53BC"/>
    <w:rsid w:val="002C6A82"/>
    <w:rsid w:val="002E054C"/>
    <w:rsid w:val="002E5565"/>
    <w:rsid w:val="002E6C7E"/>
    <w:rsid w:val="002F24D0"/>
    <w:rsid w:val="00304A77"/>
    <w:rsid w:val="0031791F"/>
    <w:rsid w:val="003273CB"/>
    <w:rsid w:val="003351A0"/>
    <w:rsid w:val="00371B07"/>
    <w:rsid w:val="0037595A"/>
    <w:rsid w:val="00383421"/>
    <w:rsid w:val="00395037"/>
    <w:rsid w:val="003964CD"/>
    <w:rsid w:val="003A10C4"/>
    <w:rsid w:val="003C1317"/>
    <w:rsid w:val="00410C5D"/>
    <w:rsid w:val="00414E98"/>
    <w:rsid w:val="004175C1"/>
    <w:rsid w:val="00456856"/>
    <w:rsid w:val="004644DA"/>
    <w:rsid w:val="00474953"/>
    <w:rsid w:val="004751A3"/>
    <w:rsid w:val="00476DB3"/>
    <w:rsid w:val="00496C19"/>
    <w:rsid w:val="004A2293"/>
    <w:rsid w:val="004B0ED3"/>
    <w:rsid w:val="004B16DE"/>
    <w:rsid w:val="004B3960"/>
    <w:rsid w:val="004C662B"/>
    <w:rsid w:val="004E11BB"/>
    <w:rsid w:val="004F10B2"/>
    <w:rsid w:val="004F2B07"/>
    <w:rsid w:val="004F626C"/>
    <w:rsid w:val="00502092"/>
    <w:rsid w:val="00511272"/>
    <w:rsid w:val="005132F5"/>
    <w:rsid w:val="00524500"/>
    <w:rsid w:val="00524E08"/>
    <w:rsid w:val="00547A17"/>
    <w:rsid w:val="005B11BB"/>
    <w:rsid w:val="005B3642"/>
    <w:rsid w:val="005B428F"/>
    <w:rsid w:val="005F108B"/>
    <w:rsid w:val="005F1966"/>
    <w:rsid w:val="005F1B0A"/>
    <w:rsid w:val="005F4F8F"/>
    <w:rsid w:val="005F61D8"/>
    <w:rsid w:val="0060270B"/>
    <w:rsid w:val="00611472"/>
    <w:rsid w:val="006130DF"/>
    <w:rsid w:val="00645312"/>
    <w:rsid w:val="006601D9"/>
    <w:rsid w:val="00664777"/>
    <w:rsid w:val="00665496"/>
    <w:rsid w:val="00665524"/>
    <w:rsid w:val="006702F9"/>
    <w:rsid w:val="0067532F"/>
    <w:rsid w:val="00676793"/>
    <w:rsid w:val="00683ECE"/>
    <w:rsid w:val="006A0CC0"/>
    <w:rsid w:val="006A0D11"/>
    <w:rsid w:val="006B71F8"/>
    <w:rsid w:val="006B727F"/>
    <w:rsid w:val="006D4E1D"/>
    <w:rsid w:val="006E1D2F"/>
    <w:rsid w:val="00703B88"/>
    <w:rsid w:val="00704551"/>
    <w:rsid w:val="00713979"/>
    <w:rsid w:val="00717913"/>
    <w:rsid w:val="0072205A"/>
    <w:rsid w:val="00726109"/>
    <w:rsid w:val="00742AFD"/>
    <w:rsid w:val="00751174"/>
    <w:rsid w:val="00753EDD"/>
    <w:rsid w:val="00757C55"/>
    <w:rsid w:val="007639B2"/>
    <w:rsid w:val="00773492"/>
    <w:rsid w:val="007745D7"/>
    <w:rsid w:val="00792496"/>
    <w:rsid w:val="007A3D1B"/>
    <w:rsid w:val="007D2F86"/>
    <w:rsid w:val="007D7B73"/>
    <w:rsid w:val="007E701E"/>
    <w:rsid w:val="007F3502"/>
    <w:rsid w:val="00813197"/>
    <w:rsid w:val="00813B27"/>
    <w:rsid w:val="00817BA3"/>
    <w:rsid w:val="00833E1A"/>
    <w:rsid w:val="00843990"/>
    <w:rsid w:val="00846C59"/>
    <w:rsid w:val="008473B4"/>
    <w:rsid w:val="00864989"/>
    <w:rsid w:val="00865A36"/>
    <w:rsid w:val="00881CAA"/>
    <w:rsid w:val="008840C7"/>
    <w:rsid w:val="0088410D"/>
    <w:rsid w:val="00892A09"/>
    <w:rsid w:val="0089472D"/>
    <w:rsid w:val="008A6D72"/>
    <w:rsid w:val="008B0264"/>
    <w:rsid w:val="008B5533"/>
    <w:rsid w:val="008B5E35"/>
    <w:rsid w:val="008D713E"/>
    <w:rsid w:val="008E136F"/>
    <w:rsid w:val="008F0819"/>
    <w:rsid w:val="009030AE"/>
    <w:rsid w:val="00907325"/>
    <w:rsid w:val="00907C57"/>
    <w:rsid w:val="00927822"/>
    <w:rsid w:val="00931F30"/>
    <w:rsid w:val="00946007"/>
    <w:rsid w:val="0094645B"/>
    <w:rsid w:val="0096239A"/>
    <w:rsid w:val="00975DF3"/>
    <w:rsid w:val="009B0BB2"/>
    <w:rsid w:val="009C71C9"/>
    <w:rsid w:val="009F0167"/>
    <w:rsid w:val="009F3456"/>
    <w:rsid w:val="00A10223"/>
    <w:rsid w:val="00A10946"/>
    <w:rsid w:val="00A169A5"/>
    <w:rsid w:val="00A21089"/>
    <w:rsid w:val="00A42E6E"/>
    <w:rsid w:val="00A44EE9"/>
    <w:rsid w:val="00A74762"/>
    <w:rsid w:val="00AA765E"/>
    <w:rsid w:val="00AB5781"/>
    <w:rsid w:val="00AB71F5"/>
    <w:rsid w:val="00AC309C"/>
    <w:rsid w:val="00AD6E51"/>
    <w:rsid w:val="00AE058B"/>
    <w:rsid w:val="00AE106F"/>
    <w:rsid w:val="00AE2C79"/>
    <w:rsid w:val="00B0064B"/>
    <w:rsid w:val="00B02B97"/>
    <w:rsid w:val="00B135C5"/>
    <w:rsid w:val="00B305A1"/>
    <w:rsid w:val="00B34373"/>
    <w:rsid w:val="00B4380D"/>
    <w:rsid w:val="00B44C1A"/>
    <w:rsid w:val="00B520C8"/>
    <w:rsid w:val="00B716DF"/>
    <w:rsid w:val="00B824D7"/>
    <w:rsid w:val="00BA588A"/>
    <w:rsid w:val="00BC1F31"/>
    <w:rsid w:val="00BE1B1C"/>
    <w:rsid w:val="00BF67C8"/>
    <w:rsid w:val="00C02E84"/>
    <w:rsid w:val="00C2211A"/>
    <w:rsid w:val="00C3545D"/>
    <w:rsid w:val="00C44B12"/>
    <w:rsid w:val="00C55426"/>
    <w:rsid w:val="00C56B1F"/>
    <w:rsid w:val="00C57F5F"/>
    <w:rsid w:val="00C951EF"/>
    <w:rsid w:val="00CA039A"/>
    <w:rsid w:val="00CA0F8B"/>
    <w:rsid w:val="00CB050B"/>
    <w:rsid w:val="00CC38D7"/>
    <w:rsid w:val="00CC3C52"/>
    <w:rsid w:val="00CC4E82"/>
    <w:rsid w:val="00CE7589"/>
    <w:rsid w:val="00CF05A2"/>
    <w:rsid w:val="00D1464E"/>
    <w:rsid w:val="00D26FEF"/>
    <w:rsid w:val="00D3050A"/>
    <w:rsid w:val="00D34F65"/>
    <w:rsid w:val="00D4006E"/>
    <w:rsid w:val="00D449E7"/>
    <w:rsid w:val="00D6663E"/>
    <w:rsid w:val="00D733B9"/>
    <w:rsid w:val="00D8275A"/>
    <w:rsid w:val="00D955D7"/>
    <w:rsid w:val="00DB70BD"/>
    <w:rsid w:val="00DD1478"/>
    <w:rsid w:val="00DD6FF6"/>
    <w:rsid w:val="00E0750B"/>
    <w:rsid w:val="00E07A59"/>
    <w:rsid w:val="00E15ED7"/>
    <w:rsid w:val="00E22DCB"/>
    <w:rsid w:val="00E66464"/>
    <w:rsid w:val="00E72664"/>
    <w:rsid w:val="00E74CD1"/>
    <w:rsid w:val="00E75239"/>
    <w:rsid w:val="00E81C3D"/>
    <w:rsid w:val="00E904B9"/>
    <w:rsid w:val="00EB76B4"/>
    <w:rsid w:val="00EC5498"/>
    <w:rsid w:val="00ED558F"/>
    <w:rsid w:val="00EE75F1"/>
    <w:rsid w:val="00EF6683"/>
    <w:rsid w:val="00F06EEF"/>
    <w:rsid w:val="00F14472"/>
    <w:rsid w:val="00F21084"/>
    <w:rsid w:val="00F310F1"/>
    <w:rsid w:val="00F42A2D"/>
    <w:rsid w:val="00F640B9"/>
    <w:rsid w:val="00F708EE"/>
    <w:rsid w:val="00F74A73"/>
    <w:rsid w:val="00F86C61"/>
    <w:rsid w:val="00FB0B93"/>
    <w:rsid w:val="00FB3B4E"/>
    <w:rsid w:val="00FC33CD"/>
    <w:rsid w:val="00FD6029"/>
    <w:rsid w:val="00FE3C50"/>
    <w:rsid w:val="00FE557D"/>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 w:type="paragraph" w:styleId="Bibliografa">
    <w:name w:val="Bibliography"/>
    <w:basedOn w:val="Normal"/>
    <w:next w:val="Normal"/>
    <w:uiPriority w:val="37"/>
    <w:unhideWhenUsed/>
    <w:rsid w:val="00C221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03951593">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975287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Mar97</b:Tag>
    <b:SourceType>Misc</b:SourceType>
    <b:Guid>{C74C1EA6-B6B2-4676-B808-993DA2D0D15D}</b:Guid>
    <b:Title>Diccionarios Jurídicos Temáticos, Derecho Burocrático</b:Title>
    <b:PublicationTitle>"Prestaciones económicas"</b:PublicationTitle>
    <b:Year>1997</b:Year>
    <b:City>D.F.</b:City>
    <b:CountryRegion>México</b:CountryRegion>
    <b:Publisher>Harla</b:Publisher>
    <b:Author>
      <b:Author>
        <b:NameList>
          <b:Person>
            <b:Last>Martínez Morales</b:Last>
            <b:Middle>I.</b:Middle>
            <b:First>Rafael</b:First>
          </b:Person>
        </b:NameList>
      </b:Author>
    </b:Author>
    <b:Volume>Volumen V</b:Volume>
    <b:RefOrder>1</b:RefOrder>
  </b:Source>
</b:Sources>
</file>

<file path=customXml/itemProps1.xml><?xml version="1.0" encoding="utf-8"?>
<ds:datastoreItem xmlns:ds="http://schemas.openxmlformats.org/officeDocument/2006/customXml" ds:itemID="{ED6346B7-BC27-4293-A470-D0560FDF9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12</Pages>
  <Words>3289</Words>
  <Characters>18095</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8</cp:revision>
  <cp:lastPrinted>2020-02-18T17:05:00Z</cp:lastPrinted>
  <dcterms:created xsi:type="dcterms:W3CDTF">2020-06-05T21:40:00Z</dcterms:created>
  <dcterms:modified xsi:type="dcterms:W3CDTF">2020-06-06T04:33:00Z</dcterms:modified>
</cp:coreProperties>
</file>