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3579" w:rsidRDefault="004F3579" w:rsidP="004F3579">
      <w:pPr>
        <w:rPr>
          <w:rFonts w:ascii="Baskerville Old Face" w:hAnsi="Baskerville Old Face"/>
          <w:b/>
          <w:sz w:val="36"/>
        </w:rPr>
      </w:pPr>
      <w:r>
        <w:rPr>
          <w:rFonts w:ascii="Baskerville Old Face" w:hAnsi="Baskerville Old Face"/>
          <w:b/>
          <w:noProof/>
          <w:sz w:val="36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862965</wp:posOffset>
                </wp:positionH>
                <wp:positionV relativeFrom="paragraph">
                  <wp:posOffset>-461645</wp:posOffset>
                </wp:positionV>
                <wp:extent cx="3409950" cy="438150"/>
                <wp:effectExtent l="0" t="0" r="19050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438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3579" w:rsidRPr="004F3579" w:rsidRDefault="004F3579" w:rsidP="004F3579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 w:rsidRPr="004F3579">
                              <w:rPr>
                                <w:b/>
                                <w:sz w:val="36"/>
                              </w:rPr>
                              <w:t>AREA ALIMENTARIA.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67.95pt;margin-top:-36.35pt;width:268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" fillcolor="#5b9bd5 [3204]" strokecolor="#1f4d78 [1604]" strokeweight="1pt">
                <v:textbox>
                  <w:txbxContent>
                    <w:p w:rsidR="004F3579" w:rsidRPr="004F3579" w:rsidRDefault="004F3579" w:rsidP="004F3579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 w:rsidRPr="004F3579">
                        <w:rPr>
                          <w:b/>
                          <w:sz w:val="36"/>
                        </w:rPr>
                        <w:t>AREA ALIMENTARIA.</w:t>
                      </w:r>
                    </w:p>
                  </w:txbxContent>
                </v:textbox>
              </v:rect>
            </w:pict>
          </mc:Fallback>
        </mc:AlternateContent>
      </w:r>
    </w:p>
    <w:p w:rsidR="000D5517" w:rsidRDefault="004F3579" w:rsidP="004F3579">
      <w:pPr>
        <w:jc w:val="center"/>
        <w:rPr>
          <w:rFonts w:ascii="Baskerville Old Face" w:hAnsi="Baskerville Old Face"/>
          <w:b/>
          <w:sz w:val="36"/>
        </w:rPr>
      </w:pPr>
      <w:r w:rsidRPr="004F3579">
        <w:rPr>
          <w:rFonts w:ascii="Baskerville Old Face" w:hAnsi="Baskerville Old Face"/>
          <w:b/>
          <w:sz w:val="36"/>
        </w:rPr>
        <w:t>Información estadística general de las personas beneficiadas por el programa</w:t>
      </w:r>
      <w:r>
        <w:rPr>
          <w:rFonts w:ascii="Baskerville Old Face" w:hAnsi="Baskerville Old Face"/>
          <w:b/>
          <w:sz w:val="36"/>
        </w:rPr>
        <w:t>.</w:t>
      </w:r>
    </w:p>
    <w:p w:rsidR="004F3579" w:rsidRDefault="004F3579" w:rsidP="004F3579">
      <w:pPr>
        <w:jc w:val="center"/>
        <w:rPr>
          <w:rFonts w:ascii="Baskerville Old Face" w:hAnsi="Baskerville Old Face"/>
          <w:b/>
          <w:sz w:val="36"/>
        </w:rPr>
      </w:pPr>
    </w:p>
    <w:p w:rsidR="004F3579" w:rsidRDefault="004F3579" w:rsidP="004F3579">
      <w:pPr>
        <w:jc w:val="center"/>
        <w:rPr>
          <w:rFonts w:ascii="Baskerville Old Face" w:hAnsi="Baskerville Old Face"/>
          <w:b/>
          <w:sz w:val="36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1D89C273" wp14:editId="48F57D09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6086475" cy="5638800"/>
            <wp:effectExtent l="0" t="0" r="9525" b="0"/>
            <wp:wrapNone/>
            <wp:docPr id="3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4F3579" w:rsidRDefault="004F3579" w:rsidP="004F3579">
      <w:pPr>
        <w:jc w:val="center"/>
        <w:rPr>
          <w:rFonts w:ascii="Baskerville Old Face" w:hAnsi="Baskerville Old Face"/>
          <w:b/>
          <w:sz w:val="36"/>
        </w:rPr>
      </w:pPr>
    </w:p>
    <w:p w:rsidR="004F3579" w:rsidRPr="004F3579" w:rsidRDefault="004F3579" w:rsidP="004F3579">
      <w:pPr>
        <w:jc w:val="center"/>
        <w:rPr>
          <w:rFonts w:ascii="Baskerville Old Face" w:hAnsi="Baskerville Old Face"/>
          <w:b/>
          <w:sz w:val="36"/>
        </w:rPr>
      </w:pPr>
    </w:p>
    <w:sectPr w:rsidR="004F3579" w:rsidRPr="004F35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579"/>
    <w:rsid w:val="000D5517"/>
    <w:rsid w:val="004F3579"/>
    <w:rsid w:val="00A02772"/>
    <w:rsid w:val="00EF7F6D"/>
    <w:rsid w:val="00FD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633F2C-2E11-4B2D-820A-0DF5697E3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/>
                </a:solidFill>
                <a:latin typeface="Colonna MT" panose="04020805060202030203" pitchFamily="82" charset="0"/>
                <a:ea typeface="+mn-ea"/>
                <a:cs typeface="+mn-cs"/>
              </a:defRPr>
            </a:pPr>
            <a:r>
              <a:rPr lang="en-US" sz="1600"/>
              <a:t>GRAFICA DE COBERTURA DE LOS PROGRAMAS ALIMENTARIOS</a:t>
            </a:r>
          </a:p>
        </c:rich>
      </c:tx>
      <c:overlay val="0"/>
      <c:spPr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/>
              </a:solidFill>
              <a:latin typeface="Colonna MT" panose="04020805060202030203" pitchFamily="82" charset="0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GRAFICA DE COBERTURA DE LOS PROGRAMAS ALIMENTARIOS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AFC7-47AB-8B4C-C9369F5EFAD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AFC7-47AB-8B4C-C9369F5EFAD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FC7-47AB-8B4C-C9369F5EFAD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FC7-47AB-8B4C-C9369F5EFAD3}"/>
              </c:ext>
            </c:extLst>
          </c:dPt>
          <c:dPt>
            <c:idx val="4"/>
            <c:bubble3D val="0"/>
            <c:spPr>
              <a:solidFill>
                <a:schemeClr val="accent6">
                  <a:lumMod val="75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AFC7-47AB-8B4C-C9369F5EFAD3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Hoja1!$A$2:$A$6</c:f>
              <c:strCache>
                <c:ptCount val="3"/>
                <c:pt idx="0">
                  <c:v>DES. ESC.CALIENTES</c:v>
                </c:pt>
                <c:pt idx="1">
                  <c:v>DES.ESC.FRIOS</c:v>
                </c:pt>
                <c:pt idx="2">
                  <c:v>APOYO ALIIM. A MENORES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187</c:v>
                </c:pt>
                <c:pt idx="1">
                  <c:v>2000</c:v>
                </c:pt>
                <c:pt idx="2">
                  <c:v>150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AFC7-47AB-8B4C-C9369F5EFAD3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egendEntry>
        <c:idx val="3"/>
        <c:delete val="1"/>
      </c:legendEntry>
      <c:legendEntry>
        <c:idx val="4"/>
        <c:delete val="1"/>
      </c:legendEntry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DELL</cp:lastModifiedBy>
  <cp:revision>3</cp:revision>
  <dcterms:created xsi:type="dcterms:W3CDTF">2020-10-09T04:06:00Z</dcterms:created>
  <dcterms:modified xsi:type="dcterms:W3CDTF">2020-10-09T04:11:00Z</dcterms:modified>
</cp:coreProperties>
</file>