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
<Relationship Id="rId3" Type="http://schemas.openxmlformats.org/officeDocument/2006/relationships/extended-properties"  Target="docProps/app.xml"  />
<Relationship Id="rId2" Type="http://schemas.openxmlformats.org/package/2006/relationships/metadata/core-properties"  Target="docProps/core.xml"  />
<Relationship Id="rId1" Type="http://schemas.openxmlformats.org/officeDocument/2006/relationships/officeDocument"  Target="word/document.xml" 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Mar>
          <w:left w:w="0" w:type="dxa"/>
          <w:right w:w="0" w:type="dxa"/>
        </w:tblCellMar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284"/>
        <w:gridCol w:w="709"/>
        <w:gridCol w:w="567"/>
        <w:gridCol w:w="425"/>
        <w:gridCol w:w="1276"/>
        <w:gridCol w:w="2977"/>
        <w:gridCol w:w="1276"/>
        <w:gridCol w:w="851"/>
        <w:gridCol w:w="284"/>
        <w:gridCol w:w="567"/>
        <w:gridCol w:w="284"/>
        <w:gridCol w:w="283"/>
        <w:gridCol w:w="284"/>
        <w:gridCol w:w="709"/>
      </w:tblGrid>
      <w:tr>
        <w:trPr>
          <w:trHeight w:hRule="exact" w:val="277.83"/>
        </w:trPr>
        <w:tc>
          <w:tcPr>
            <w:tcW w:w="1984.5" w:type="dxa"/>
            <w:gridSpan w:val="4"/>
            <w:tcBorders>
</w:tcBorders>
            <w:shd w:val="clear" w:color="#FFFFFF" w:fill="#FFFFFF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>
            <w:r>
              <w:rPr>
                <w:noProof/>
              </w:rPr>
              <w:drawing>
                <wp:inline distT="0" distB="0" distL="0" distR="0">
                  <wp:extent cx="1260000" cy="270000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000" cy="27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2.7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MUNICIPIO DE XILITLA</w:t>
            </w:r>
          </w:p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9072" w:type="dxa"/>
            <w:gridSpan w:val="11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#000000"/>
                <w:sz w:val="22"/>
                <w:szCs w:val="22"/>
              </w:rPr>
              <w:t> ESTADO DE SAN LUIS POTOSI</w:t>
            </w:r>
          </w:p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7654.5" w:type="dxa"/>
            <w:gridSpan w:val="7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#000000"/>
                <w:sz w:val="20"/>
                <w:szCs w:val="20"/>
              </w:rPr>
              <w:t> Estados de Resultados</w:t>
            </w:r>
          </w:p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63.13"/>
        </w:trPr>
        <w:tc>
          <w:tcPr>
            <w:tcW w:w="1559.25" w:type="dxa"/>
            <w:gridSpan w:val="3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2"/>
                <w:szCs w:val="12"/>
              </w:rPr>
            </w:pPr>
            <w:r>
              <w:rPr>
                <w:rFonts w:ascii="Arial" w:hAnsi="Arial" w:cs="Arial"/>
                <w:color w:val="#000000"/>
                <w:sz w:val="12"/>
                <w:szCs w:val="12"/>
              </w:rPr>
              <w:t> Usr: esme18_</w:t>
            </w:r>
          </w:p>
        </w:tc>
        <w:tc>
          <w:tcPr>
            <w:tcW w:w="7938" w:type="dxa"/>
            <w:gridSpan w:val="8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/>
        </w:tc>
        <w:tc>
          <w:tcPr>
            <w:tcW w:w="566.9998" w:type="dxa"/>
            <w:gridSpan w:val="2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Fecha y</w:t>
            </w:r>
          </w:p>
        </w:tc>
        <w:tc>
          <w:tcPr>
            <w:tcW w:w="850.4999" w:type="dxa"/>
            <w:tcBorders>
</w:tcBorders>
            <w:shd w:val="clear" w:color="#000000" w:fill="#FFFFFF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12:43 p. m.</w:t>
            </w:r>
          </w:p>
        </w:tc>
      </w:tr>
      <w:tr>
        <w:trPr>
          <w:trHeight w:hRule="exact" w:val="326.781"/>
        </w:trPr>
        <w:tc>
          <w:tcPr>
            <w:tcW w:w="6237" w:type="dxa"/>
            <w:gridSpan w:val="6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PERIODO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  <w:tc>
          <w:tcPr>
            <w:tcW w:w="283.5004" w:type="dxa"/>
            <w:tcBorders>
</w:tcBorders>
            <w:vMerge w:val="restart"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1275.75" w:type="dxa"/>
            <w:gridSpan w:val="4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ACUMULADO</w:t>
            </w:r>
          </w:p>
        </w:tc>
        <w:tc>
          <w:tcPr>
            <w:tcW w:w="708.75" w:type="dxa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%</w:t>
            </w:r>
          </w:p>
        </w:tc>
      </w:tr>
      <w:tr>
        <w:trPr>
          <w:trHeight w:hRule="exact" w:val="166.6979"/>
        </w:trPr>
        <w:tc>
          <w:tcPr>
            <w:tcW w:w="6237" w:type="dxa"/>
            <w:gridSpan w:val="6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2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1/may. al 31/may./2020</w:t>
            </w:r>
          </w:p>
        </w:tc>
        <w:tc>
          <w:tcPr>
            <w:tcW w:w="283.5004" w:type="dxa"/>
            <w:tcBorders>
</w:tcBorders>
            <w:vMerge/>
            <w:shd w:val="clear" w:color="#FFFFFF" w:fill="#F5F5F5"/>
            <w:vAlign w:val="top"/>
            <w:tcMar>
              <w:top w:w="0" w:type="dxa"/>
              <w:left w:w="4" w:type="dxa"/>
              <w:bottom w:w="0" w:type="dxa"/>
              <w:right w:w="4" w:type="dxa"/>
            </w:tcMar>
          </w:tcPr>
          <w:p/>
        </w:tc>
        <w:tc>
          <w:tcPr>
            <w:tcW w:w="2126.25" w:type="dxa"/>
            <w:gridSpan w:val="5"/>
            <w:tcBorders>
</w:tcBorders>
            <w:shd w:val="clear" w:color="#000000" w:fill="#F5F5F5"/>
            <w:vAlign w:val="bottom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center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01/ene al 31/may./2020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INGRESOS Y OTROS BENEFICIOS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68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INGRESOS DE GESTIÓN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$9,601,293.87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8.82 %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IMPUESTOS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$2,883,601.00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2.64 %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IMPUESTOS SOBRE EL PATRIMONIO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$2,883,601.00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2.64 %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DERECHOS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$1,437,188.80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1.32 %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PRODUCTOS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$23,655.36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0.02 %</w:t>
            </w:r>
          </w:p>
        </w:tc>
      </w:tr>
      <w:tr>
        <w:trPr>
          <w:trHeight w:hRule="exact" w:val="272.832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APROVECHAMIENTOS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$5,256,848.71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4.83 %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PARTICIPACIONES, APORTACIONES, CONVENIOS, INCENTIVOS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$99,219,281.10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91.17 %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PARTICIPACIONES, APORTACIONES, CONVENIOS, INCENTIVOS DERIVADOS 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$99,219,281.10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91.17 %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PARTICIPACIONES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$33,563,937.68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30.84 %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$65,202,659.68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59.91 %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CONVENIOS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$452,683.74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0.41 %</w:t>
            </w:r>
          </w:p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INGRESOS Y BENEFICIOS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190.659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           OTROS INGRESOS Y BENEFICIOS VARIOS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$2,304.00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Ingresos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$108,822,878.9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100.00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 </w:t>
            </w:r>
          </w:p>
        </w:tc>
      </w:tr>
      <w:tr>
        <w:trPr>
          <w:trHeight w:hRule="exact" w:val="233.877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b/>
                <w:color w:val="#000000"/>
                <w:sz w:val="18"/>
                <w:szCs w:val="18"/>
              </w:rPr>
              <w:t> GASTOS Y OTRAS PÉRDIDAS</w:t>
            </w:r>
          </w:p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48.5771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GASTOS DE FUNCIONAMIENTO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$649,712.30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$37,904,499.18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34.83 %</w:t>
            </w:r>
          </w:p>
        </w:tc>
      </w:tr>
      <w:tr>
        <w:trPr>
          <w:trHeight w:hRule="exact" w:val="272.831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PERSONALES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$19,664,113.10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18.06 %</w:t>
            </w:r>
          </w:p>
        </w:tc>
      </w:tr>
      <w:tr>
        <w:trPr>
          <w:trHeight w:hRule="exact" w:val="272.8324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MATERIALES Y SUMINISTROS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$410,670.26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$9,799,733.31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9.00 %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SERVICIOS GENERALES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$239,042.04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$8,440,652.77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7.75 %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TRANSFERENCIAS, ASIGNACIONES, SUBSIDIOS Y OTRAS AYUDAS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$411,990.93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$1,560,459.01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1.43 %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AYUDAS SOCIALES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$411,990.93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$1,560,459.01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1.43 %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PARTICIPACIONES Y APORTACIONES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INTERESES, COMISIONES Y OTROS GASTOS DE LA DEUDA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66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OTROS GASTOS Y PÉRDIDAS EXTRAORDINARIAS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</w:tr>
      <w:tr>
        <w:trPr>
          <w:trHeight w:hRule="exact" w:val="248.57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   INVERSIÓN PÚBLICA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$12,585,632.37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11.56 %</w:t>
            </w:r>
          </w:p>
        </w:tc>
      </w:tr>
      <w:tr>
        <w:trPr>
          <w:trHeight w:hRule="exact" w:val="272.832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b/>
                <w:color w:val="#000000"/>
                <w:sz w:val="14"/>
                <w:szCs w:val="14"/>
              </w:rPr>
              <w:t>      INVERSIÓN PÚBLICA NO CAPITALIZABLE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$0.00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$12,585,632.37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4"/>
                <w:szCs w:val="14"/>
              </w:rPr>
            </w:pPr>
            <w:r>
              <w:rPr>
                <w:rFonts w:ascii="Arial" w:hAnsi="Arial" w:cs="Arial"/>
                <w:color w:val="#000000"/>
                <w:sz w:val="14"/>
                <w:szCs w:val="14"/>
              </w:rPr>
              <w:t> 11.56 %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Total de Gastos y otras Perdidas</w:t>
            </w:r>
          </w:p>
        </w:tc>
        <w:tc>
          <w:tcPr>
            <w:tcW w:w="1275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$1,061,703.23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$52,050,590.56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47.83 %</w:t>
            </w:r>
          </w:p>
        </w:tc>
      </w:tr>
      <w:tr>
        <w:trPr>
          <w:trHeight w:hRule="exact" w:val="306.7889"/>
        </w:trPr>
        <w:tc>
          <w:tcPr>
            <w:tcW w:w="283" w:type="dxa"/>
          </w:tcPr>
          <w:p/>
        </w:tc>
        <w:tc>
          <w:tcPr>
            <w:tcW w:w="10489.5" w:type="dxa"/>
            <w:gridSpan w:val="13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b/>
                <w:color w:val="#000000"/>
                <w:sz w:val="24"/>
                <w:szCs w:val="24"/>
              </w:rPr>
              <w:t>  </w:t>
            </w:r>
          </w:p>
        </w:tc>
      </w:tr>
      <w:tr>
        <w:trPr>
          <w:trHeight w:hRule="exact" w:val="209.475"/>
        </w:trPr>
        <w:tc>
          <w:tcPr>
            <w:tcW w:w="283" w:type="dxa"/>
          </w:tcPr>
          <w:p/>
        </w:tc>
        <w:tc>
          <w:tcPr>
            <w:tcW w:w="5811.75" w:type="dxa"/>
            <w:gridSpan w:val="5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lef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Ahorro / Desahorro Neto del Ejercicio</w:t>
            </w:r>
          </w:p>
        </w:tc>
        <w:tc>
          <w:tcPr>
            <w:tcW w:w="1275.75" w:type="dxa"/>
            <w:tcBorders>
</w:tcBorders>
            <w:shd w:val="clear" w:color="#FF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FF0000"/>
                <w:sz w:val="16"/>
                <w:szCs w:val="16"/>
              </w:rPr>
              <w:t> -$1,061,703.23</w:t>
            </w:r>
          </w:p>
        </w:tc>
        <w:tc>
          <w:tcPr>
            <w:tcW w:w="850.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0.00 %</w:t>
            </w:r>
          </w:p>
        </w:tc>
        <w:tc>
          <w:tcPr>
            <w:tcW w:w="284" w:type="dxa"/>
          </w:tcPr>
          <w:p/>
        </w:tc>
        <w:tc>
          <w:tcPr>
            <w:tcW w:w="1275.7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$56,772,288.41</w:t>
            </w:r>
          </w:p>
        </w:tc>
        <w:tc>
          <w:tcPr>
            <w:tcW w:w="708.75" w:type="dxa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#000000"/>
                <w:sz w:val="16"/>
                <w:szCs w:val="16"/>
              </w:rPr>
              <w:t> 52.16 %</w:t>
            </w:r>
          </w:p>
        </w:tc>
      </w:tr>
      <w:tr>
        <w:trPr>
          <w:trHeight w:hRule="exact" w:val="4409.854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284" w:type="dxa"/>
          </w:tcPr>
          <w:p/>
        </w:tc>
        <w:tc>
          <w:tcPr>
            <w:tcW w:w="283" w:type="dxa"/>
          </w:tcPr>
          <w:p/>
        </w:tc>
        <w:tc>
          <w:tcPr>
            <w:tcW w:w="284" w:type="dxa"/>
          </w:tcPr>
          <w:p/>
        </w:tc>
        <w:tc>
          <w:tcPr>
            <w:tcW w:w="709" w:type="dxa"/>
          </w:tcPr>
          <w:p/>
        </w:tc>
      </w:tr>
      <w:tr>
        <w:trPr>
          <w:trHeight w:hRule="exact" w:val="277.8304"/>
        </w:trPr>
        <w:tc>
          <w:tcPr>
            <w:tcW w:w="283" w:type="dxa"/>
          </w:tcPr>
          <w:p/>
        </w:tc>
        <w:tc>
          <w:tcPr>
            <w:tcW w:w="709" w:type="dxa"/>
          </w:tcPr>
          <w:p/>
        </w:tc>
        <w:tc>
          <w:tcPr>
            <w:tcW w:w="567" w:type="dxa"/>
          </w:tcPr>
          <w:p/>
        </w:tc>
        <w:tc>
          <w:tcPr>
            <w:tcW w:w="425" w:type="dxa"/>
          </w:tcPr>
          <w:p/>
        </w:tc>
        <w:tc>
          <w:tcPr>
            <w:tcW w:w="1276" w:type="dxa"/>
          </w:tcPr>
          <w:p/>
        </w:tc>
        <w:tc>
          <w:tcPr>
            <w:tcW w:w="2977" w:type="dxa"/>
          </w:tcPr>
          <w:p/>
        </w:tc>
        <w:tc>
          <w:tcPr>
            <w:tcW w:w="1276" w:type="dxa"/>
          </w:tcPr>
          <w:p/>
        </w:tc>
        <w:tc>
          <w:tcPr>
            <w:tcW w:w="851" w:type="dxa"/>
          </w:tcPr>
          <w:p/>
        </w:tc>
        <w:tc>
          <w:tcPr>
            <w:tcW w:w="284" w:type="dxa"/>
          </w:tcPr>
          <w:p/>
        </w:tc>
        <w:tc>
          <w:tcPr>
            <w:tcW w:w="567" w:type="dxa"/>
          </w:tcPr>
          <w:p/>
        </w:tc>
        <w:tc>
          <w:tcPr>
            <w:tcW w:w="1417.5" w:type="dxa"/>
            <w:gridSpan w:val="4"/>
            <w:tcBorders>
</w:tcBorders>
            <w:shd w:val="clear" w:color="#000000" w:fill="#FFFFFF"/>
            <w:vAlign w:val="top"/>
            <w:tcMar>
              <w:top w:w="0" w:type="dxa"/>
              <w:left w:w="38" w:type="dxa"/>
              <w:bottom w:w="0" w:type="dxa"/>
              <w:right w:w="38" w:type="dxa"/>
            </w:tcMar>
          </w:tcPr>
          <w:p>
            <w:pPr>
              <w:jc w:val="right"/>
              <w:ind w:firstLine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ascii="Arial" w:hAnsi="Arial" w:cs="Arial"/>
                <w:color w:val="#000000"/>
                <w:sz w:val="18"/>
                <w:szCs w:val="18"/>
              </w:rPr>
              <w:t> Page 1</w:t>
            </w:r>
          </w:p>
        </w:tc>
      </w:tr>
      <w:p>
        <w:pPr>
          <w:rPr>
            <w:sz w:val="0"/>
            <w:szCs w:val="0"/>
          </w:rPr>
        </w:pPr>
        <w:r>
          <w:br w:type="page"/>
        </w:r>
      </w:p>
    </w:tbl>
    <w:p/>
    <w:sectPr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CC"/>
    <w:family w:val="swiss"/>
    <w:pitch w:val="variable"/>
    <w:sig w:usb0="E1002A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D31453"/>
    <w:rsid w:val="0002418B"/>
    <w:rsid w:val="001F0BC7"/>
    <w:rsid w:val="00D31453"/>
    <w:rsid w:val="00E209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
<Relationship Id="rId1" Type="http://schemas.openxmlformats.org/officeDocument/2006/relationships/settings" Target="settings.xml" />
<Relationship Id="rId2" Type="http://schemas.openxmlformats.org/officeDocument/2006/relationships/styles" Target="styles.xml" />
<Relationship Id="rId3" Type="http://schemas.openxmlformats.org/officeDocument/2006/relationships/fontTable" Target="fontTable.xml" />
<Relationship Id="rId11" Type="http://schemas.openxmlformats.org/officeDocument/2006/relationships/image" Target="media/image1.png" />
</Relationships>

</file>

<file path=docProps/app.xml><?xml version="1.0" encoding="utf-8"?>
<Properties xmlns="http://schemas.openxmlformats.org/officeDocument/2006/extended-properties" xmlns:vt="http://schemas.openxmlformats.org/officeDocument/2006/docPropsVTypes">
  <DocSecurity>0</DocSecurity>
  <ScaleCrop>false</ScaleCrop>
  <HeadingPairs>
    <vt:vector size="2" baseType="variant">
      <vt:variant>
        <vt:lpstr>Worksheets</vt:lpstr>
      </vt:variant>
      <vt:variant>
        <vt:i4>2</vt:i4>
      </vt:variant>
    </vt:vector>
  </HeadingPairs>
  <TitlesOfParts>
    <vt:vector size="1" baseType="lpstr">
      <vt:lpstr>Лист1</vt:lpstr>
    </vt:vector>
  </TitlesOfParts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2009-06-17T07:33:19Z</dcterms:created>
  <dc:title>Estados de Resultados</dc:title>
  <dc:creator>FastReport.NET</dc:creator>
</cp:coreProperties>
</file>