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0A70F0"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  <w:t xml:space="preserve">Son facultades de la </w:t>
      </w:r>
      <w:r w:rsidRPr="000A70F0">
        <w:rPr>
          <w:b/>
          <w:bCs/>
          <w:sz w:val="24"/>
          <w:szCs w:val="24"/>
        </w:rPr>
        <w:t>Dirección de la Defensoría Pública Social</w:t>
      </w:r>
      <w:r w:rsidRPr="000A70F0">
        <w:rPr>
          <w:rFonts w:asciiTheme="minorHAnsi" w:hAnsiTheme="minorHAnsi" w:cstheme="minorHAnsi"/>
          <w:b/>
          <w:bCs/>
          <w:sz w:val="24"/>
          <w:szCs w:val="24"/>
        </w:rPr>
        <w:t>:</w:t>
      </w:r>
    </w:p>
    <w:p w:rsidR="00C871A9" w:rsidRPr="000A70F0" w:rsidRDefault="00C871A9" w:rsidP="00C871A9">
      <w:pPr>
        <w:pStyle w:val="Default"/>
        <w:jc w:val="both"/>
        <w:rPr>
          <w:rFonts w:asciiTheme="minorHAnsi" w:hAnsiTheme="minorHAnsi" w:cstheme="minorHAnsi"/>
          <w:bCs/>
        </w:rPr>
      </w:pP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A70F0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20 de la Ley de la Defensoría Pública del Estado,  </w:t>
      </w:r>
      <w:r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s</w:t>
      </w:r>
      <w:r w:rsidRPr="000A70F0">
        <w:rPr>
          <w:rFonts w:asciiTheme="minorHAnsi" w:hAnsiTheme="minorHAnsi" w:cstheme="minorHAnsi"/>
          <w:sz w:val="24"/>
          <w:szCs w:val="24"/>
        </w:rPr>
        <w:t>on atribuciones del titular de la Defensoría Pública Social, las siguientes:</w:t>
      </w: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Planear, elaborar y someter a consideración de la Coordinación General los programas de trabajo del área bajo su responsabilidad para su aprobación; </w:t>
      </w:r>
    </w:p>
    <w:p w:rsidR="00C871A9" w:rsidRPr="00CE3422" w:rsidRDefault="00C871A9" w:rsidP="00C871A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Vigilar el eficaz desempeño de los las y los defensores públicos sociales, facilitadores, y demás personal subalterno;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Dar seguimiento a los asuntos encomendados por la Coordinación General a las diversas áreas, o servidoras y servidores públicos subalternos;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Elaborar los proyectos de Reglamento Interno, acuerdos administrativos, circulares, manuales de operación y procedimientos y de servicios al público, para aprobación de la Coordinación General;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Vigilar la correcta y equitativa distribución del trabajo entre las y los defensores sociales, así como la eficaz aplicación de los recursos técnicos y materiales;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lo relacionado con los mecanismos alternos de solución de controversias, evaluar los asuntos que de acuerdo a sus particularidades deban atenderse mediante intervención y asesoría de un facilitador para la mejor solución de conflictos;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Ejecutar todas aquellas órdenes que reciba directamente del Coordinador General para garantizar la oportuna defensa y protección de los intereses de los habitantes del Estado, y </w:t>
      </w:r>
    </w:p>
    <w:p w:rsidR="00C871A9" w:rsidRPr="001E290D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871A9" w:rsidRPr="00CE3422" w:rsidRDefault="00C871A9" w:rsidP="00C871A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CE3422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Las demás que determine el Reglamento, los ordenamientos legales aplicables y la superioridad. </w:t>
      </w:r>
    </w:p>
    <w:p w:rsidR="00C871A9" w:rsidRPr="000A70F0" w:rsidRDefault="00C871A9" w:rsidP="00C871A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25E" w:rsidRDefault="00AC225E">
      <w:pPr>
        <w:spacing w:after="0" w:line="240" w:lineRule="auto"/>
      </w:pPr>
      <w:r>
        <w:separator/>
      </w:r>
    </w:p>
  </w:endnote>
  <w:endnote w:type="continuationSeparator" w:id="0">
    <w:p w:rsidR="00AC225E" w:rsidRDefault="00AC2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2B68304A-9022-40E2-9456-294CFFC5D303}"/>
    <w:embedBold r:id="rId2" w:fontKey="{EDCCA443-ED91-45EB-9DAC-C5163B77CC37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EEAF4FA4-551E-49E1-8BD2-070A4952AF9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25E" w:rsidRDefault="00AC225E">
      <w:pPr>
        <w:spacing w:after="0" w:line="240" w:lineRule="auto"/>
      </w:pPr>
      <w:r>
        <w:separator/>
      </w:r>
    </w:p>
  </w:footnote>
  <w:footnote w:type="continuationSeparator" w:id="0">
    <w:p w:rsidR="00AC225E" w:rsidRDefault="00AC22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C225E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1A9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C871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C87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B0366-D31E-4EA3-AA97-48F134882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233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2019-03-31T21:34:00Z</dcterms:modified>
</cp:coreProperties>
</file>