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568" w:rsidRDefault="00CE1BF5">
      <w:pPr>
        <w:rPr>
          <w:rFonts w:ascii="Century Gothic" w:hAnsi="Century Gothic"/>
          <w:b/>
          <w:sz w:val="24"/>
        </w:rPr>
      </w:pPr>
      <w:r w:rsidRPr="00CE1BF5">
        <w:rPr>
          <w:rFonts w:ascii="Century Gothic" w:hAnsi="Century Gothic"/>
          <w:b/>
          <w:sz w:val="24"/>
        </w:rPr>
        <w:t>No se genera Formato Oficial</w:t>
      </w:r>
      <w:bookmarkStart w:id="0" w:name="_GoBack"/>
      <w:bookmarkEnd w:id="0"/>
    </w:p>
    <w:p w:rsidR="000C5F54" w:rsidRPr="000C5F54" w:rsidRDefault="000C5F54" w:rsidP="000C5F54">
      <w:pPr>
        <w:jc w:val="both"/>
        <w:rPr>
          <w:rFonts w:ascii="Century Gothic" w:hAnsi="Century Gothic"/>
          <w:i/>
          <w:sz w:val="20"/>
        </w:rPr>
      </w:pPr>
      <w:r w:rsidRPr="000C5F54">
        <w:rPr>
          <w:rFonts w:ascii="Century Gothic" w:hAnsi="Century Gothic"/>
          <w:b/>
          <w:i/>
          <w:sz w:val="20"/>
        </w:rPr>
        <w:t>1)</w:t>
      </w:r>
      <w:r w:rsidRPr="000C5F54">
        <w:rPr>
          <w:rFonts w:ascii="Century Gothic" w:hAnsi="Century Gothic"/>
          <w:i/>
          <w:sz w:val="20"/>
        </w:rPr>
        <w:t xml:space="preserve"> No existe formato oficial  de conformidad con los artículos 303 y 304 de la Ley Electoral del Estado, la inscripción de Candidato se realiza mediante escrito libre de solicitud del Partido Político o Candidato Independiente  </w:t>
      </w:r>
      <w:r w:rsidRPr="000C5F54">
        <w:rPr>
          <w:rFonts w:ascii="Century Gothic" w:hAnsi="Century Gothic"/>
          <w:b/>
          <w:i/>
          <w:sz w:val="20"/>
        </w:rPr>
        <w:t>2)</w:t>
      </w:r>
      <w:r w:rsidRPr="000C5F54">
        <w:rPr>
          <w:rFonts w:ascii="Century Gothic" w:hAnsi="Century Gothic"/>
          <w:i/>
          <w:sz w:val="20"/>
        </w:rPr>
        <w:t xml:space="preserve"> No existe formato oficial  en virtud de que la Capacitación y asesoría legal se lleva de conformidad a lo dispuesto en los Manuales de Capacitación a Comités y Comisiones Electorales  y a la normatividad electoral que el Pleno del Consejo y el Instituto Nacional Electoral aprueben para tal efecto.</w:t>
      </w:r>
    </w:p>
    <w:p w:rsidR="000C5F54" w:rsidRDefault="000C5F54" w:rsidP="000C5F54">
      <w:pPr>
        <w:jc w:val="both"/>
        <w:rPr>
          <w:rFonts w:ascii="Century Gothic" w:hAnsi="Century Gothic"/>
          <w:sz w:val="20"/>
        </w:rPr>
      </w:pPr>
    </w:p>
    <w:p w:rsidR="000C5F54" w:rsidRPr="000C5F54" w:rsidRDefault="000C5F54" w:rsidP="000C5F54">
      <w:pPr>
        <w:jc w:val="both"/>
        <w:rPr>
          <w:rFonts w:ascii="Century Gothic" w:hAnsi="Century Gothic"/>
          <w:sz w:val="20"/>
        </w:rPr>
      </w:pPr>
    </w:p>
    <w:sectPr w:rsidR="000C5F54" w:rsidRPr="000C5F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BF5"/>
    <w:rsid w:val="000C5F54"/>
    <w:rsid w:val="00AF2568"/>
    <w:rsid w:val="00CE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283BC0-AD3D-4D8A-A33B-7B26947F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Daniel LDMM. Mendez Martinez</dc:creator>
  <cp:keywords/>
  <dc:description/>
  <cp:lastModifiedBy>Luis Daniel LDMM. Mendez Martinez</cp:lastModifiedBy>
  <cp:revision>2</cp:revision>
  <dcterms:created xsi:type="dcterms:W3CDTF">2020-02-17T17:54:00Z</dcterms:created>
  <dcterms:modified xsi:type="dcterms:W3CDTF">2020-02-17T19:17:00Z</dcterms:modified>
</cp:coreProperties>
</file>