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A5B" w:rsidRDefault="0040368F" w:rsidP="00FB5A5B">
      <w:pPr>
        <w:tabs>
          <w:tab w:val="left" w:pos="687"/>
          <w:tab w:val="right" w:pos="8647"/>
        </w:tabs>
        <w:spacing w:after="0" w:line="240" w:lineRule="auto"/>
        <w:jc w:val="right"/>
        <w:rPr>
          <w:rStyle w:val="Ttulodellibro"/>
          <w:b w:val="0"/>
          <w:bCs w:val="0"/>
          <w:sz w:val="28"/>
          <w:szCs w:val="28"/>
        </w:rPr>
      </w:pPr>
      <w:r w:rsidRPr="00BC1EF2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A31E990" wp14:editId="37D9F3FB">
            <wp:simplePos x="0" y="0"/>
            <wp:positionH relativeFrom="column">
              <wp:posOffset>-552450</wp:posOffset>
            </wp:positionH>
            <wp:positionV relativeFrom="paragraph">
              <wp:posOffset>-531495</wp:posOffset>
            </wp:positionV>
            <wp:extent cx="1095375" cy="1152525"/>
            <wp:effectExtent l="0" t="0" r="9525" b="9525"/>
            <wp:wrapThrough wrapText="bothSides">
              <wp:wrapPolygon edited="0">
                <wp:start x="0" y="0"/>
                <wp:lineTo x="0" y="21421"/>
                <wp:lineTo x="21412" y="21421"/>
                <wp:lineTo x="21412" y="0"/>
                <wp:lineTo x="0" y="0"/>
              </wp:wrapPolygon>
            </wp:wrapThrough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5A5B">
        <w:rPr>
          <w:rStyle w:val="Ttulodellibro"/>
          <w:sz w:val="28"/>
          <w:szCs w:val="28"/>
        </w:rPr>
        <w:t>Comisión Estatal de Derechos Humanos</w:t>
      </w:r>
    </w:p>
    <w:p w:rsidR="00FB5A5B" w:rsidRDefault="00FB5A5B" w:rsidP="00FB5A5B">
      <w:pPr>
        <w:spacing w:after="0" w:line="240" w:lineRule="auto"/>
        <w:jc w:val="right"/>
        <w:rPr>
          <w:rStyle w:val="Ttulodellibro"/>
          <w:sz w:val="28"/>
          <w:szCs w:val="28"/>
        </w:rPr>
      </w:pPr>
      <w:r>
        <w:rPr>
          <w:rStyle w:val="Ttulodellibro"/>
          <w:sz w:val="28"/>
          <w:szCs w:val="28"/>
        </w:rPr>
        <w:t>Secretaría Ejecutiva</w:t>
      </w:r>
    </w:p>
    <w:p w:rsidR="00F10FA9" w:rsidRDefault="00F10FA9" w:rsidP="00FB5A5B">
      <w:pPr>
        <w:tabs>
          <w:tab w:val="left" w:pos="7190"/>
        </w:tabs>
      </w:pPr>
    </w:p>
    <w:p w:rsidR="00FB5A5B" w:rsidRDefault="00FB5A5B" w:rsidP="00FB5A5B">
      <w:pPr>
        <w:tabs>
          <w:tab w:val="left" w:pos="7190"/>
        </w:tabs>
      </w:pPr>
    </w:p>
    <w:p w:rsidR="005D7363" w:rsidRDefault="005D7363" w:rsidP="00FB5A5B">
      <w:pPr>
        <w:tabs>
          <w:tab w:val="left" w:pos="7190"/>
        </w:tabs>
        <w:rPr>
          <w:sz w:val="28"/>
        </w:rPr>
      </w:pPr>
    </w:p>
    <w:p w:rsidR="00FB5A5B" w:rsidRPr="00F66F21" w:rsidRDefault="0040368F" w:rsidP="00F66F21">
      <w:pPr>
        <w:tabs>
          <w:tab w:val="left" w:pos="719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 </w:t>
      </w:r>
      <w:r w:rsidR="007943F9">
        <w:rPr>
          <w:rFonts w:ascii="Arial" w:hAnsi="Arial" w:cs="Arial"/>
          <w:sz w:val="28"/>
          <w:szCs w:val="28"/>
        </w:rPr>
        <w:t>Enero de 2020</w:t>
      </w:r>
      <w:bookmarkStart w:id="0" w:name="_GoBack"/>
      <w:bookmarkEnd w:id="0"/>
      <w:r w:rsidR="00F66F21" w:rsidRPr="00F66F21">
        <w:rPr>
          <w:rFonts w:ascii="Arial" w:hAnsi="Arial" w:cs="Arial"/>
          <w:sz w:val="28"/>
          <w:szCs w:val="28"/>
        </w:rPr>
        <w:t xml:space="preserve">, </w:t>
      </w:r>
      <w:r w:rsidR="00F66F21">
        <w:rPr>
          <w:rFonts w:ascii="Arial" w:hAnsi="Arial" w:cs="Arial"/>
          <w:sz w:val="28"/>
          <w:szCs w:val="28"/>
        </w:rPr>
        <w:t>esta Secretaria Ejecutiva</w:t>
      </w:r>
      <w:r>
        <w:rPr>
          <w:rFonts w:ascii="Arial" w:hAnsi="Arial" w:cs="Arial"/>
          <w:sz w:val="28"/>
          <w:szCs w:val="28"/>
        </w:rPr>
        <w:t xml:space="preserve"> con fundamento en el artículo 42, 59 fracción I de la Ley de la Comisión Estatal de Derechos Humanos, no celebró convenios con Organismos Gubernamentales</w:t>
      </w:r>
      <w:r w:rsidR="00BD6BB8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ni con la Sociedad Civil, por lo anterior</w:t>
      </w:r>
      <w:r w:rsidR="00F66F21">
        <w:rPr>
          <w:rFonts w:ascii="Arial" w:hAnsi="Arial" w:cs="Arial"/>
          <w:sz w:val="28"/>
          <w:szCs w:val="28"/>
        </w:rPr>
        <w:t xml:space="preserve"> no generó</w:t>
      </w:r>
      <w:r w:rsidR="00F66F21" w:rsidRPr="00F66F21">
        <w:rPr>
          <w:rFonts w:ascii="Arial" w:hAnsi="Arial" w:cs="Arial"/>
          <w:sz w:val="28"/>
          <w:szCs w:val="28"/>
        </w:rPr>
        <w:t xml:space="preserve"> información</w:t>
      </w:r>
      <w:r w:rsidR="00F66F21">
        <w:rPr>
          <w:rFonts w:ascii="Arial" w:hAnsi="Arial" w:cs="Arial"/>
          <w:sz w:val="28"/>
          <w:szCs w:val="28"/>
        </w:rPr>
        <w:t xml:space="preserve"> en</w:t>
      </w:r>
      <w:r>
        <w:rPr>
          <w:rFonts w:ascii="Arial" w:hAnsi="Arial" w:cs="Arial"/>
          <w:sz w:val="28"/>
          <w:szCs w:val="28"/>
        </w:rPr>
        <w:t xml:space="preserve"> la fracción XL del artículo 84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</w:t>
      </w:r>
      <w:r w:rsidR="00F66F21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sectPr w:rsidR="00FB5A5B" w:rsidRPr="00F66F2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118" w:rsidRDefault="00203118" w:rsidP="00FB5A5B">
      <w:pPr>
        <w:spacing w:after="0" w:line="240" w:lineRule="auto"/>
      </w:pPr>
      <w:r>
        <w:separator/>
      </w:r>
    </w:p>
  </w:endnote>
  <w:endnote w:type="continuationSeparator" w:id="0">
    <w:p w:rsidR="00203118" w:rsidRDefault="00203118" w:rsidP="00FB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118" w:rsidRDefault="00203118" w:rsidP="00FB5A5B">
      <w:pPr>
        <w:spacing w:after="0" w:line="240" w:lineRule="auto"/>
      </w:pPr>
      <w:r>
        <w:separator/>
      </w:r>
    </w:p>
  </w:footnote>
  <w:footnote w:type="continuationSeparator" w:id="0">
    <w:p w:rsidR="00203118" w:rsidRDefault="00203118" w:rsidP="00FB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A5B" w:rsidRDefault="00FB5A5B" w:rsidP="00FB5A5B">
    <w:pPr>
      <w:jc w:val="center"/>
      <w:rPr>
        <w:rFonts w:ascii="Tahoma" w:hAnsi="Tahoma" w:cs="Tahoma"/>
        <w:b/>
        <w:bCs/>
        <w:sz w:val="18"/>
      </w:rPr>
    </w:pPr>
    <w:r w:rsidRPr="005E3F13">
      <w:rPr>
        <w:rFonts w:ascii="Tahoma" w:hAnsi="Tahoma" w:cs="Tahoma"/>
        <w:b/>
        <w:bCs/>
        <w:sz w:val="18"/>
      </w:rPr>
      <w:t>2019, “Año del Centenario del Natalicio de Rafael Montejano y Aguiñaga”</w:t>
    </w:r>
  </w:p>
  <w:p w:rsidR="00FB5A5B" w:rsidRDefault="00FB5A5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5B"/>
    <w:rsid w:val="00203118"/>
    <w:rsid w:val="002C59AA"/>
    <w:rsid w:val="0040368F"/>
    <w:rsid w:val="00474574"/>
    <w:rsid w:val="005D7363"/>
    <w:rsid w:val="00631AF8"/>
    <w:rsid w:val="006E7E24"/>
    <w:rsid w:val="007943F9"/>
    <w:rsid w:val="00953835"/>
    <w:rsid w:val="00BD6BB8"/>
    <w:rsid w:val="00F10FA9"/>
    <w:rsid w:val="00F66F21"/>
    <w:rsid w:val="00FB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A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A5B"/>
  </w:style>
  <w:style w:type="paragraph" w:styleId="Piedepgina">
    <w:name w:val="footer"/>
    <w:basedOn w:val="Normal"/>
    <w:link w:val="Piedepgina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A5B"/>
  </w:style>
  <w:style w:type="character" w:styleId="Ttulodellibro">
    <w:name w:val="Book Title"/>
    <w:basedOn w:val="Fuentedeprrafopredeter"/>
    <w:uiPriority w:val="33"/>
    <w:qFormat/>
    <w:rsid w:val="00FB5A5B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A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A5B"/>
  </w:style>
  <w:style w:type="paragraph" w:styleId="Piedepgina">
    <w:name w:val="footer"/>
    <w:basedOn w:val="Normal"/>
    <w:link w:val="Piedepgina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A5B"/>
  </w:style>
  <w:style w:type="character" w:styleId="Ttulodellibro">
    <w:name w:val="Book Title"/>
    <w:basedOn w:val="Fuentedeprrafopredeter"/>
    <w:uiPriority w:val="33"/>
    <w:qFormat/>
    <w:rsid w:val="00FB5A5B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lorena escalante ortiz</dc:creator>
  <cp:lastModifiedBy>diana lorena escalante ortiz</cp:lastModifiedBy>
  <cp:revision>8</cp:revision>
  <dcterms:created xsi:type="dcterms:W3CDTF">2019-09-10T23:26:00Z</dcterms:created>
  <dcterms:modified xsi:type="dcterms:W3CDTF">2020-02-10T15:00:00Z</dcterms:modified>
</cp:coreProperties>
</file>