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4EB" w:rsidRDefault="00B734EB" w:rsidP="00CC35EF">
      <w:pPr>
        <w:jc w:val="both"/>
        <w:rPr>
          <w:rFonts w:ascii="Century Gothic" w:hAnsi="Century Gothic"/>
          <w:color w:val="000000"/>
          <w:sz w:val="36"/>
          <w:szCs w:val="28"/>
          <w:shd w:val="clear" w:color="auto" w:fill="FFFFFF"/>
        </w:rPr>
      </w:pPr>
      <w:bookmarkStart w:id="0" w:name="_GoBack"/>
      <w:bookmarkEnd w:id="0"/>
    </w:p>
    <w:p w:rsidR="00057358" w:rsidRDefault="00057358" w:rsidP="00CC35EF">
      <w:pPr>
        <w:jc w:val="both"/>
        <w:rPr>
          <w:rFonts w:ascii="Century Gothic" w:hAnsi="Century Gothic"/>
          <w:color w:val="000000"/>
          <w:sz w:val="36"/>
          <w:szCs w:val="28"/>
          <w:shd w:val="clear" w:color="auto" w:fill="FFFFFF"/>
        </w:rPr>
      </w:pPr>
    </w:p>
    <w:p w:rsidR="00057358" w:rsidRDefault="00057358" w:rsidP="00B734EB">
      <w:pPr>
        <w:spacing w:line="480" w:lineRule="auto"/>
        <w:jc w:val="both"/>
        <w:rPr>
          <w:rFonts w:ascii="Century Gothic" w:hAnsi="Century Gothic"/>
          <w:sz w:val="28"/>
          <w:szCs w:val="28"/>
        </w:rPr>
      </w:pPr>
    </w:p>
    <w:p w:rsidR="00057358" w:rsidRDefault="00057358" w:rsidP="00B734EB">
      <w:pPr>
        <w:spacing w:line="480" w:lineRule="auto"/>
        <w:jc w:val="both"/>
        <w:rPr>
          <w:rFonts w:ascii="Century Gothic" w:hAnsi="Century Gothic"/>
          <w:sz w:val="28"/>
          <w:szCs w:val="28"/>
        </w:rPr>
      </w:pPr>
    </w:p>
    <w:p w:rsidR="00057358" w:rsidRDefault="00057358" w:rsidP="00B734EB">
      <w:pPr>
        <w:spacing w:line="480" w:lineRule="auto"/>
        <w:jc w:val="both"/>
        <w:rPr>
          <w:rFonts w:ascii="Century Gothic" w:hAnsi="Century Gothic"/>
          <w:sz w:val="28"/>
          <w:szCs w:val="28"/>
        </w:rPr>
      </w:pPr>
    </w:p>
    <w:p w:rsidR="00B734EB" w:rsidRPr="00CC35EF" w:rsidRDefault="00EC57D7" w:rsidP="00EC57D7">
      <w:pPr>
        <w:spacing w:line="480" w:lineRule="auto"/>
        <w:jc w:val="both"/>
        <w:rPr>
          <w:sz w:val="28"/>
        </w:rPr>
      </w:pPr>
      <w:r w:rsidRPr="00EC57D7">
        <w:rPr>
          <w:rFonts w:ascii="Century Gothic" w:hAnsi="Century Gothic"/>
          <w:sz w:val="28"/>
          <w:szCs w:val="28"/>
        </w:rPr>
        <w:t>Con fundamento en artículo 19 de Ley de Transparencia y Acceso a la Información Pública del Estado De San Luis Potosí, la  información correspondiente a Recomendaciones de organismos garantes de derechos humanos, no se encuentra en los archivos del sujeto obligado Centro de las Artes de San Luis Potosí, dado que por el periodo correspondiente no se recibieron Recomendaciones de organismos garantes de derechos humanos, por lo que es inexistente y consecuentemente a la fecha no se ha generado.</w:t>
      </w:r>
    </w:p>
    <w:sectPr w:rsidR="00B734EB" w:rsidRPr="00CC35E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5EF"/>
    <w:rsid w:val="00057358"/>
    <w:rsid w:val="002479AF"/>
    <w:rsid w:val="003731D5"/>
    <w:rsid w:val="003D40A2"/>
    <w:rsid w:val="004D39BF"/>
    <w:rsid w:val="004E4EE5"/>
    <w:rsid w:val="00542CE9"/>
    <w:rsid w:val="007F6ECC"/>
    <w:rsid w:val="00B734EB"/>
    <w:rsid w:val="00BD2D2A"/>
    <w:rsid w:val="00CC35EF"/>
    <w:rsid w:val="00D36985"/>
    <w:rsid w:val="00E146EE"/>
    <w:rsid w:val="00E94A04"/>
    <w:rsid w:val="00EC57D7"/>
    <w:rsid w:val="00EE2B9C"/>
    <w:rsid w:val="00F212E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1BC67A-8A2E-4377-ADC1-63F9C2196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Words>
  <Characters>425</Characters>
  <Application>Microsoft Office Word</Application>
  <DocSecurity>4</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DELL</cp:lastModifiedBy>
  <cp:revision>2</cp:revision>
  <cp:lastPrinted>2019-06-06T19:31:00Z</cp:lastPrinted>
  <dcterms:created xsi:type="dcterms:W3CDTF">2020-02-06T18:54:00Z</dcterms:created>
  <dcterms:modified xsi:type="dcterms:W3CDTF">2020-02-06T18:54:00Z</dcterms:modified>
</cp:coreProperties>
</file>