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AAFC64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E136F">
        <w:rPr>
          <w:rFonts w:ascii="AvantGarde Bk BT" w:hAnsi="AvantGarde Bk BT" w:cs="Arial"/>
          <w:b/>
          <w:color w:val="000000" w:themeColor="text1"/>
          <w:sz w:val="24"/>
          <w:szCs w:val="24"/>
        </w:rPr>
        <w:t>1</w:t>
      </w:r>
      <w:r w:rsidR="005B3642">
        <w:rPr>
          <w:rFonts w:ascii="AvantGarde Bk BT" w:hAnsi="AvantGarde Bk BT" w:cs="Arial"/>
          <w:b/>
          <w:color w:val="000000" w:themeColor="text1"/>
          <w:sz w:val="24"/>
          <w:szCs w:val="24"/>
        </w:rPr>
        <w:t>866</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255267A0"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45312">
        <w:rPr>
          <w:rFonts w:ascii="AvantGarde Bk BT" w:hAnsi="AvantGarde Bk BT" w:cs="Arial"/>
          <w:color w:val="000000" w:themeColor="text1"/>
          <w:sz w:val="24"/>
          <w:szCs w:val="24"/>
        </w:rPr>
        <w:t>19 diecinueve de agosto</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E904B9">
        <w:rPr>
          <w:rFonts w:ascii="AvantGarde Bk BT" w:hAnsi="AvantGarde Bk BT" w:cs="Arial"/>
          <w:color w:val="000000" w:themeColor="text1"/>
          <w:sz w:val="24"/>
          <w:szCs w:val="24"/>
        </w:rPr>
        <w:t>olio 012026</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0C11923"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833E1A">
        <w:rPr>
          <w:rFonts w:ascii="AvantGarde Bk BT" w:hAnsi="AvantGarde Bk BT" w:cs="Arial"/>
          <w:color w:val="000000" w:themeColor="text1"/>
          <w:sz w:val="24"/>
          <w:szCs w:val="24"/>
        </w:rPr>
        <w:t>02 dos</w:t>
      </w:r>
      <w:r w:rsidR="00645312">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531AA2FB"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833E1A">
        <w:rPr>
          <w:rFonts w:ascii="AvantGarde Bk BT" w:hAnsi="AvantGarde Bk BT" w:cs="Arial"/>
          <w:color w:val="000000" w:themeColor="text1"/>
          <w:sz w:val="24"/>
          <w:szCs w:val="24"/>
        </w:rPr>
        <w:t>20 veinte</w:t>
      </w:r>
      <w:r w:rsidR="00645312">
        <w:rPr>
          <w:rFonts w:ascii="AvantGarde Bk BT" w:hAnsi="AvantGarde Bk BT" w:cs="Arial"/>
          <w:color w:val="000000" w:themeColor="text1"/>
          <w:sz w:val="24"/>
          <w:szCs w:val="24"/>
        </w:rPr>
        <w:t xml:space="preserve">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1CDDC0CE"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45312">
        <w:rPr>
          <w:rFonts w:ascii="AvantGarde Bk BT" w:hAnsi="AvantGarde Bk BT" w:cs="Arial"/>
          <w:color w:val="000000" w:themeColor="text1"/>
          <w:sz w:val="24"/>
          <w:szCs w:val="24"/>
        </w:rPr>
        <w:t xml:space="preserve">30 treinta de </w:t>
      </w:r>
      <w:r w:rsidR="00833E1A">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5F9DA4C1" w14:textId="3F129C06"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45312">
        <w:rPr>
          <w:rFonts w:ascii="AvantGarde Bk BT" w:hAnsi="AvantGarde Bk BT" w:cs="Arial"/>
          <w:color w:val="000000" w:themeColor="text1"/>
          <w:sz w:val="24"/>
          <w:szCs w:val="24"/>
        </w:rPr>
        <w:t>30 treinta de septiembre</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12A77CDE"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45312">
        <w:rPr>
          <w:rFonts w:ascii="AvantGarde Bk BT" w:hAnsi="AvantGarde Bk BT" w:cs="Arial"/>
          <w:b/>
          <w:color w:val="000000" w:themeColor="text1"/>
          <w:sz w:val="24"/>
          <w:szCs w:val="24"/>
        </w:rPr>
        <w:t>186</w:t>
      </w:r>
      <w:r w:rsidR="00E904B9">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203657CE"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904B9">
        <w:rPr>
          <w:rFonts w:ascii="AvantGarde Bk BT" w:hAnsi="AvantGarde Bk BT" w:cs="Arial"/>
          <w:color w:val="000000" w:themeColor="text1"/>
          <w:sz w:val="24"/>
          <w:szCs w:val="24"/>
        </w:rPr>
        <w:t>21veintiuno</w:t>
      </w:r>
      <w:r w:rsidR="00645312">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 el ponente:</w:t>
      </w:r>
    </w:p>
    <w:p w14:paraId="19D12330" w14:textId="6149BF8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E904B9">
        <w:rPr>
          <w:rFonts w:ascii="AvantGarde Bk BT" w:hAnsi="AvantGarde Bk BT" w:cs="Arial"/>
          <w:color w:val="000000" w:themeColor="text1"/>
          <w:sz w:val="24"/>
          <w:szCs w:val="24"/>
        </w:rPr>
        <w:t>MSGS/UT/2</w:t>
      </w:r>
      <w:r w:rsidR="00833E1A">
        <w:rPr>
          <w:rFonts w:ascii="AvantGarde Bk BT" w:hAnsi="AvantGarde Bk BT" w:cs="Arial"/>
          <w:color w:val="000000" w:themeColor="text1"/>
          <w:sz w:val="24"/>
          <w:szCs w:val="24"/>
        </w:rPr>
        <w:t>9</w:t>
      </w:r>
      <w:r w:rsidR="00E904B9">
        <w:rPr>
          <w:rFonts w:ascii="AvantGarde Bk BT" w:hAnsi="AvantGarde Bk BT" w:cs="Arial"/>
          <w:color w:val="000000" w:themeColor="text1"/>
          <w:sz w:val="24"/>
          <w:szCs w:val="24"/>
        </w:rPr>
        <w:t>0</w:t>
      </w:r>
      <w:r w:rsidR="00833E1A">
        <w:rPr>
          <w:rFonts w:ascii="AvantGarde Bk BT" w:hAnsi="AvantGarde Bk BT" w:cs="Arial"/>
          <w:color w:val="000000" w:themeColor="text1"/>
          <w:sz w:val="24"/>
          <w:szCs w:val="24"/>
        </w:rPr>
        <w:t>/10</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E904B9">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33E1A">
        <w:rPr>
          <w:rFonts w:ascii="AvantGarde Bk BT" w:hAnsi="AvantGarde Bk BT" w:cs="Arial"/>
          <w:sz w:val="24"/>
          <w:szCs w:val="24"/>
        </w:rPr>
        <w:t>15 quince d</w:t>
      </w:r>
      <w:r w:rsidR="006B71F8">
        <w:rPr>
          <w:rFonts w:ascii="AvantGarde Bk BT" w:hAnsi="AvantGarde Bk BT" w:cs="Arial"/>
          <w:sz w:val="24"/>
          <w:szCs w:val="24"/>
        </w:rPr>
        <w:t>e</w:t>
      </w:r>
      <w:r w:rsidR="00833E1A">
        <w:rPr>
          <w:rFonts w:ascii="AvantGarde Bk BT" w:hAnsi="AvantGarde Bk BT" w:cs="Arial"/>
          <w:sz w:val="24"/>
          <w:szCs w:val="24"/>
        </w:rPr>
        <w:t xml:space="preserve"> </w:t>
      </w:r>
      <w:r w:rsidR="006B71F8">
        <w:rPr>
          <w:rFonts w:ascii="AvantGarde Bk BT" w:hAnsi="AvantGarde Bk BT" w:cs="Arial"/>
          <w:sz w:val="24"/>
          <w:szCs w:val="24"/>
        </w:rPr>
        <w:t>octubre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9FA73A9" w:rsidR="00946007" w:rsidRDefault="006B71F8" w:rsidP="00927822">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056E285A" w:rsidR="006B71F8" w:rsidRDefault="005F108B" w:rsidP="00F42A2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6B71F8" w:rsidRPr="00753EDD">
        <w:rPr>
          <w:rFonts w:ascii="AvantGarde Bk BT" w:hAnsi="AvantGarde Bk BT" w:cs="Arial"/>
          <w:b/>
          <w:color w:val="000000" w:themeColor="text1"/>
          <w:sz w:val="24"/>
          <w:szCs w:val="24"/>
        </w:rPr>
        <w:t>Cierre del periodo de instrucción.</w:t>
      </w:r>
      <w:r w:rsidR="006B71F8">
        <w:rPr>
          <w:rFonts w:ascii="AvantGarde Bk BT" w:hAnsi="AvantGarde Bk BT" w:cs="Arial"/>
          <w:color w:val="000000" w:themeColor="text1"/>
          <w:sz w:val="24"/>
          <w:szCs w:val="24"/>
        </w:rPr>
        <w:t xml:space="preserve"> Media</w:t>
      </w:r>
      <w:r w:rsidR="00753EDD">
        <w:rPr>
          <w:rFonts w:ascii="AvantGarde Bk BT" w:hAnsi="AvantGarde Bk BT" w:cs="Arial"/>
          <w:color w:val="000000" w:themeColor="text1"/>
          <w:sz w:val="24"/>
          <w:szCs w:val="24"/>
        </w:rPr>
        <w:t>n</w:t>
      </w:r>
      <w:r w:rsidR="006B71F8">
        <w:rPr>
          <w:rFonts w:ascii="AvantGarde Bk BT" w:hAnsi="AvantGarde Bk BT" w:cs="Arial"/>
          <w:color w:val="000000" w:themeColor="text1"/>
          <w:sz w:val="24"/>
          <w:szCs w:val="24"/>
        </w:rPr>
        <w:t xml:space="preserve">te proveído de </w:t>
      </w:r>
      <w:r w:rsidR="00753EDD">
        <w:rPr>
          <w:rFonts w:ascii="AvantGarde Bk BT" w:hAnsi="AvantGarde Bk BT" w:cs="Arial"/>
          <w:color w:val="000000" w:themeColor="text1"/>
          <w:sz w:val="24"/>
          <w:szCs w:val="24"/>
        </w:rPr>
        <w:t>29 veintinueve de octubre de 2019 dos mil diecinueve el comisionado ponente decretó cerrado el periodo de instrucción y procedió a elaborar el proyecto de resolución correspondiente.</w:t>
      </w:r>
    </w:p>
    <w:p w14:paraId="56EB3984" w14:textId="2A240D02" w:rsidR="005F108B" w:rsidRPr="00F42A2D" w:rsidRDefault="006B71F8" w:rsidP="00F42A2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OCTAVO. </w:t>
      </w:r>
      <w:r w:rsidR="00F42A2D">
        <w:rPr>
          <w:rFonts w:ascii="AvantGarde Bk BT" w:hAnsi="AvantGarde Bk BT" w:cs="Arial"/>
          <w:b/>
          <w:color w:val="000000" w:themeColor="text1"/>
          <w:sz w:val="24"/>
          <w:szCs w:val="24"/>
        </w:rPr>
        <w:t>Ampliación del plazo para resolver el recurso de revisión</w:t>
      </w:r>
      <w:r w:rsidR="005F108B" w:rsidRPr="007C5605">
        <w:rPr>
          <w:rFonts w:ascii="AvantGarde Bk BT" w:hAnsi="AvantGarde Bk BT" w:cs="Arial"/>
          <w:b/>
          <w:color w:val="000000" w:themeColor="text1"/>
          <w:sz w:val="24"/>
          <w:szCs w:val="24"/>
        </w:rPr>
        <w:t>.</w:t>
      </w:r>
      <w:r w:rsidR="005F108B" w:rsidRPr="007C5605">
        <w:rPr>
          <w:rFonts w:ascii="AvantGarde Bk BT" w:hAnsi="AvantGarde Bk BT" w:cs="Arial"/>
          <w:color w:val="000000" w:themeColor="text1"/>
          <w:sz w:val="24"/>
          <w:szCs w:val="24"/>
        </w:rPr>
        <w:t xml:space="preserve"> Mediante </w:t>
      </w:r>
      <w:r w:rsidR="00F42A2D">
        <w:rPr>
          <w:rFonts w:ascii="AvantGarde Bk BT" w:hAnsi="AvantGarde Bk BT" w:cs="Arial"/>
          <w:color w:val="000000" w:themeColor="text1"/>
          <w:sz w:val="24"/>
          <w:szCs w:val="24"/>
        </w:rPr>
        <w:t xml:space="preserve">proveído de </w:t>
      </w:r>
      <w:r w:rsidR="00753EDD">
        <w:rPr>
          <w:rFonts w:ascii="AvantGarde Bk BT" w:hAnsi="AvantGarde Bk BT" w:cs="Arial"/>
          <w:color w:val="000000" w:themeColor="text1"/>
          <w:sz w:val="24"/>
          <w:szCs w:val="24"/>
        </w:rPr>
        <w:t>04 cuatro de noviembre</w:t>
      </w:r>
      <w:r w:rsidR="00F42A2D">
        <w:rPr>
          <w:rFonts w:ascii="AvantGarde Bk BT" w:hAnsi="AvantGarde Bk BT" w:cs="Arial"/>
          <w:color w:val="000000" w:themeColor="text1"/>
          <w:sz w:val="24"/>
          <w:szCs w:val="24"/>
        </w:rPr>
        <w:t xml:space="preserve"> de 2019 dos mil diecinueve el ponente decretó la ampliación del plazo prevista en el artículo 170 de la ley de la materia, esto en razón de la complejidad del estudio del expediente en cuestión</w:t>
      </w:r>
      <w:r w:rsidR="005F108B" w:rsidRPr="007C5605">
        <w:rPr>
          <w:rFonts w:ascii="AvantGarde Bk BT" w:hAnsi="AvantGarde Bk BT" w:cs="Arial"/>
          <w:color w:val="000000" w:themeColor="text1"/>
          <w:sz w:val="24"/>
          <w:szCs w:val="24"/>
        </w:rPr>
        <w:t>.</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3406E08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833E1A">
        <w:rPr>
          <w:rFonts w:ascii="AvantGarde Bk BT" w:hAnsi="AvantGarde Bk BT" w:cs="Arial"/>
          <w:sz w:val="24"/>
          <w:szCs w:val="24"/>
        </w:rPr>
        <w:t>02 dos</w:t>
      </w:r>
      <w:r w:rsidR="00753EDD">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71F3052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833E1A">
        <w:rPr>
          <w:rFonts w:ascii="AvantGarde Bk BT" w:hAnsi="AvantGarde Bk BT" w:cs="Arial"/>
          <w:sz w:val="24"/>
          <w:szCs w:val="24"/>
        </w:rPr>
        <w:t>03 tres</w:t>
      </w:r>
      <w:r w:rsidR="00753EDD">
        <w:rPr>
          <w:rFonts w:ascii="AvantGarde Bk BT" w:hAnsi="AvantGarde Bk BT" w:cs="Arial"/>
          <w:sz w:val="24"/>
          <w:szCs w:val="24"/>
        </w:rPr>
        <w:t xml:space="preserve"> </w:t>
      </w:r>
      <w:r w:rsidR="00833E1A">
        <w:rPr>
          <w:rFonts w:ascii="AvantGarde Bk BT" w:hAnsi="AvantGarde Bk BT" w:cs="Arial"/>
          <w:sz w:val="24"/>
          <w:szCs w:val="24"/>
        </w:rPr>
        <w:t>al 24</w:t>
      </w:r>
      <w:r w:rsidR="00753EDD">
        <w:rPr>
          <w:rFonts w:ascii="AvantGarde Bk BT" w:hAnsi="AvantGarde Bk BT" w:cs="Arial"/>
          <w:sz w:val="24"/>
          <w:szCs w:val="24"/>
        </w:rPr>
        <w:t xml:space="preserve"> veinti</w:t>
      </w:r>
      <w:r w:rsidR="00833E1A">
        <w:rPr>
          <w:rFonts w:ascii="AvantGarde Bk BT" w:hAnsi="AvantGarde Bk BT" w:cs="Arial"/>
          <w:sz w:val="24"/>
          <w:szCs w:val="24"/>
        </w:rPr>
        <w:t>cuatro</w:t>
      </w:r>
      <w:r w:rsidRPr="00E965A2">
        <w:rPr>
          <w:rFonts w:ascii="AvantGarde Bk BT" w:hAnsi="AvantGarde Bk BT" w:cs="Arial"/>
          <w:sz w:val="24"/>
          <w:szCs w:val="24"/>
        </w:rPr>
        <w:t xml:space="preserve"> </w:t>
      </w:r>
      <w:r w:rsidR="00753EDD">
        <w:rPr>
          <w:rFonts w:ascii="AvantGarde Bk BT" w:hAnsi="AvantGarde Bk BT" w:cs="Arial"/>
          <w:sz w:val="24"/>
          <w:szCs w:val="24"/>
        </w:rPr>
        <w:t xml:space="preserve">de septiembre </w:t>
      </w:r>
      <w:r w:rsidRPr="00E965A2">
        <w:rPr>
          <w:rFonts w:ascii="AvantGarde Bk BT" w:hAnsi="AvantGarde Bk BT" w:cs="Arial"/>
          <w:sz w:val="24"/>
          <w:szCs w:val="24"/>
        </w:rPr>
        <w:t>de 2019 dos mil diecinueve.</w:t>
      </w:r>
    </w:p>
    <w:p w14:paraId="650490BE" w14:textId="0ED3330B"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753EDD">
        <w:rPr>
          <w:rFonts w:ascii="AvantGarde Bk BT" w:hAnsi="AvantGarde Bk BT" w:cs="Arial"/>
          <w:sz w:val="24"/>
          <w:szCs w:val="24"/>
        </w:rPr>
        <w:t xml:space="preserve">07 siete, 08 ocho, 14 catorce, 15 quince, 16 dieciséis, 21 veintiuno y </w:t>
      </w:r>
      <w:r w:rsidR="008A6D72">
        <w:rPr>
          <w:rFonts w:ascii="AvantGarde Bk BT" w:hAnsi="AvantGarde Bk BT" w:cs="Arial"/>
          <w:sz w:val="24"/>
          <w:szCs w:val="24"/>
        </w:rPr>
        <w:t>22 veintidós</w:t>
      </w:r>
      <w:r w:rsidR="00753EDD">
        <w:rPr>
          <w:rFonts w:ascii="AvantGarde Bk BT" w:hAnsi="AvantGarde Bk BT" w:cs="Arial"/>
          <w:sz w:val="24"/>
          <w:szCs w:val="24"/>
        </w:rPr>
        <w:t xml:space="preserve"> de septiembre</w:t>
      </w:r>
      <w:r w:rsidR="00865A36">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7EA4E2B0"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833E1A">
        <w:rPr>
          <w:rFonts w:ascii="AvantGarde Bk BT" w:hAnsi="AvantGarde Bk BT" w:cs="Arial"/>
          <w:sz w:val="24"/>
          <w:szCs w:val="24"/>
        </w:rPr>
        <w:t>20 veinte</w:t>
      </w:r>
      <w:r w:rsidR="00753EDD">
        <w:rPr>
          <w:rFonts w:ascii="AvantGarde Bk BT" w:hAnsi="AvantGarde Bk BT" w:cs="Arial"/>
          <w:sz w:val="24"/>
          <w:szCs w:val="24"/>
        </w:rPr>
        <w:t xml:space="preserve">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D70BF2">
        <w:rPr>
          <w:rFonts w:ascii="AvantGarde Bk BT" w:hAnsi="AvantGarde Bk BT" w:cs="Arial"/>
          <w:sz w:val="24"/>
          <w:szCs w:val="24"/>
        </w:rPr>
        <w:lastRenderedPageBreak/>
        <w:t>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2C3044B5"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E904B9" w:rsidRPr="00E904B9">
        <w:rPr>
          <w:rFonts w:ascii="AvantGarde Bk BT" w:hAnsi="AvantGarde Bk BT" w:cs="Arial"/>
          <w:i/>
          <w:sz w:val="22"/>
          <w:szCs w:val="22"/>
        </w:rPr>
        <w:t xml:space="preserve">Cuantas facturas ha emitido el ayuntamiento en lo que fue del 1 de enero del 2015 al 31 de diciembre del 2015, solicito cada </w:t>
      </w:r>
      <w:r w:rsidR="00E904B9">
        <w:rPr>
          <w:rFonts w:ascii="AvantGarde Bk BT" w:hAnsi="AvantGarde Bk BT" w:cs="Arial"/>
          <w:i/>
          <w:sz w:val="22"/>
          <w:szCs w:val="22"/>
        </w:rPr>
        <w:t>una de ellas en versión publica</w:t>
      </w:r>
      <w:r w:rsidR="00B520C8" w:rsidRPr="00F21084">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06</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62BC361D" w14:textId="77777777" w:rsidR="00E904B9" w:rsidRPr="00E904B9" w:rsidRDefault="00946007" w:rsidP="00E904B9">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E904B9" w:rsidRPr="00E904B9">
        <w:rPr>
          <w:rFonts w:ascii="AvantGarde Bk BT" w:hAnsi="AvantGarde Bk BT" w:cs="Arial"/>
          <w:i/>
          <w:iCs/>
          <w:sz w:val="22"/>
          <w:szCs w:val="22"/>
        </w:rPr>
        <w:t>C. CIUDADANOS OBSERVANDO A.C.</w:t>
      </w:r>
    </w:p>
    <w:p w14:paraId="6974EAE6" w14:textId="77777777" w:rsidR="00E904B9" w:rsidRPr="00E904B9" w:rsidRDefault="00E904B9" w:rsidP="00E904B9">
      <w:pPr>
        <w:pStyle w:val="corte4fondo"/>
        <w:tabs>
          <w:tab w:val="left" w:pos="567"/>
        </w:tabs>
        <w:ind w:left="680"/>
        <w:rPr>
          <w:rFonts w:ascii="AvantGarde Bk BT" w:hAnsi="AvantGarde Bk BT" w:cs="Arial"/>
          <w:i/>
          <w:iCs/>
          <w:sz w:val="22"/>
          <w:szCs w:val="22"/>
        </w:rPr>
      </w:pPr>
      <w:r w:rsidRPr="00E904B9">
        <w:rPr>
          <w:rFonts w:ascii="AvantGarde Bk BT" w:hAnsi="AvantGarde Bk BT" w:cs="Arial"/>
          <w:i/>
          <w:iCs/>
          <w:sz w:val="22"/>
          <w:szCs w:val="22"/>
        </w:rPr>
        <w:t>FOLIO  01202619</w:t>
      </w:r>
    </w:p>
    <w:p w14:paraId="3561758B" w14:textId="3EDAD78C" w:rsidR="00E904B9" w:rsidRPr="00E904B9" w:rsidRDefault="00E904B9" w:rsidP="00E904B9">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P R E S E N T E.-</w:t>
      </w:r>
    </w:p>
    <w:p w14:paraId="1EF2DDB3" w14:textId="7E3F6E39"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DENTRO DE LOS AUTOS FORMADOS CON MOTIVO DE LA SOLICITUD DE INFORMACIÓN RECIBIDA EL DIA 20 DE AGOSTO DEL 2019, EN ESTA OFICINA DE LA UNIDAD DE TRANSPARENCIA, POR MEDIO DEL SISTEMA INFOMEX CON NO. DE FOLIO 01202619 A LA CUAL SE LE ASIGNO EL No. DE EXPEDIENTE UT/151</w:t>
      </w:r>
      <w:r>
        <w:rPr>
          <w:rFonts w:ascii="AvantGarde Bk BT" w:hAnsi="AvantGarde Bk BT" w:cs="Arial"/>
          <w:i/>
          <w:iCs/>
          <w:sz w:val="22"/>
          <w:szCs w:val="22"/>
        </w:rPr>
        <w:t>9/08/2019, EN LA CUAL SOLICITA.</w:t>
      </w:r>
    </w:p>
    <w:p w14:paraId="561DF82B" w14:textId="6C5A5C19"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“CUANTAS FACTURAS HA EMITIDO EL AYUNTAMIENTO EN LO QUE FUE DEL 1 DE ENERO DEL 2015 AL 31 DE DICIEMBRE DEL 2015, SOLICITO CADA UNA</w:t>
      </w:r>
      <w:r>
        <w:rPr>
          <w:rFonts w:ascii="AvantGarde Bk BT" w:hAnsi="AvantGarde Bk BT" w:cs="Arial"/>
          <w:i/>
          <w:iCs/>
          <w:sz w:val="22"/>
          <w:szCs w:val="22"/>
        </w:rPr>
        <w:t xml:space="preserve"> DE ELLAS EN VERSION PUBLICA.”:</w:t>
      </w:r>
    </w:p>
    <w:p w14:paraId="1574E570" w14:textId="6E274333"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POR LO ANTERIORMENTE EXPUESTO SE TIENE POR ENVIADO EL OFICIO DE NUMERO MSGS/UT/1671/08/2019 PARA TESORERIA MUNICIPAL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55BF394B" w14:textId="508AC25A"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lastRenderedPageBreak/>
        <w:t>DERIVADO DE LO ANTERIOR SE TIENE POR RECIBIDO EL OFICIO CON NO. MSGS/T00572/2019 POR PARTE DE TESORERIA MUNICIPAL, EN E</w:t>
      </w:r>
      <w:r>
        <w:rPr>
          <w:rFonts w:ascii="AvantGarde Bk BT" w:hAnsi="AvantGarde Bk BT" w:cs="Arial"/>
          <w:i/>
          <w:iCs/>
          <w:sz w:val="22"/>
          <w:szCs w:val="22"/>
        </w:rPr>
        <w:t>L CUAL SE INFORMA LO SIGUIENTE:</w:t>
      </w:r>
    </w:p>
    <w:p w14:paraId="2405C3B2" w14:textId="77777777"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 xml:space="preserve">Le solicito haga saber al compareciente que, la información solicitada respecto a -CUANTAS FACTURAS HA EMITIDO EL AYUNTAMIENTO ……-, se encuentra a su disposición para su consulta física y gratuita, en las oficinas que ocupa esta Tesorería Municipal ubicada en Jardín Hidalgo numero 1 planta baja, Cabecera Municipal de Soledad de Graciano Sánchez, S.L.P., el próximo día martes 03 de septiembre año en curso en punto de las 08:00 Hrs., debiéndose de presentar con el que suscribe, previa identificación a fin de levantar la constancia de la entrega de información solicitada. Sirve de sustento legal lo establecido por el numeral 149 de la Ley de Transparencia y Acceso a la Información Pública del Estado de San Luis Potosí, que a la letra dice :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 </w:t>
      </w:r>
    </w:p>
    <w:p w14:paraId="0C314827" w14:textId="77777777"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 xml:space="preserve">En todo caso se facilitará su copia simple o certificada, así como su reproducción por cualquier medio disponible en las instalaciones del sujeto obligado o que, en su caso, aporte el solicitante. Así como lo establecido en el numeral 60 de la Ley citada líneas arriba, que a la letra dice: En la formulación, producción, procesamiento, administración, archivo y resguardo de la información, debe atenderse al principio de la máxima publicidad, con el objeto de facilitar el acceso de cualquier persona a su conocimiento. </w:t>
      </w:r>
    </w:p>
    <w:p w14:paraId="59A9B464" w14:textId="77777777"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 xml:space="preserve">La obligación de entregarla no implica el procesamiento, ni la adecuación de la información al interés del solicitante, salvo la producción de versiones públicas del documento; </w:t>
      </w:r>
    </w:p>
    <w:p w14:paraId="158E8D56" w14:textId="0644BB18"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El tratamiento de documentación histórica deberá hacerse en términos establecidos en el artícu</w:t>
      </w:r>
      <w:r>
        <w:rPr>
          <w:rFonts w:ascii="AvantGarde Bk BT" w:hAnsi="AvantGarde Bk BT" w:cs="Arial"/>
          <w:i/>
          <w:iCs/>
          <w:sz w:val="22"/>
          <w:szCs w:val="22"/>
        </w:rPr>
        <w:t xml:space="preserve">lo 50 de esta Ley. </w:t>
      </w:r>
    </w:p>
    <w:p w14:paraId="26F6B037" w14:textId="6E842464"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lastRenderedPageBreak/>
        <w:t>Esta respuesta encuentra su sustento en lo establecido por la Ley de Transparencia y Acceso a la Información Pública del Estado de San Luis Potosí, en sus numerales 3º fracción XII, XIII, 11, 12, 60, 149, 154 y demás relativos, concatenados al artículo 13 del Reglamento Interno de la Administración Pública del Ayuntamiento de Sole</w:t>
      </w:r>
      <w:r>
        <w:rPr>
          <w:rFonts w:ascii="AvantGarde Bk BT" w:hAnsi="AvantGarde Bk BT" w:cs="Arial"/>
          <w:i/>
          <w:iCs/>
          <w:sz w:val="22"/>
          <w:szCs w:val="22"/>
        </w:rPr>
        <w:t>dad de Graciano Sánchez, S.L.P.</w:t>
      </w:r>
    </w:p>
    <w:p w14:paraId="15BB5032" w14:textId="1D39D8FD" w:rsidR="00E904B9" w:rsidRPr="00E904B9" w:rsidRDefault="00E904B9" w:rsidP="00261984">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POR LO ANTERIORMENTE EXPUESTO ESTA UNIDAD DE TRANSPARENCIA TIENE A BIEN ACORDAR. – NOTIFIQUESE AL C. CIUDADANOS OBSERVANDO A.C.  QUE EL CONTENIDO DEL OFICIO AQUÍ CITADO,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2E7CC10C" w14:textId="600ABC57" w:rsidR="00713979" w:rsidRPr="00E904B9" w:rsidRDefault="00E904B9" w:rsidP="00E904B9">
      <w:pPr>
        <w:pStyle w:val="corte4fondo"/>
        <w:tabs>
          <w:tab w:val="left" w:pos="567"/>
        </w:tabs>
        <w:spacing w:after="240"/>
        <w:ind w:left="680"/>
        <w:rPr>
          <w:rFonts w:ascii="AvantGarde Bk BT" w:hAnsi="AvantGarde Bk BT" w:cs="Arial"/>
          <w:i/>
          <w:iCs/>
          <w:sz w:val="22"/>
          <w:szCs w:val="22"/>
        </w:rPr>
      </w:pPr>
      <w:r w:rsidRPr="00E904B9">
        <w:rPr>
          <w:rFonts w:ascii="AvantGarde Bk BT" w:hAnsi="AvantGarde Bk BT" w:cs="Arial"/>
          <w:i/>
          <w:iCs/>
          <w:sz w:val="22"/>
          <w:szCs w:val="22"/>
        </w:rPr>
        <w:t>ASI LO ACORDO ESTA UNIDAD DE TRANSPARENCIA, DEL H. AYUNTAMIENTO DE SOLEDAD DE GRACIANO SANCHE</w:t>
      </w:r>
      <w:r>
        <w:rPr>
          <w:rFonts w:ascii="AvantGarde Bk BT" w:hAnsi="AvantGarde Bk BT" w:cs="Arial"/>
          <w:i/>
          <w:iCs/>
          <w:sz w:val="22"/>
          <w:szCs w:val="22"/>
        </w:rPr>
        <w:t>Z</w:t>
      </w:r>
      <w:r w:rsidR="00C44B12">
        <w:rPr>
          <w:rFonts w:ascii="AvantGarde Bk BT" w:hAnsi="AvantGarde Bk BT" w:cs="Arial"/>
          <w:sz w:val="24"/>
          <w:szCs w:val="24"/>
        </w:rPr>
        <w:t xml:space="preserve">” (Visible a fojas 02 y 03 </w:t>
      </w:r>
      <w:r w:rsidR="00946007" w:rsidRPr="00E0750B">
        <w:rPr>
          <w:rFonts w:ascii="AvantGarde Bk BT" w:hAnsi="AvantGarde Bk BT" w:cs="Arial"/>
          <w:sz w:val="24"/>
          <w:szCs w:val="24"/>
        </w:rPr>
        <w:t>de autos).</w:t>
      </w:r>
    </w:p>
    <w:p w14:paraId="505F0041" w14:textId="53519D83" w:rsidR="00946007" w:rsidRPr="00E0750B" w:rsidRDefault="00946007" w:rsidP="0037595A">
      <w:pPr>
        <w:pStyle w:val="corte4fondo"/>
        <w:tabs>
          <w:tab w:val="left" w:pos="567"/>
        </w:tabs>
        <w:spacing w:after="240"/>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053298AA" w:rsidR="00946007" w:rsidRPr="00E0750B" w:rsidRDefault="00946007" w:rsidP="005F108B">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C44B12">
        <w:rPr>
          <w:rFonts w:ascii="AvantGarde Bk BT" w:hAnsi="AvantGarde Bk BT" w:cs="Arial"/>
          <w:i/>
          <w:sz w:val="22"/>
          <w:szCs w:val="22"/>
        </w:rPr>
        <w:t>El sujeto obligado no contestó la información requerida</w:t>
      </w:r>
      <w:r w:rsidR="00EE75F1" w:rsidRPr="005F108B">
        <w:rPr>
          <w:rFonts w:ascii="AvantGarde Bk BT" w:hAnsi="AvantGarde Bk BT" w:cs="Arial"/>
          <w:i/>
          <w:sz w:val="22"/>
          <w:szCs w:val="22"/>
        </w:rPr>
        <w:t>.</w:t>
      </w:r>
      <w:r w:rsidR="00C44B12">
        <w:rPr>
          <w:rFonts w:ascii="AvantGarde Bk BT" w:hAnsi="AvantGarde Bk BT" w:cs="Arial"/>
          <w:sz w:val="24"/>
          <w:szCs w:val="24"/>
        </w:rPr>
        <w:t>”</w:t>
      </w:r>
      <w:r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0ADE5701" w14:textId="1EF20824" w:rsidR="00D4006E" w:rsidRDefault="00946007" w:rsidP="007D7B73">
      <w:pPr>
        <w:pStyle w:val="corte4fondo"/>
        <w:tabs>
          <w:tab w:val="left" w:pos="567"/>
        </w:tabs>
        <w:spacing w:after="240"/>
        <w:ind w:firstLine="680"/>
        <w:rPr>
          <w:rFonts w:ascii="AvantGarde Bk BT" w:hAnsi="AvantGarde Bk BT" w:cs="Arial"/>
          <w:sz w:val="24"/>
          <w:szCs w:val="24"/>
        </w:rPr>
      </w:pPr>
      <w:r w:rsidRPr="00A21089">
        <w:rPr>
          <w:rFonts w:ascii="AvantGarde Bk BT" w:hAnsi="AvantGarde Bk BT" w:cs="Arial"/>
          <w:sz w:val="24"/>
          <w:szCs w:val="24"/>
        </w:rPr>
        <w:t xml:space="preserve">Al respecto, en el informe que el sujeto obligado rindió ante este organismo, </w:t>
      </w:r>
      <w:r w:rsidR="00D4006E" w:rsidRPr="00A21089">
        <w:rPr>
          <w:rFonts w:ascii="AvantGarde Bk BT" w:hAnsi="AvantGarde Bk BT" w:cs="Arial"/>
          <w:sz w:val="24"/>
          <w:szCs w:val="24"/>
        </w:rPr>
        <w:t xml:space="preserve">y que </w:t>
      </w:r>
      <w:r w:rsidR="00395037" w:rsidRPr="00A21089">
        <w:rPr>
          <w:rFonts w:ascii="AvantGarde Bk BT" w:hAnsi="AvantGarde Bk BT" w:cs="Arial"/>
          <w:sz w:val="24"/>
          <w:szCs w:val="24"/>
        </w:rPr>
        <w:t xml:space="preserve">se encuentra </w:t>
      </w:r>
      <w:r w:rsidR="00D4006E" w:rsidRPr="00A21089">
        <w:rPr>
          <w:rFonts w:ascii="AvantGarde Bk BT" w:hAnsi="AvantGarde Bk BT" w:cs="Arial"/>
          <w:sz w:val="24"/>
          <w:szCs w:val="24"/>
        </w:rPr>
        <w:t xml:space="preserve">visible de foja </w:t>
      </w:r>
      <w:r w:rsidR="00C44B12">
        <w:rPr>
          <w:rFonts w:ascii="AvantGarde Bk BT" w:hAnsi="AvantGarde Bk BT" w:cs="Arial"/>
          <w:sz w:val="24"/>
          <w:szCs w:val="24"/>
        </w:rPr>
        <w:t xml:space="preserve">18 </w:t>
      </w:r>
      <w:r w:rsidR="004B3960">
        <w:rPr>
          <w:rFonts w:ascii="AvantGarde Bk BT" w:hAnsi="AvantGarde Bk BT" w:cs="Arial"/>
          <w:sz w:val="24"/>
          <w:szCs w:val="24"/>
        </w:rPr>
        <w:t>a 36</w:t>
      </w:r>
      <w:r w:rsidR="00C44B12">
        <w:rPr>
          <w:rFonts w:ascii="AvantGarde Bk BT" w:hAnsi="AvantGarde Bk BT" w:cs="Arial"/>
          <w:sz w:val="24"/>
          <w:szCs w:val="24"/>
        </w:rPr>
        <w:t xml:space="preserve"> de autos</w:t>
      </w:r>
      <w:r w:rsidR="00D4006E" w:rsidRPr="00A21089">
        <w:rPr>
          <w:rFonts w:ascii="AvantGarde Bk BT" w:hAnsi="AvantGarde Bk BT" w:cs="Arial"/>
          <w:sz w:val="24"/>
          <w:szCs w:val="24"/>
        </w:rPr>
        <w:t xml:space="preserve">, </w:t>
      </w:r>
      <w:r w:rsidR="00050D73" w:rsidRPr="00A21089">
        <w:rPr>
          <w:rFonts w:ascii="AvantGarde Bk BT" w:hAnsi="AvantGarde Bk BT" w:cs="Arial"/>
          <w:sz w:val="24"/>
          <w:szCs w:val="24"/>
        </w:rPr>
        <w:t>reiter</w:t>
      </w:r>
      <w:r w:rsidR="00050D73">
        <w:rPr>
          <w:rFonts w:ascii="AvantGarde Bk BT" w:hAnsi="AvantGarde Bk BT" w:cs="Arial"/>
          <w:sz w:val="24"/>
          <w:szCs w:val="24"/>
        </w:rPr>
        <w:t xml:space="preserve">ó su respuesta e </w:t>
      </w:r>
      <w:r w:rsidR="008D713E">
        <w:rPr>
          <w:rFonts w:ascii="AvantGarde Bk BT" w:hAnsi="AvantGarde Bk BT" w:cs="Arial"/>
          <w:sz w:val="24"/>
          <w:szCs w:val="24"/>
        </w:rPr>
        <w:t xml:space="preserve">hizo hincapié en que </w:t>
      </w:r>
      <w:r w:rsidR="002F24D0">
        <w:rPr>
          <w:rFonts w:ascii="AvantGarde Bk BT" w:hAnsi="AvantGarde Bk BT" w:cs="Arial"/>
          <w:sz w:val="24"/>
          <w:szCs w:val="24"/>
        </w:rPr>
        <w:t>las manifestaciones vertidas por el recurrente en sus agravios son falsas, pues se atendió cabalmente la solicitud de información</w:t>
      </w:r>
      <w:r w:rsidR="00D4006E" w:rsidRPr="00395037">
        <w:rPr>
          <w:rFonts w:ascii="AvantGarde Bk BT" w:hAnsi="AvantGarde Bk BT" w:cs="Arial"/>
          <w:sz w:val="24"/>
          <w:szCs w:val="24"/>
        </w:rPr>
        <w:t>.</w:t>
      </w:r>
    </w:p>
    <w:p w14:paraId="63FEE43A" w14:textId="3D6A37AD" w:rsidR="002F24D0" w:rsidRDefault="002F24D0" w:rsidP="001555B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Pr>
          <w:rFonts w:ascii="AvantGarde Bk BT" w:hAnsi="AvantGarde Bk BT" w:cs="Arial"/>
          <w:sz w:val="24"/>
          <w:szCs w:val="24"/>
        </w:rPr>
        <w:t xml:space="preserve">inatendibles pues estos no </w:t>
      </w:r>
      <w:r w:rsidR="00CA0F8B">
        <w:rPr>
          <w:rFonts w:ascii="AvantGarde Bk BT" w:hAnsi="AvantGarde Bk BT" w:cs="Arial"/>
          <w:sz w:val="24"/>
          <w:szCs w:val="24"/>
        </w:rPr>
        <w:t>guardan</w:t>
      </w:r>
      <w:r>
        <w:rPr>
          <w:rFonts w:ascii="AvantGarde Bk BT" w:hAnsi="AvantGarde Bk BT" w:cs="Arial"/>
          <w:sz w:val="24"/>
          <w:szCs w:val="24"/>
        </w:rPr>
        <w:t xml:space="preserve"> relación lógica con la respuesta emitida por el sujeto obligado.</w:t>
      </w:r>
    </w:p>
    <w:p w14:paraId="52444E2A" w14:textId="77777777" w:rsidR="002F24D0" w:rsidRDefault="002F24D0" w:rsidP="002F24D0">
      <w:pPr>
        <w:pStyle w:val="corte4fondo"/>
        <w:tabs>
          <w:tab w:val="left" w:pos="567"/>
        </w:tabs>
        <w:spacing w:after="240"/>
        <w:ind w:firstLine="680"/>
        <w:rPr>
          <w:rFonts w:ascii="AvantGarde Bk BT" w:hAnsi="AvantGarde Bk BT" w:cs="Arial"/>
          <w:sz w:val="24"/>
          <w:szCs w:val="24"/>
        </w:rPr>
      </w:pPr>
      <w:r w:rsidRPr="00F02A2C">
        <w:rPr>
          <w:rFonts w:ascii="AvantGarde Bk BT" w:hAnsi="AvantGarde Bk BT" w:cs="Arial"/>
          <w:sz w:val="24"/>
          <w:szCs w:val="24"/>
        </w:rPr>
        <w:t xml:space="preserve">No obstante lo anterior, se debe precisar que este cuerpo colegiado tiene por objeto garantizar a toda persona su derecho de acceso a la información pública </w:t>
      </w:r>
      <w:r w:rsidRPr="00F02A2C">
        <w:rPr>
          <w:rFonts w:ascii="AvantGarde Bk BT" w:hAnsi="AvantGarde Bk BT" w:cs="Arial"/>
          <w:sz w:val="24"/>
          <w:szCs w:val="24"/>
          <w:vertAlign w:val="superscript"/>
        </w:rPr>
        <w:footnoteReference w:id="1"/>
      </w:r>
      <w:r w:rsidRPr="00F02A2C">
        <w:rPr>
          <w:rFonts w:ascii="AvantGarde Bk BT" w:hAnsi="AvantGarde Bk BT" w:cs="Arial"/>
          <w:sz w:val="24"/>
          <w:szCs w:val="24"/>
        </w:rPr>
        <w:t xml:space="preserve">y </w:t>
      </w:r>
      <w:r w:rsidRPr="00F02A2C">
        <w:rPr>
          <w:rFonts w:ascii="AvantGarde Bk BT" w:hAnsi="AvantGarde Bk BT" w:cs="Arial"/>
          <w:sz w:val="24"/>
          <w:szCs w:val="24"/>
        </w:rPr>
        <w:lastRenderedPageBreak/>
        <w:t>con fundamento en el artículo 14 de la ley de transparencia</w:t>
      </w:r>
      <w:r w:rsidRPr="00F02A2C">
        <w:rPr>
          <w:rFonts w:ascii="AvantGarde Bk BT" w:hAnsi="AvantGarde Bk BT" w:cs="Arial"/>
          <w:sz w:val="24"/>
          <w:szCs w:val="24"/>
          <w:vertAlign w:val="superscript"/>
        </w:rPr>
        <w:footnoteReference w:id="2"/>
      </w:r>
      <w:r w:rsidRPr="00F02A2C">
        <w:rPr>
          <w:rFonts w:ascii="AvantGarde Bk BT" w:hAnsi="AvantGarde Bk BT" w:cs="Arial"/>
          <w:sz w:val="24"/>
          <w:szCs w:val="24"/>
        </w:rPr>
        <w:t>, suple la deficiencia de la queja plantada por el ahora recurrente.</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3"/>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4"/>
      </w:r>
    </w:p>
    <w:p w14:paraId="7EF269A6" w14:textId="77777777" w:rsidR="00CA0F8B" w:rsidRPr="00CB2002"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Ahora bien, este cuerpo colegiado estima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5"/>
      </w:r>
      <w:r w:rsidRPr="00CB2002">
        <w:rPr>
          <w:rFonts w:ascii="AvantGarde Bk BT" w:hAnsi="AvantGarde Bk BT" w:cs="Arial"/>
          <w:color w:val="000000" w:themeColor="text1"/>
          <w:sz w:val="24"/>
          <w:szCs w:val="24"/>
        </w:rPr>
        <w:t>.</w:t>
      </w:r>
    </w:p>
    <w:p w14:paraId="72239D39" w14:textId="77777777" w:rsidR="00CA0F8B" w:rsidRDefault="00CA0F8B" w:rsidP="00CA0F8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En este contexto y en lo que respecta al caso concreto, el sujeto obligado notificó al particular que la información solicitada se ponía a disposición para efecto de llevar una consulta directa de la información, lo anterior con fundamento en el artículo 149 de la ley de la materia.</w:t>
      </w:r>
    </w:p>
    <w:p w14:paraId="4B56CF7A" w14:textId="77777777" w:rsidR="00CA0F8B" w:rsidRPr="00CB2002" w:rsidRDefault="00CA0F8B" w:rsidP="00CA0F8B">
      <w:pPr>
        <w:pStyle w:val="corte4fondo"/>
        <w:spacing w:after="240"/>
        <w:rPr>
          <w:rFonts w:ascii="AvantGarde Bk BT" w:hAnsi="AvantGarde Bk BT" w:cs="Arial"/>
          <w:color w:val="000000" w:themeColor="text1"/>
          <w:sz w:val="24"/>
          <w:szCs w:val="24"/>
        </w:rPr>
      </w:pPr>
      <w:r>
        <w:rPr>
          <w:rFonts w:ascii="AvantGarde Bk BT" w:hAnsi="AvantGarde Bk BT" w:cs="Arial"/>
          <w:sz w:val="24"/>
          <w:szCs w:val="24"/>
        </w:rPr>
        <w:t xml:space="preserve">No obstante lo anterior, resulta oportuno hacer la precisión al sujeto obligado de que </w:t>
      </w:r>
      <w:r w:rsidRPr="00CB2002">
        <w:rPr>
          <w:rFonts w:ascii="AvantGarde Bk BT" w:hAnsi="AvantGarde Bk BT" w:cs="Arial"/>
          <w:color w:val="000000" w:themeColor="text1"/>
          <w:sz w:val="24"/>
          <w:szCs w:val="24"/>
        </w:rPr>
        <w:t>la información deberá de entregarse en la modalidad elegida por el peticionario y solo en caso de que el sujeto obligado no pueda entregar la información en la modalidad requerida, podrá ofrecer una modalidad distinta, siempre y cuando funde y motive el cambio.</w:t>
      </w:r>
      <w:r w:rsidRPr="00CB2002">
        <w:rPr>
          <w:rFonts w:ascii="AvantGarde Bk BT" w:hAnsi="AvantGarde Bk BT" w:cs="Arial"/>
          <w:color w:val="000000" w:themeColor="text1"/>
          <w:sz w:val="24"/>
          <w:szCs w:val="24"/>
          <w:vertAlign w:val="superscript"/>
        </w:rPr>
        <w:footnoteReference w:id="6"/>
      </w:r>
    </w:p>
    <w:p w14:paraId="1391E1A0" w14:textId="26A4028C" w:rsidR="00CA0F8B" w:rsidRDefault="000C2D1B" w:rsidP="002F24D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De lo anterior se desprende que para efecto de que el sujeto obligado pueda realizar el cambio de modalidad en la entrega de la información requiere que:</w:t>
      </w:r>
    </w:p>
    <w:p w14:paraId="5532E2DA" w14:textId="77D39233" w:rsidR="0096239A" w:rsidRPr="0096239A" w:rsidRDefault="000C2D1B" w:rsidP="0096239A">
      <w:pPr>
        <w:pStyle w:val="corte4fondo"/>
        <w:numPr>
          <w:ilvl w:val="0"/>
          <w:numId w:val="5"/>
        </w:numPr>
        <w:tabs>
          <w:tab w:val="left" w:pos="567"/>
        </w:tabs>
        <w:spacing w:after="240"/>
        <w:rPr>
          <w:rFonts w:ascii="AvantGarde Bk BT" w:hAnsi="AvantGarde Bk BT" w:cs="Arial"/>
          <w:sz w:val="24"/>
          <w:szCs w:val="24"/>
        </w:rPr>
      </w:pPr>
      <w:r>
        <w:rPr>
          <w:rFonts w:ascii="AvantGarde Bk BT" w:hAnsi="AvantGarde Bk BT" w:cs="Arial"/>
          <w:sz w:val="24"/>
          <w:szCs w:val="24"/>
        </w:rPr>
        <w:t>Determinación fundada y motivad</w:t>
      </w:r>
      <w:r w:rsidR="0096239A">
        <w:rPr>
          <w:rFonts w:ascii="AvantGarde Bk BT" w:hAnsi="AvantGarde Bk BT" w:cs="Arial"/>
          <w:sz w:val="24"/>
          <w:szCs w:val="24"/>
        </w:rPr>
        <w:t xml:space="preserve">a por parte del sujeto obligado, </w:t>
      </w:r>
      <w:r w:rsidR="0096239A" w:rsidRPr="0096239A">
        <w:rPr>
          <w:rFonts w:ascii="AvantGarde Bk BT" w:hAnsi="AvantGarde Bk BT" w:cs="Arial"/>
          <w:sz w:val="24"/>
          <w:szCs w:val="24"/>
        </w:rPr>
        <w:t>en la inteligencia de que la fundamentación es el conjunto de preceptos legales, ya sean de carácter sustantivo –parte legislativa que confiere derechos o impone obligaciones- o adjetivo –cuerpo legislativo que regula el procedimiento- y, la motivación es el conjunto de razonamientos lógico-jurídicos que justifiquen el porqué de su actuar de cada caso concreto; sirve de apoyo la siguiente tesis emitida por los tribunales de la federación:</w:t>
      </w:r>
    </w:p>
    <w:p w14:paraId="1C359F30" w14:textId="77777777" w:rsidR="0096239A" w:rsidRPr="002A3C06" w:rsidRDefault="0096239A" w:rsidP="0096239A">
      <w:pPr>
        <w:pStyle w:val="corte4fondo"/>
        <w:tabs>
          <w:tab w:val="left" w:pos="567"/>
        </w:tabs>
        <w:spacing w:after="240"/>
        <w:ind w:left="1429"/>
        <w:rPr>
          <w:rFonts w:ascii="AvantGarde Bk BT" w:hAnsi="AvantGarde Bk BT" w:cs="Arial"/>
          <w:sz w:val="22"/>
          <w:szCs w:val="24"/>
        </w:rPr>
      </w:pPr>
      <w:r w:rsidRPr="0096239A">
        <w:rPr>
          <w:rFonts w:ascii="AvantGarde Bk BT" w:hAnsi="AvantGarde Bk BT" w:cs="Arial"/>
          <w:sz w:val="24"/>
          <w:szCs w:val="24"/>
        </w:rPr>
        <w:t>“</w:t>
      </w:r>
      <w:r w:rsidRPr="002A3C06">
        <w:rPr>
          <w:rFonts w:ascii="AvantGarde Bk BT" w:hAnsi="AvantGarde Bk BT" w:cs="Arial"/>
          <w:b/>
          <w:sz w:val="22"/>
          <w:szCs w:val="24"/>
        </w:rPr>
        <w:t>209986. I. 4o. P. 56 P. Tribunales Colegiados de Circuito. Octava Época. Semanario Judicial de la Federación. Tomo XIV, Noviembre de 1994, Pág. 450.</w:t>
      </w:r>
    </w:p>
    <w:p w14:paraId="41391D7F" w14:textId="5028ADAF" w:rsidR="0096239A" w:rsidRDefault="0096239A" w:rsidP="002A3C06">
      <w:pPr>
        <w:pStyle w:val="corte4fondo"/>
        <w:tabs>
          <w:tab w:val="left" w:pos="567"/>
        </w:tabs>
        <w:ind w:left="1429" w:firstLine="0"/>
        <w:rPr>
          <w:rFonts w:ascii="AvantGarde Bk BT" w:hAnsi="AvantGarde Bk BT" w:cs="Arial"/>
          <w:sz w:val="24"/>
          <w:szCs w:val="24"/>
        </w:rPr>
      </w:pPr>
      <w:r w:rsidRPr="002A3C06">
        <w:rPr>
          <w:rFonts w:ascii="AvantGarde Bk BT" w:hAnsi="AvantGarde Bk BT" w:cs="Arial"/>
          <w:b/>
          <w:sz w:val="22"/>
          <w:szCs w:val="24"/>
        </w:rPr>
        <w:t>Fundamentación y motivación, concepto de.-</w:t>
      </w:r>
      <w:r w:rsidRPr="002A3C06">
        <w:rPr>
          <w:rFonts w:ascii="AvantGarde Bk BT" w:hAnsi="AvantGarde Bk BT" w:cs="Arial"/>
          <w:sz w:val="22"/>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w:t>
      </w:r>
      <w:r w:rsidRPr="002A3C06">
        <w:rPr>
          <w:rFonts w:ascii="AvantGarde Bk BT" w:hAnsi="AvantGarde Bk BT" w:cs="Arial"/>
          <w:sz w:val="22"/>
          <w:szCs w:val="24"/>
        </w:rPr>
        <w:lastRenderedPageBreak/>
        <w:t>determinación adoptada; y por lo segundo, que exprese una serie de razonamientos lógico-jurídicos sobre el por qué consideró que el caso concreto se ajusta a la hipótesis normativa</w:t>
      </w:r>
      <w:r w:rsidRPr="0096239A">
        <w:rPr>
          <w:rFonts w:ascii="AvantGarde Bk BT" w:hAnsi="AvantGarde Bk BT" w:cs="Arial"/>
          <w:sz w:val="24"/>
          <w:szCs w:val="24"/>
        </w:rPr>
        <w:t>.”</w:t>
      </w:r>
    </w:p>
    <w:p w14:paraId="2773AAC8" w14:textId="21C44E46" w:rsidR="000C2D1B" w:rsidRPr="0096239A" w:rsidRDefault="000C2D1B" w:rsidP="0096239A">
      <w:pPr>
        <w:pStyle w:val="corte4fondo"/>
        <w:numPr>
          <w:ilvl w:val="0"/>
          <w:numId w:val="5"/>
        </w:numPr>
        <w:tabs>
          <w:tab w:val="left" w:pos="567"/>
        </w:tabs>
        <w:spacing w:after="240"/>
        <w:rPr>
          <w:rFonts w:ascii="AvantGarde Bk BT" w:hAnsi="AvantGarde Bk BT" w:cs="Arial"/>
          <w:sz w:val="24"/>
          <w:szCs w:val="24"/>
        </w:rPr>
      </w:pPr>
      <w:r>
        <w:rPr>
          <w:rFonts w:ascii="AvantGarde Bk BT" w:hAnsi="AvantGarde Bk BT" w:cs="Arial"/>
          <w:sz w:val="24"/>
          <w:szCs w:val="24"/>
        </w:rPr>
        <w:t>Que la información solicitada implique estudio, análisis, estudio o procesamiento que cuya entrega sobrepase las capacidades técnicas y humanas del sujeto obligado.</w:t>
      </w:r>
    </w:p>
    <w:p w14:paraId="5C666CF8" w14:textId="13F26F7A" w:rsidR="002F24D0" w:rsidRDefault="000C2D1B" w:rsidP="002A3C06">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de lo anterior se colige que en el caso concreto el sujeto obl</w:t>
      </w:r>
      <w:r w:rsidR="0096239A">
        <w:rPr>
          <w:rFonts w:ascii="AvantGarde Bk BT" w:hAnsi="AvantGarde Bk BT" w:cs="Arial"/>
          <w:sz w:val="24"/>
          <w:szCs w:val="24"/>
        </w:rPr>
        <w:t xml:space="preserve">igado no solo </w:t>
      </w:r>
      <w:r w:rsidR="0096239A">
        <w:rPr>
          <w:rFonts w:ascii="AvantGarde Bk BT" w:hAnsi="AvantGarde Bk BT" w:cs="Arial"/>
          <w:sz w:val="24"/>
          <w:szCs w:val="24"/>
        </w:rPr>
        <w:t>debió</w:t>
      </w:r>
      <w:r w:rsidR="0096239A">
        <w:rPr>
          <w:rFonts w:ascii="AvantGarde Bk BT" w:hAnsi="AvantGarde Bk BT" w:cs="Arial"/>
          <w:sz w:val="24"/>
          <w:szCs w:val="24"/>
        </w:rPr>
        <w:t xml:space="preserve"> señalar los preceptos legales en los que funda su determinación, sino que también debió expresar las causas que original el cambi</w:t>
      </w:r>
      <w:r w:rsidR="002A3C06">
        <w:rPr>
          <w:rFonts w:ascii="AvantGarde Bk BT" w:hAnsi="AvantGarde Bk BT" w:cs="Arial"/>
          <w:sz w:val="24"/>
          <w:szCs w:val="24"/>
        </w:rPr>
        <w:t>o de modalidad,</w:t>
      </w:r>
      <w:r w:rsidR="0096239A">
        <w:rPr>
          <w:rFonts w:ascii="AvantGarde Bk BT" w:hAnsi="AvantGarde Bk BT" w:cs="Arial"/>
          <w:sz w:val="24"/>
          <w:szCs w:val="24"/>
        </w:rPr>
        <w:t xml:space="preserve"> es decir, si el sujeto obligado considera que el número de documentos excede sus capacidades técnicas y humanas; este debió señalar el número de documentos en los que consta la información, si la información solicitada únicamente se encuentra en físico, el número de equipos electrónicos con los que cuenta para su digitalización, la capacidad de los equipos electrónicos para su digitalización y el número</w:t>
      </w:r>
      <w:r w:rsidR="002A3C06">
        <w:rPr>
          <w:rFonts w:ascii="AvantGarde Bk BT" w:hAnsi="AvantGarde Bk BT" w:cs="Arial"/>
          <w:sz w:val="24"/>
          <w:szCs w:val="24"/>
        </w:rPr>
        <w:t xml:space="preserve"> de personal con el que se cuenta.</w:t>
      </w:r>
    </w:p>
    <w:p w14:paraId="452080D5" w14:textId="77777777" w:rsidR="00002DE6" w:rsidRPr="00873D15" w:rsidRDefault="00002DE6" w:rsidP="00002DE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AFB509C" w14:textId="77777777" w:rsidR="00002DE6" w:rsidRDefault="00002DE6" w:rsidP="00002DE6">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6650335B" w14:textId="4981F761" w:rsidR="00002DE6" w:rsidRDefault="002A3C06" w:rsidP="002A3C06">
      <w:pPr>
        <w:pStyle w:val="corte4fondo"/>
        <w:numPr>
          <w:ilvl w:val="3"/>
          <w:numId w:val="4"/>
        </w:numPr>
        <w:tabs>
          <w:tab w:val="left" w:pos="567"/>
        </w:tabs>
        <w:spacing w:after="240"/>
        <w:ind w:left="851" w:hanging="142"/>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Entregue al particular en versión pública las </w:t>
      </w:r>
      <w:r w:rsidRPr="002A3C06">
        <w:rPr>
          <w:rFonts w:ascii="AvantGarde Bk BT" w:hAnsi="AvantGarde Bk BT" w:cs="Arial"/>
          <w:color w:val="000000" w:themeColor="text1"/>
          <w:sz w:val="24"/>
          <w:szCs w:val="24"/>
        </w:rPr>
        <w:t xml:space="preserve">facturas </w:t>
      </w:r>
      <w:r>
        <w:rPr>
          <w:rFonts w:ascii="AvantGarde Bk BT" w:hAnsi="AvantGarde Bk BT" w:cs="Arial"/>
          <w:color w:val="000000" w:themeColor="text1"/>
          <w:sz w:val="24"/>
          <w:szCs w:val="24"/>
        </w:rPr>
        <w:t xml:space="preserve">que </w:t>
      </w:r>
      <w:r w:rsidRPr="002A3C06">
        <w:rPr>
          <w:rFonts w:ascii="AvantGarde Bk BT" w:hAnsi="AvantGarde Bk BT" w:cs="Arial"/>
          <w:color w:val="000000" w:themeColor="text1"/>
          <w:sz w:val="24"/>
          <w:szCs w:val="24"/>
        </w:rPr>
        <w:t>ha emitido el</w:t>
      </w:r>
      <w:r>
        <w:rPr>
          <w:rFonts w:ascii="AvantGarde Bk BT" w:hAnsi="AvantGarde Bk BT" w:cs="Arial"/>
          <w:color w:val="000000" w:themeColor="text1"/>
          <w:sz w:val="24"/>
          <w:szCs w:val="24"/>
        </w:rPr>
        <w:t xml:space="preserve"> A</w:t>
      </w:r>
      <w:r w:rsidRPr="002A3C06">
        <w:rPr>
          <w:rFonts w:ascii="AvantGarde Bk BT" w:hAnsi="AvantGarde Bk BT" w:cs="Arial"/>
          <w:color w:val="000000" w:themeColor="text1"/>
          <w:sz w:val="24"/>
          <w:szCs w:val="24"/>
        </w:rPr>
        <w:t xml:space="preserve">yuntamiento del 1 </w:t>
      </w:r>
      <w:r>
        <w:rPr>
          <w:rFonts w:ascii="AvantGarde Bk BT" w:hAnsi="AvantGarde Bk BT" w:cs="Arial"/>
          <w:color w:val="000000" w:themeColor="text1"/>
          <w:sz w:val="24"/>
          <w:szCs w:val="24"/>
        </w:rPr>
        <w:t xml:space="preserve">uno </w:t>
      </w:r>
      <w:r w:rsidRPr="002A3C06">
        <w:rPr>
          <w:rFonts w:ascii="AvantGarde Bk BT" w:hAnsi="AvantGarde Bk BT" w:cs="Arial"/>
          <w:color w:val="000000" w:themeColor="text1"/>
          <w:sz w:val="24"/>
          <w:szCs w:val="24"/>
        </w:rPr>
        <w:t xml:space="preserve">de enero al 31 </w:t>
      </w:r>
      <w:r>
        <w:rPr>
          <w:rFonts w:ascii="AvantGarde Bk BT" w:hAnsi="AvantGarde Bk BT" w:cs="Arial"/>
          <w:color w:val="000000" w:themeColor="text1"/>
          <w:sz w:val="24"/>
          <w:szCs w:val="24"/>
        </w:rPr>
        <w:t xml:space="preserve">treinta y uno </w:t>
      </w:r>
      <w:r w:rsidRPr="002A3C06">
        <w:rPr>
          <w:rFonts w:ascii="AvantGarde Bk BT" w:hAnsi="AvantGarde Bk BT" w:cs="Arial"/>
          <w:color w:val="000000" w:themeColor="text1"/>
          <w:sz w:val="24"/>
          <w:szCs w:val="24"/>
        </w:rPr>
        <w:t xml:space="preserve">de diciembre </w:t>
      </w:r>
      <w:r w:rsidR="00261984">
        <w:rPr>
          <w:rFonts w:ascii="AvantGarde Bk BT" w:hAnsi="AvantGarde Bk BT" w:cs="Arial"/>
          <w:color w:val="000000" w:themeColor="text1"/>
          <w:sz w:val="24"/>
          <w:szCs w:val="24"/>
        </w:rPr>
        <w:t>del 2015</w:t>
      </w:r>
      <w:r>
        <w:rPr>
          <w:rFonts w:ascii="AvantGarde Bk BT" w:hAnsi="AvantGarde Bk BT" w:cs="Arial"/>
          <w:color w:val="000000" w:themeColor="text1"/>
          <w:sz w:val="24"/>
          <w:szCs w:val="24"/>
        </w:rPr>
        <w:t xml:space="preserve"> dos m</w:t>
      </w:r>
      <w:r w:rsidR="00261984">
        <w:rPr>
          <w:rFonts w:ascii="AvantGarde Bk BT" w:hAnsi="AvantGarde Bk BT" w:cs="Arial"/>
          <w:color w:val="000000" w:themeColor="text1"/>
          <w:sz w:val="24"/>
          <w:szCs w:val="24"/>
        </w:rPr>
        <w:t>il quince</w:t>
      </w:r>
      <w:r w:rsidR="00002DE6">
        <w:rPr>
          <w:rFonts w:ascii="AvantGarde Bk BT" w:hAnsi="AvantGarde Bk BT" w:cs="Arial"/>
          <w:color w:val="000000" w:themeColor="text1"/>
          <w:sz w:val="24"/>
          <w:szCs w:val="24"/>
        </w:rPr>
        <w:t>.</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w:t>
      </w:r>
      <w:r w:rsidRPr="00D67102">
        <w:rPr>
          <w:rFonts w:ascii="AvantGarde Bk BT" w:hAnsi="AvantGarde Bk BT" w:cs="Arial"/>
          <w:color w:val="000000" w:themeColor="text1"/>
          <w:sz w:val="24"/>
          <w:szCs w:val="24"/>
        </w:rPr>
        <w:lastRenderedPageBreak/>
        <w:t>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1157B85F"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2A3C0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002DE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4C478677"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Mariajosé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7DF17530"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Pr>
          <w:rFonts w:ascii="AvantGarde Bk BT" w:hAnsi="AvantGarde Bk BT" w:cs="Arial"/>
          <w:sz w:val="14"/>
          <w:szCs w:val="24"/>
        </w:rPr>
        <w:t>s del recurso de revisión RR-186</w:t>
      </w:r>
      <w:r w:rsidR="002A3C06">
        <w:rPr>
          <w:rFonts w:ascii="AvantGarde Bk BT" w:hAnsi="AvantGarde Bk BT" w:cs="Arial"/>
          <w:sz w:val="14"/>
          <w:szCs w:val="24"/>
        </w:rPr>
        <w:t>3</w:t>
      </w:r>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bookmarkStart w:id="0" w:name="_GoBack"/>
      <w:bookmarkEnd w:id="0"/>
    </w:p>
    <w:sectPr w:rsidR="00946007" w:rsidRPr="00773492"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56D63C" w14:textId="77777777" w:rsidR="00D1464E" w:rsidRDefault="00D1464E">
      <w:pPr>
        <w:spacing w:after="0" w:line="240" w:lineRule="auto"/>
      </w:pPr>
      <w:r>
        <w:separator/>
      </w:r>
    </w:p>
  </w:endnote>
  <w:endnote w:type="continuationSeparator" w:id="0">
    <w:p w14:paraId="40441337" w14:textId="77777777" w:rsidR="00D1464E" w:rsidRDefault="00D14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4184AD" w14:textId="77777777" w:rsidR="00D1464E" w:rsidRDefault="00D1464E">
      <w:pPr>
        <w:spacing w:after="0" w:line="240" w:lineRule="auto"/>
      </w:pPr>
      <w:r>
        <w:separator/>
      </w:r>
    </w:p>
  </w:footnote>
  <w:footnote w:type="continuationSeparator" w:id="0">
    <w:p w14:paraId="39F04A56" w14:textId="77777777" w:rsidR="00D1464E" w:rsidRDefault="00D1464E">
      <w:pPr>
        <w:spacing w:after="0" w:line="240" w:lineRule="auto"/>
      </w:pPr>
      <w:r>
        <w:continuationSeparator/>
      </w:r>
    </w:p>
  </w:footnote>
  <w:footnote w:id="1">
    <w:p w14:paraId="0D7A2AD2"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27.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 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 La sustitución de los comisionados se realizará de manera escalonada para garantizar el principio de autonomía, de acuerdo a lo mandatado por el artículo 38 de la Ley General.</w:t>
      </w:r>
    </w:p>
  </w:footnote>
  <w:footnote w:id="2">
    <w:p w14:paraId="22C975A3"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14. La CEGAIP, en el ámbito de sus atribuciones, deberá suplir cualquier deficiencia para garantizar el ejercicio del derecho de acceso a la información.</w:t>
      </w:r>
    </w:p>
  </w:footnote>
  <w:footnote w:id="3">
    <w:p w14:paraId="25B2AAAA" w14:textId="77777777" w:rsidR="002F24D0" w:rsidRPr="00261984" w:rsidRDefault="002F24D0" w:rsidP="002F24D0">
      <w:pPr>
        <w:pStyle w:val="Textonotapie"/>
        <w:jc w:val="both"/>
        <w:rPr>
          <w:sz w:val="16"/>
          <w:szCs w:val="18"/>
          <w:lang w:val="es-ES_tradnl"/>
        </w:rPr>
      </w:pPr>
      <w:r w:rsidRPr="00261984">
        <w:rPr>
          <w:rStyle w:val="Refdenotaalpie"/>
          <w:sz w:val="16"/>
          <w:szCs w:val="18"/>
        </w:rPr>
        <w:footnoteRef/>
      </w:r>
      <w:r w:rsidRPr="00261984">
        <w:rPr>
          <w:sz w:val="16"/>
          <w:szCs w:val="18"/>
        </w:rPr>
        <w:t xml:space="preserve"> </w:t>
      </w:r>
      <w:r w:rsidRPr="00261984">
        <w:rPr>
          <w:bCs/>
          <w:sz w:val="16"/>
          <w:szCs w:val="18"/>
          <w:lang w:val="es-ES_tradnl"/>
        </w:rPr>
        <w:t xml:space="preserve">ARTÍCULO 61. </w:t>
      </w:r>
      <w:r w:rsidRPr="00261984">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61984" w:rsidRDefault="002F24D0" w:rsidP="002F24D0">
      <w:pPr>
        <w:pStyle w:val="Textonotapie"/>
        <w:jc w:val="both"/>
        <w:rPr>
          <w:sz w:val="16"/>
          <w:szCs w:val="18"/>
          <w:lang w:val="es-ES_tradnl"/>
        </w:rPr>
      </w:pPr>
      <w:r w:rsidRPr="00261984">
        <w:rPr>
          <w:sz w:val="16"/>
          <w:szCs w:val="18"/>
          <w:lang w:val="es-ES_tradnl"/>
        </w:rPr>
        <w:t xml:space="preserve">La obligación de los sujetos obligados de proporcionar información no comprende el procesamiento de la misma, ni el presentarla conforme al interés del solicitante. </w:t>
      </w:r>
    </w:p>
  </w:footnote>
  <w:footnote w:id="4">
    <w:p w14:paraId="7DF4EE38"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18. Los sujetos obligados deberán documentar todo acto que derive del ejercicio de sus facultades, competencias o funciones.</w:t>
      </w:r>
    </w:p>
    <w:p w14:paraId="3863CAD0" w14:textId="77777777" w:rsidR="002F24D0" w:rsidRPr="00261984" w:rsidRDefault="002F24D0" w:rsidP="002F24D0">
      <w:pPr>
        <w:pStyle w:val="Textonotapie"/>
        <w:jc w:val="both"/>
        <w:rPr>
          <w:sz w:val="16"/>
          <w:szCs w:val="18"/>
        </w:rPr>
      </w:pPr>
      <w:r w:rsidRPr="00261984">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61984" w:rsidRDefault="002F24D0" w:rsidP="002F24D0">
      <w:pPr>
        <w:pStyle w:val="Textonotapie"/>
        <w:jc w:val="both"/>
        <w:rPr>
          <w:sz w:val="16"/>
          <w:szCs w:val="18"/>
        </w:rPr>
      </w:pPr>
      <w:r w:rsidRPr="00261984">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61984" w:rsidRDefault="002F24D0" w:rsidP="002F24D0">
      <w:pPr>
        <w:pStyle w:val="Textonotapie"/>
        <w:jc w:val="both"/>
        <w:rPr>
          <w:sz w:val="16"/>
          <w:szCs w:val="18"/>
        </w:rPr>
      </w:pPr>
      <w:r w:rsidRPr="00261984">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61984" w:rsidRDefault="002F24D0" w:rsidP="002F24D0">
      <w:pPr>
        <w:pStyle w:val="Textonotapie"/>
        <w:jc w:val="both"/>
        <w:rPr>
          <w:sz w:val="16"/>
          <w:szCs w:val="18"/>
        </w:rPr>
      </w:pPr>
      <w:r w:rsidRPr="00261984">
        <w:rPr>
          <w:sz w:val="16"/>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61984" w:rsidRDefault="002F24D0" w:rsidP="002F24D0">
      <w:pPr>
        <w:pStyle w:val="Textonotapie"/>
        <w:jc w:val="both"/>
        <w:rPr>
          <w:sz w:val="16"/>
          <w:szCs w:val="18"/>
        </w:rPr>
      </w:pPr>
      <w:r w:rsidRPr="00261984">
        <w:rPr>
          <w:sz w:val="16"/>
          <w:szCs w:val="18"/>
        </w:rPr>
        <w:t>La obligación de los sujetos obligados de proporcionar información no comprende el procesamiento de la misma, ni el presentarla conforme al interés del solicitante.</w:t>
      </w:r>
    </w:p>
    <w:p w14:paraId="20320DA2" w14:textId="77777777" w:rsidR="002F24D0" w:rsidRPr="00261984" w:rsidRDefault="002F24D0" w:rsidP="002F24D0">
      <w:pPr>
        <w:pStyle w:val="Textonotapie"/>
        <w:jc w:val="both"/>
        <w:rPr>
          <w:sz w:val="16"/>
          <w:szCs w:val="18"/>
        </w:rPr>
      </w:pPr>
      <w:r w:rsidRPr="00261984">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34CC0967" w14:textId="77777777" w:rsidR="00CA0F8B" w:rsidRPr="00261984" w:rsidRDefault="00CA0F8B" w:rsidP="00CA0F8B">
      <w:pPr>
        <w:pStyle w:val="Textonotapie"/>
        <w:jc w:val="both"/>
        <w:rPr>
          <w:sz w:val="16"/>
          <w:szCs w:val="18"/>
        </w:rPr>
      </w:pPr>
      <w:r w:rsidRPr="00261984">
        <w:rPr>
          <w:rStyle w:val="Refdenotaalpie"/>
          <w:sz w:val="16"/>
          <w:szCs w:val="18"/>
        </w:rPr>
        <w:footnoteRef/>
      </w:r>
      <w:r w:rsidRPr="00261984">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61984" w:rsidRDefault="00CA0F8B" w:rsidP="00CA0F8B">
      <w:pPr>
        <w:pStyle w:val="Textonotapie"/>
        <w:jc w:val="both"/>
        <w:rPr>
          <w:sz w:val="16"/>
          <w:szCs w:val="18"/>
        </w:rPr>
      </w:pPr>
      <w:r w:rsidRPr="00261984">
        <w:rPr>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6">
    <w:p w14:paraId="5C625169" w14:textId="77777777" w:rsidR="00CA0F8B" w:rsidRPr="00261984" w:rsidRDefault="00CA0F8B" w:rsidP="00CA0F8B">
      <w:pPr>
        <w:pStyle w:val="Textonotapie"/>
        <w:jc w:val="both"/>
        <w:rPr>
          <w:sz w:val="16"/>
          <w:szCs w:val="18"/>
        </w:rPr>
      </w:pPr>
      <w:r w:rsidRPr="00261984">
        <w:rPr>
          <w:rStyle w:val="Refdenotaalpie"/>
          <w:sz w:val="16"/>
          <w:szCs w:val="18"/>
        </w:rPr>
        <w:footnoteRef/>
      </w:r>
      <w:r w:rsidRPr="00261984">
        <w:rPr>
          <w:sz w:val="16"/>
          <w:szCs w:val="18"/>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42DA1E08" w14:textId="77777777" w:rsidR="00CA0F8B" w:rsidRPr="00C7382C" w:rsidRDefault="00CA0F8B" w:rsidP="00CA0F8B">
      <w:pPr>
        <w:pStyle w:val="Textonotapie"/>
        <w:jc w:val="both"/>
        <w:rPr>
          <w:sz w:val="16"/>
          <w:szCs w:val="18"/>
        </w:rPr>
      </w:pPr>
      <w:r w:rsidRPr="00261984">
        <w:rPr>
          <w:sz w:val="16"/>
          <w:szCs w:val="18"/>
        </w:rPr>
        <w:t>En cualquier caso, se deberá fundar y motivar la necesidad de ofrecer otras modalidades.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3D2B6BD" w:rsidR="00A66405" w:rsidRDefault="00946007" w:rsidP="007E5F3A">
        <w:pPr>
          <w:pStyle w:val="Encabezado"/>
          <w:jc w:val="center"/>
        </w:pPr>
        <w:r>
          <w:fldChar w:fldCharType="begin"/>
        </w:r>
        <w:r>
          <w:instrText>PAGE   \* MERGEFORMAT</w:instrText>
        </w:r>
        <w:r>
          <w:fldChar w:fldCharType="separate"/>
        </w:r>
        <w:r w:rsidR="00773492" w:rsidRPr="00773492">
          <w:rPr>
            <w:noProof/>
            <w:lang w:val="es-ES"/>
          </w:rPr>
          <w:t>12</w:t>
        </w:r>
        <w:r>
          <w:fldChar w:fldCharType="end"/>
        </w:r>
        <w:r>
          <w:t xml:space="preserve">                                  </w:t>
        </w:r>
      </w:p>
      <w:p w14:paraId="748FB0B7" w14:textId="26BBCD6B" w:rsidR="00A66405" w:rsidRDefault="00946007" w:rsidP="007F1CA7">
        <w:pPr>
          <w:pStyle w:val="Encabezado"/>
          <w:jc w:val="right"/>
        </w:pPr>
        <w:r>
          <w:t xml:space="preserve">RECURSO DE REVISIÓN </w:t>
        </w:r>
        <w:r w:rsidR="00645312">
          <w:t>186</w:t>
        </w:r>
        <w:r w:rsidR="005B3642">
          <w:t>6</w:t>
        </w:r>
        <w:r>
          <w:t xml:space="preserve">/2019-1 </w:t>
        </w:r>
        <w:r w:rsidR="00645312">
          <w:t>SICOM</w:t>
        </w:r>
      </w:p>
    </w:sdtContent>
  </w:sdt>
  <w:p w14:paraId="477B550A" w14:textId="77777777" w:rsidR="00A66405" w:rsidRDefault="00D1464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A1E7B"/>
    <w:rsid w:val="000C2D1B"/>
    <w:rsid w:val="000D3510"/>
    <w:rsid w:val="000D64A6"/>
    <w:rsid w:val="00105D91"/>
    <w:rsid w:val="00133088"/>
    <w:rsid w:val="001555B9"/>
    <w:rsid w:val="00174E4F"/>
    <w:rsid w:val="00193E6A"/>
    <w:rsid w:val="001D2649"/>
    <w:rsid w:val="00213884"/>
    <w:rsid w:val="00220A33"/>
    <w:rsid w:val="00225214"/>
    <w:rsid w:val="00261984"/>
    <w:rsid w:val="00264834"/>
    <w:rsid w:val="0027039E"/>
    <w:rsid w:val="00285161"/>
    <w:rsid w:val="002A3C06"/>
    <w:rsid w:val="002C6A82"/>
    <w:rsid w:val="002E5565"/>
    <w:rsid w:val="002E6C7E"/>
    <w:rsid w:val="002F24D0"/>
    <w:rsid w:val="00304A77"/>
    <w:rsid w:val="0031791F"/>
    <w:rsid w:val="003273CB"/>
    <w:rsid w:val="003351A0"/>
    <w:rsid w:val="0037595A"/>
    <w:rsid w:val="00395037"/>
    <w:rsid w:val="003A10C4"/>
    <w:rsid w:val="004175C1"/>
    <w:rsid w:val="004644DA"/>
    <w:rsid w:val="00474953"/>
    <w:rsid w:val="00496C19"/>
    <w:rsid w:val="004A2293"/>
    <w:rsid w:val="004B16DE"/>
    <w:rsid w:val="004B3960"/>
    <w:rsid w:val="004E11BB"/>
    <w:rsid w:val="004F2B07"/>
    <w:rsid w:val="00511272"/>
    <w:rsid w:val="00524500"/>
    <w:rsid w:val="00524E08"/>
    <w:rsid w:val="005B11BB"/>
    <w:rsid w:val="005B3642"/>
    <w:rsid w:val="005F108B"/>
    <w:rsid w:val="005F1966"/>
    <w:rsid w:val="005F1B0A"/>
    <w:rsid w:val="00645312"/>
    <w:rsid w:val="006601D9"/>
    <w:rsid w:val="00665524"/>
    <w:rsid w:val="00676793"/>
    <w:rsid w:val="006A0CC0"/>
    <w:rsid w:val="006A0D11"/>
    <w:rsid w:val="006B71F8"/>
    <w:rsid w:val="006B727F"/>
    <w:rsid w:val="006E1D2F"/>
    <w:rsid w:val="00704551"/>
    <w:rsid w:val="00713979"/>
    <w:rsid w:val="00717913"/>
    <w:rsid w:val="00742AFD"/>
    <w:rsid w:val="00751174"/>
    <w:rsid w:val="00753EDD"/>
    <w:rsid w:val="00757C55"/>
    <w:rsid w:val="007639B2"/>
    <w:rsid w:val="00773492"/>
    <w:rsid w:val="007D2F86"/>
    <w:rsid w:val="007D7B73"/>
    <w:rsid w:val="007F3502"/>
    <w:rsid w:val="00813197"/>
    <w:rsid w:val="00833E1A"/>
    <w:rsid w:val="00843990"/>
    <w:rsid w:val="00864989"/>
    <w:rsid w:val="00865A36"/>
    <w:rsid w:val="008840C7"/>
    <w:rsid w:val="008A6D72"/>
    <w:rsid w:val="008B0264"/>
    <w:rsid w:val="008B5533"/>
    <w:rsid w:val="008B5E35"/>
    <w:rsid w:val="008D713E"/>
    <w:rsid w:val="008E136F"/>
    <w:rsid w:val="00907325"/>
    <w:rsid w:val="00907C57"/>
    <w:rsid w:val="00927822"/>
    <w:rsid w:val="00931F30"/>
    <w:rsid w:val="00946007"/>
    <w:rsid w:val="0096239A"/>
    <w:rsid w:val="00A10223"/>
    <w:rsid w:val="00A21089"/>
    <w:rsid w:val="00A74762"/>
    <w:rsid w:val="00AB71F5"/>
    <w:rsid w:val="00AE106F"/>
    <w:rsid w:val="00AE2C79"/>
    <w:rsid w:val="00B0064B"/>
    <w:rsid w:val="00B135C5"/>
    <w:rsid w:val="00B4380D"/>
    <w:rsid w:val="00B520C8"/>
    <w:rsid w:val="00BA588A"/>
    <w:rsid w:val="00BC1F31"/>
    <w:rsid w:val="00BE1B1C"/>
    <w:rsid w:val="00C02E84"/>
    <w:rsid w:val="00C44B12"/>
    <w:rsid w:val="00CA0F8B"/>
    <w:rsid w:val="00CC38D7"/>
    <w:rsid w:val="00CC3C52"/>
    <w:rsid w:val="00CC4E82"/>
    <w:rsid w:val="00CF05A2"/>
    <w:rsid w:val="00D1464E"/>
    <w:rsid w:val="00D3050A"/>
    <w:rsid w:val="00D4006E"/>
    <w:rsid w:val="00D6663E"/>
    <w:rsid w:val="00D733B9"/>
    <w:rsid w:val="00D955D7"/>
    <w:rsid w:val="00DD1478"/>
    <w:rsid w:val="00E0750B"/>
    <w:rsid w:val="00E07A59"/>
    <w:rsid w:val="00E15ED7"/>
    <w:rsid w:val="00E22DCB"/>
    <w:rsid w:val="00E74CD1"/>
    <w:rsid w:val="00E81C3D"/>
    <w:rsid w:val="00E904B9"/>
    <w:rsid w:val="00ED558F"/>
    <w:rsid w:val="00EE75F1"/>
    <w:rsid w:val="00F06EEF"/>
    <w:rsid w:val="00F14472"/>
    <w:rsid w:val="00F21084"/>
    <w:rsid w:val="00F42A2D"/>
    <w:rsid w:val="00F708EE"/>
    <w:rsid w:val="00F86C61"/>
    <w:rsid w:val="00FB0B93"/>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605BD-39F7-4AF3-AAC3-22BBF8946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3166</Words>
  <Characters>17417</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4</cp:revision>
  <cp:lastPrinted>2020-02-17T19:35:00Z</cp:lastPrinted>
  <dcterms:created xsi:type="dcterms:W3CDTF">2020-02-17T19:16:00Z</dcterms:created>
  <dcterms:modified xsi:type="dcterms:W3CDTF">2020-02-17T19:37:00Z</dcterms:modified>
</cp:coreProperties>
</file>