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4980" w:rsidRDefault="00AB3EB4">
      <w:r>
        <w:t>SEGÚN LOS ESTATUTOS DE NUEVA ALIANZA SAN LUIS POTOSÍ EN EL ARTÍCULO 100, SOLO PARTICIPARA EN LOS PROCESOS ORDINARIOS Y EXTRAORDINARIOS EN FORMAS Y PLAZOS ESTABLECIDOS EN LA LEGISLACION APLICABLE.</w:t>
      </w:r>
      <w:bookmarkStart w:id="0" w:name="_GoBack"/>
      <w:bookmarkEnd w:id="0"/>
    </w:p>
    <w:sectPr w:rsidR="000449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6AB"/>
    <w:rsid w:val="00044980"/>
    <w:rsid w:val="003666AB"/>
    <w:rsid w:val="00AB3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20C339-D0E3-4F5A-B0B6-E950E5B0C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166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NUEVA ALIANZA201</dc:creator>
  <cp:keywords/>
  <dc:description/>
  <cp:lastModifiedBy>NUEVA ALIANZA201</cp:lastModifiedBy>
  <cp:revision>5</cp:revision>
  <dcterms:created xsi:type="dcterms:W3CDTF">2020-02-18T19:09:00Z</dcterms:created>
  <dcterms:modified xsi:type="dcterms:W3CDTF">2020-02-18T19:17:00Z</dcterms:modified>
</cp:coreProperties>
</file>