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F116B5" w14:textId="77777777" w:rsidR="00947992" w:rsidRDefault="00947992" w:rsidP="00947992">
      <w:pPr>
        <w:rPr>
          <w:rFonts w:ascii="Tahoma" w:hAnsi="Tahoma" w:cs="Tahoma"/>
          <w:sz w:val="40"/>
          <w:szCs w:val="40"/>
        </w:rPr>
      </w:pPr>
    </w:p>
    <w:p w14:paraId="3C94BA7D" w14:textId="77777777" w:rsidR="00947992" w:rsidRDefault="00947992" w:rsidP="00947992">
      <w:pPr>
        <w:rPr>
          <w:rFonts w:ascii="Tahoma" w:hAnsi="Tahoma" w:cs="Tahoma"/>
          <w:sz w:val="40"/>
          <w:szCs w:val="40"/>
        </w:rPr>
      </w:pPr>
    </w:p>
    <w:p w14:paraId="46549A12" w14:textId="1A59CEC3" w:rsidR="00B52624" w:rsidRPr="00947992" w:rsidRDefault="00EB0B4C" w:rsidP="00947992">
      <w:pPr>
        <w:jc w:val="both"/>
        <w:rPr>
          <w:rFonts w:ascii="Tahoma" w:hAnsi="Tahoma" w:cs="Tahoma"/>
          <w:sz w:val="40"/>
          <w:szCs w:val="40"/>
        </w:rPr>
      </w:pPr>
      <w:r w:rsidRPr="00947992">
        <w:rPr>
          <w:rFonts w:ascii="Tahoma" w:hAnsi="Tahoma" w:cs="Tahoma"/>
          <w:sz w:val="40"/>
          <w:szCs w:val="40"/>
        </w:rPr>
        <w:t>De acuerdo con el</w:t>
      </w:r>
      <w:r w:rsidR="00947992" w:rsidRPr="00947992">
        <w:rPr>
          <w:rFonts w:ascii="Tahoma" w:hAnsi="Tahoma" w:cs="Tahoma"/>
          <w:sz w:val="40"/>
          <w:szCs w:val="40"/>
        </w:rPr>
        <w:t xml:space="preserve"> </w:t>
      </w:r>
      <w:bookmarkStart w:id="0" w:name="_GoBack"/>
      <w:bookmarkEnd w:id="0"/>
      <w:r w:rsidR="00947992" w:rsidRPr="00947992">
        <w:rPr>
          <w:rFonts w:ascii="Tahoma" w:hAnsi="Tahoma" w:cs="Tahoma"/>
          <w:sz w:val="40"/>
          <w:szCs w:val="40"/>
        </w:rPr>
        <w:t xml:space="preserve">Reglamento Interno de </w:t>
      </w:r>
      <w:r w:rsidR="00947992" w:rsidRPr="00947992">
        <w:rPr>
          <w:rFonts w:ascii="Tahoma" w:hAnsi="Tahoma" w:cs="Tahoma"/>
          <w:sz w:val="40"/>
          <w:szCs w:val="40"/>
        </w:rPr>
        <w:t>este</w:t>
      </w:r>
      <w:r w:rsidR="00947992" w:rsidRPr="00947992">
        <w:rPr>
          <w:rFonts w:ascii="Tahoma" w:hAnsi="Tahoma" w:cs="Tahoma"/>
          <w:sz w:val="40"/>
          <w:szCs w:val="40"/>
        </w:rPr>
        <w:t xml:space="preserve"> Consejo, en el capítulo IV artículo 11, el Consejo celebrará dos sesiones ordinarias al año: junio y diciembre, respectivamente, por lo anterior, la información a este mes no se genera.</w:t>
      </w:r>
    </w:p>
    <w:sectPr w:rsidR="00B52624" w:rsidRPr="009479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992"/>
    <w:rsid w:val="00655DA1"/>
    <w:rsid w:val="00656D76"/>
    <w:rsid w:val="00947992"/>
    <w:rsid w:val="00EB0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AF661"/>
  <w15:chartTrackingRefBased/>
  <w15:docId w15:val="{394F9D55-B24F-428D-84BE-5F94CC82D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198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Norah Vázquez</dc:creator>
  <cp:keywords/>
  <dc:description/>
  <cp:lastModifiedBy>Norah Vázquez</cp:lastModifiedBy>
  <cp:revision>2</cp:revision>
  <dcterms:created xsi:type="dcterms:W3CDTF">2020-02-10T19:59:00Z</dcterms:created>
  <dcterms:modified xsi:type="dcterms:W3CDTF">2020-02-10T20:00:00Z</dcterms:modified>
</cp:coreProperties>
</file>