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A63476" w:rsidRDefault="00A63476">
      <w:pPr>
        <w:pStyle w:val="Textoindependiente"/>
        <w:spacing w:before="2"/>
        <w:ind w:left="0" w:right="0" w:firstLine="0"/>
        <w:jc w:val="left"/>
        <w:rPr>
          <w:rFonts w:ascii="Times New Roman"/>
          <w:sz w:val="10"/>
        </w:rPr>
      </w:pPr>
    </w:p>
    <w:p w:rsidR="00A63476" w:rsidRDefault="00D22874">
      <w:pPr>
        <w:pStyle w:val="Ttulo"/>
        <w:spacing w:before="88" w:after="19"/>
      </w:pPr>
      <w:r>
        <w:t>TERCERA SECCION</w:t>
      </w:r>
    </w:p>
    <w:p w:rsidR="00A63476" w:rsidRDefault="00FF0FB3">
      <w:pPr>
        <w:pStyle w:val="Textoindependiente"/>
        <w:spacing w:line="20" w:lineRule="exact"/>
        <w:ind w:left="2069" w:right="0" w:firstLine="0"/>
        <w:jc w:val="left"/>
        <w:rPr>
          <w:rFonts w:ascii="Times New Roman"/>
          <w:sz w:val="2"/>
        </w:rPr>
      </w:pPr>
      <w:r>
        <w:rPr>
          <w:rFonts w:ascii="Times New Roman"/>
          <w:noProof/>
          <w:sz w:val="2"/>
        </w:rPr>
        <mc:AlternateContent>
          <mc:Choice Requires="wpg">
            <w:drawing>
              <wp:inline distT="0" distB="0" distL="0" distR="0">
                <wp:extent cx="3639820" cy="6350"/>
                <wp:effectExtent l="5715" t="7620" r="12065" b="5080"/>
                <wp:docPr id="99" name="Group 76"/>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3639820" cy="6350"/>
                          <a:chOff x="0" y="0"/>
                          <a:chExt cx="5732" cy="10"/>
                        </a:xfrm>
                      </wpg:grpSpPr>
                      <wps:wsp>
                        <wps:cNvPr id="100" name="Line 77"/>
                        <wps:cNvCnPr>
                          <a:cxnSpLocks noChangeShapeType="1"/>
                        </wps:cNvCnPr>
                        <wps:spPr bwMode="auto">
                          <a:xfrm>
                            <a:off x="0" y="5"/>
                            <a:ext cx="5732" cy="0"/>
                          </a:xfrm>
                          <a:prstGeom prst="line">
                            <a:avLst/>
                          </a:prstGeom>
                          <a:noFill/>
                          <a:ln w="6350">
                            <a:solidFill>
                              <a:srgbClr val="000000"/>
                            </a:solidFill>
                            <a:prstDash val="solid"/>
                            <a:round/>
                            <a:headEnd/>
                            <a:tailEnd/>
                          </a:ln>
                          <a:extLst>
                            <a:ext uri="{909E8E84-426E-40DD-AFC4-6F175D3DCCD1}">
                              <a14:hiddenFill xmlns:a14="http://schemas.microsoft.com/office/drawing/2010/main">
                                <a:noFill/>
                              </a14:hiddenFill>
                            </a:ext>
                          </a:extLst>
                        </wps:spPr>
                        <wps:bodyPr/>
                      </wps:wsp>
                    </wpg:wgp>
                  </a:graphicData>
                </a:graphic>
              </wp:inline>
            </w:drawing>
          </mc:Choice>
          <mc:Fallback>
            <w:pict>
              <v:group w14:anchorId="1CCD092C" id="Group 76" o:spid="_x0000_s1026" style="width:286.6pt;height:.5pt;mso-position-horizontal-relative:char;mso-position-vertical-relative:line" coordsize="5732,1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">
                <v:line id="Line 77" o:spid="_x0000_s1027" style="position:absolute;visibility:visible;mso-wrap-style:square" from="0,5" to="5732,5"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" strokeweight=".5pt"/>
                <w10:anchorlock/>
              </v:group>
            </w:pict>
          </mc:Fallback>
        </mc:AlternateContent>
      </w:r>
    </w:p>
    <w:p w:rsidR="00A63476" w:rsidRDefault="00D22874">
      <w:pPr>
        <w:pStyle w:val="Ttulo"/>
        <w:ind w:left="890"/>
      </w:pPr>
      <w:r>
        <w:rPr>
          <w:spacing w:val="-3"/>
        </w:rPr>
        <w:t xml:space="preserve">SECRETARIA </w:t>
      </w:r>
      <w:r>
        <w:t xml:space="preserve">DE DESARROLLO AGRARIO, TERRITORIAL </w:t>
      </w:r>
      <w:r>
        <w:rPr>
          <w:spacing w:val="-14"/>
        </w:rPr>
        <w:t xml:space="preserve">Y </w:t>
      </w:r>
      <w:r>
        <w:t>URBANO</w:t>
      </w:r>
    </w:p>
    <w:p w:rsidR="00A63476" w:rsidRDefault="00D22874">
      <w:pPr>
        <w:pStyle w:val="Ttulo1"/>
        <w:spacing w:before="134" w:after="16" w:line="232" w:lineRule="auto"/>
        <w:ind w:left="520" w:right="656"/>
        <w:jc w:val="left"/>
        <w:rPr>
          <w:rFonts w:ascii="Times New Roman" w:hAnsi="Times New Roman"/>
        </w:rPr>
      </w:pPr>
      <w:r>
        <w:rPr>
          <w:rFonts w:ascii="Times New Roman" w:hAnsi="Times New Roman"/>
        </w:rPr>
        <w:t xml:space="preserve">ACUERDO por el que se modifican las Reglas de Operación del Programa de Vivienda Social para el ejercicio fiscal 2019, publicadas en la edición vespertina del 28 de </w:t>
      </w:r>
      <w:r>
        <w:rPr>
          <w:rFonts w:ascii="Times New Roman" w:hAnsi="Times New Roman"/>
        </w:rPr>
        <w:t>febrero de 2019.</w:t>
      </w:r>
    </w:p>
    <w:p w:rsidR="00A63476" w:rsidRDefault="00FF0FB3">
      <w:pPr>
        <w:pStyle w:val="Textoindependiente"/>
        <w:spacing w:line="53" w:lineRule="exact"/>
        <w:ind w:left="504" w:right="0" w:firstLine="0"/>
        <w:jc w:val="left"/>
        <w:rPr>
          <w:rFonts w:ascii="Times New Roman"/>
          <w:sz w:val="5"/>
        </w:rPr>
      </w:pPr>
      <w:r>
        <w:rPr>
          <w:rFonts w:ascii="Times New Roman"/>
          <w:noProof/>
          <w:sz w:val="5"/>
        </w:rPr>
        <mc:AlternateContent>
          <mc:Choice Requires="wpg">
            <w:drawing>
              <wp:inline distT="0" distB="0" distL="0" distR="0">
                <wp:extent cx="5614670" cy="33655"/>
                <wp:effectExtent l="12065" t="4445" r="12065" b="0"/>
                <wp:docPr id="96" name="Group 73"/>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5614670" cy="33655"/>
                          <a:chOff x="0" y="0"/>
                          <a:chExt cx="8842" cy="53"/>
                        </a:xfrm>
                      </wpg:grpSpPr>
                      <wps:wsp>
                        <wps:cNvPr id="97" name="Line 75"/>
                        <wps:cNvCnPr>
                          <a:cxnSpLocks noChangeShapeType="1"/>
                        </wps:cNvCnPr>
                        <wps:spPr bwMode="auto">
                          <a:xfrm>
                            <a:off x="0" y="15"/>
                            <a:ext cx="8842" cy="0"/>
                          </a:xfrm>
                          <a:prstGeom prst="line">
                            <a:avLst/>
                          </a:prstGeom>
                          <a:noFill/>
                          <a:ln w="19050">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98" name="Line 74"/>
                        <wps:cNvCnPr>
                          <a:cxnSpLocks noChangeShapeType="1"/>
                        </wps:cNvCnPr>
                        <wps:spPr bwMode="auto">
                          <a:xfrm>
                            <a:off x="0" y="45"/>
                            <a:ext cx="8842" cy="0"/>
                          </a:xfrm>
                          <a:prstGeom prst="line">
                            <a:avLst/>
                          </a:prstGeom>
                          <a:noFill/>
                          <a:ln w="9525">
                            <a:solidFill>
                              <a:srgbClr val="000000"/>
                            </a:solidFill>
                            <a:prstDash val="solid"/>
                            <a:round/>
                            <a:headEnd/>
                            <a:tailEnd/>
                          </a:ln>
                          <a:extLst>
                            <a:ext uri="{909E8E84-426E-40DD-AFC4-6F175D3DCCD1}">
                              <a14:hiddenFill xmlns:a14="http://schemas.microsoft.com/office/drawing/2010/main">
                                <a:noFill/>
                              </a14:hiddenFill>
                            </a:ext>
                          </a:extLst>
                        </wps:spPr>
                        <wps:bodyPr/>
                      </wps:wsp>
                    </wpg:wgp>
                  </a:graphicData>
                </a:graphic>
              </wp:inline>
            </w:drawing>
          </mc:Choice>
          <mc:Fallback>
            <w:pict>
              <v:group w14:anchorId="5DA8C2DE" id="Group 73" o:spid="_x0000_s1026" style="width:442.1pt;height:2.65pt;mso-position-horizontal-relative:char;mso-position-vertical-relative:line" coordsize="8842,53"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">
                <v:line id="Line 75" o:spid="_x0000_s1027" style="position:absolute;visibility:visible;mso-wrap-style:square" from="0,15" to="8842,15"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" strokeweight="1.5pt"/>
                <v:line id="Line 74" o:spid="_x0000_s1028" style="position:absolute;visibility:visible;mso-wrap-style:square" from="0,45" to="8842,45"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"/>
                <w10:anchorlock/>
              </v:group>
            </w:pict>
          </mc:Fallback>
        </mc:AlternateContent>
      </w:r>
    </w:p>
    <w:p w:rsidR="00A63476" w:rsidRDefault="00D22874">
      <w:pPr>
        <w:pStyle w:val="Textoindependiente"/>
        <w:spacing w:before="9" w:line="232" w:lineRule="auto"/>
        <w:ind w:right="656" w:firstLine="0"/>
        <w:jc w:val="left"/>
      </w:pPr>
      <w:r>
        <w:t>Al margen un sello con el Escudo Nacional, que dice: Estados Unidos Mexicanos.- SEDATU.- Secretaría de Desarrollo Agrario, Territorial y Urbano.- Comisión Nacional de Vivie</w:t>
      </w:r>
      <w:r>
        <w:t>nda.</w:t>
      </w:r>
    </w:p>
    <w:p w:rsidR="00A63476" w:rsidRDefault="00D22874">
      <w:pPr>
        <w:pStyle w:val="Textoindependiente"/>
        <w:spacing w:before="133" w:line="292" w:lineRule="auto"/>
      </w:pPr>
      <w:r>
        <w:t>ROMÁN GUILLERMO MEYER FALCÓN, Secretario de Desarrollo Agrario, Territorial y Urbano, con fundamento en los artículos 75 fracciones I, IV y IX, y 77 penúltimo párrafo de la Ley Federal de Presupuesto  y Responsabilidad Hacendaria; 58, fracción II de l</w:t>
      </w:r>
      <w:r>
        <w:t>a Ley Federal de las Entidades Paraestatales; 23 fracción I de la Ley de Vivienda; 1 y 4 de la Ley Orgánica de la Administración Pública Federal; 5 y 6, fracción XIV del Reglamento Interior de la Secretaría de Desarrollo Agrario, Territorial y Urbano; 26 y</w:t>
      </w:r>
      <w:r>
        <w:t xml:space="preserve"> 27 del Presupuesto </w:t>
      </w:r>
      <w:r>
        <w:rPr>
          <w:spacing w:val="-6"/>
        </w:rPr>
        <w:t xml:space="preserve">de </w:t>
      </w:r>
      <w:r>
        <w:t>Egresos de la Federación para el ejercicio fiscal 2019, y 7, fracción I del Estatuto Orgánico de la Comisión Nacional de Vivienda,</w:t>
      </w:r>
      <w:r>
        <w:rPr>
          <w:spacing w:val="-2"/>
        </w:rPr>
        <w:t xml:space="preserve"> </w:t>
      </w:r>
      <w:r>
        <w:t>y</w:t>
      </w:r>
    </w:p>
    <w:p w:rsidR="00A63476" w:rsidRDefault="00D22874">
      <w:pPr>
        <w:pStyle w:val="Ttulo1"/>
        <w:spacing w:before="113"/>
        <w:ind w:left="865" w:right="1002"/>
        <w:jc w:val="center"/>
        <w:rPr>
          <w:rFonts w:ascii="Times New Roman"/>
        </w:rPr>
      </w:pPr>
      <w:r>
        <w:rPr>
          <w:rFonts w:ascii="Times New Roman"/>
        </w:rPr>
        <w:t>CONSIDERANDO</w:t>
      </w:r>
    </w:p>
    <w:p w:rsidR="00A63476" w:rsidRDefault="00D22874">
      <w:pPr>
        <w:pStyle w:val="Textoindependiente"/>
        <w:spacing w:before="132" w:line="302" w:lineRule="auto"/>
        <w:ind w:right="663"/>
      </w:pPr>
      <w:r>
        <w:t>Que el 28 de febrero de 2019, se publicaron en el Diario Oficial de la Federación, en s</w:t>
      </w:r>
      <w:r>
        <w:t>u edición vespertina, las Reglas de Operación del Programa de Vivienda Social para el ejercicio fiscal 2019.</w:t>
      </w:r>
    </w:p>
    <w:p w:rsidR="00A63476" w:rsidRDefault="00D22874">
      <w:pPr>
        <w:pStyle w:val="Textoindependiente"/>
        <w:spacing w:before="99" w:line="278" w:lineRule="auto"/>
        <w:ind w:right="663"/>
      </w:pPr>
      <w:r>
        <w:t>Que la versión publicada no coincide con la versión autorizada por la Secretaría de Hacienda y Crédito Público, por lo que es necesario emitir el s</w:t>
      </w:r>
      <w:r>
        <w:t>iguiente:</w:t>
      </w:r>
    </w:p>
    <w:p w:rsidR="00A63476" w:rsidRDefault="00D22874">
      <w:pPr>
        <w:pStyle w:val="Ttulo1"/>
        <w:spacing w:before="120"/>
        <w:ind w:left="855" w:right="1002"/>
        <w:jc w:val="center"/>
        <w:rPr>
          <w:rFonts w:ascii="Times New Roman"/>
        </w:rPr>
      </w:pPr>
      <w:r>
        <w:rPr>
          <w:rFonts w:ascii="Times New Roman"/>
        </w:rPr>
        <w:t>ACUERDO</w:t>
      </w:r>
    </w:p>
    <w:p w:rsidR="00A63476" w:rsidRDefault="00D22874">
      <w:pPr>
        <w:pStyle w:val="Textoindependiente"/>
        <w:spacing w:before="153" w:line="290" w:lineRule="auto"/>
      </w:pPr>
      <w:r>
        <w:rPr>
          <w:b/>
        </w:rPr>
        <w:t xml:space="preserve">Artículo Único.- </w:t>
      </w:r>
      <w:r>
        <w:t>Se modifican las Reglas de Operación del Programa de Vivienda Social para el ejercicio fiscal 2019, publicadas en el Diario Oficial de la Federación el 28 de febrero de 2019, en su edición vespertina, para quedar como a continuación se indica:</w:t>
      </w:r>
    </w:p>
    <w:p w:rsidR="00A63476" w:rsidRDefault="00D22874">
      <w:pPr>
        <w:pStyle w:val="Ttulo1"/>
        <w:spacing w:before="89"/>
        <w:ind w:left="852" w:right="1002"/>
        <w:jc w:val="center"/>
        <w:rPr>
          <w:rFonts w:ascii="Times New Roman" w:hAnsi="Times New Roman"/>
        </w:rPr>
      </w:pPr>
      <w:r>
        <w:rPr>
          <w:rFonts w:ascii="Times New Roman" w:hAnsi="Times New Roman"/>
        </w:rPr>
        <w:t>REGLAS DE OP</w:t>
      </w:r>
      <w:r>
        <w:rPr>
          <w:rFonts w:ascii="Times New Roman" w:hAnsi="Times New Roman"/>
        </w:rPr>
        <w:t>ERACIÓN DEL PROGRAMA DE VIVIENDA SOCIAL 2019</w:t>
      </w:r>
    </w:p>
    <w:p w:rsidR="00A63476" w:rsidRDefault="00D22874">
      <w:pPr>
        <w:pStyle w:val="Textoindependiente"/>
        <w:spacing w:before="152" w:line="292" w:lineRule="auto"/>
      </w:pPr>
      <w:r>
        <w:t>ROMÁN GUILLERMO MEYER FALCÓN, Secretario de Desarrollo Agrario, Territorial y Urbano, con fundamento en los artículos 75 fracciones I, IV y IX, y 77 penúltimo párrafo de la Ley Federal de Presupuesto  y Responsabilidad Hacendaria; 58, fracción II de la Ley</w:t>
      </w:r>
      <w:r>
        <w:t xml:space="preserve"> Federal de las Entidades Paraestatales; 23 fracción I de la Ley de Vivienda; 1 y 4 de la Ley Orgánica de la Administración Pública Federal; 5 y 6, fracción XIV del Reglamento Interior de la Secretaría de Desarrollo Agrario, Territorial y Urbano; 26 y 27 d</w:t>
      </w:r>
      <w:r>
        <w:t xml:space="preserve">el Presupuesto </w:t>
      </w:r>
      <w:r>
        <w:rPr>
          <w:spacing w:val="-6"/>
        </w:rPr>
        <w:t xml:space="preserve">de </w:t>
      </w:r>
      <w:r>
        <w:t>Egresos de la Federación para el ejercicio fiscal 2019; así como el Artículo 7, fracción I del Estatuto Orgánico de la Comisión Nacional de Vivienda, la Junta de Gobierno de la Comisión Nacional de Vivienda en su Cuarta Sesión Extraordina</w:t>
      </w:r>
      <w:r>
        <w:t xml:space="preserve">ria, celebrada el 10 de diciembre de 2018, aprobó las presentes Reglas de Operación </w:t>
      </w:r>
      <w:r>
        <w:rPr>
          <w:spacing w:val="-5"/>
        </w:rPr>
        <w:t xml:space="preserve">del </w:t>
      </w:r>
      <w:r>
        <w:t>Programa de Vivienda Social, para el ejercicio fiscal</w:t>
      </w:r>
      <w:r>
        <w:rPr>
          <w:spacing w:val="-2"/>
        </w:rPr>
        <w:t xml:space="preserve"> </w:t>
      </w:r>
      <w:r>
        <w:t>2019</w:t>
      </w:r>
    </w:p>
    <w:p w:rsidR="00A63476" w:rsidRDefault="00D22874">
      <w:pPr>
        <w:pStyle w:val="Ttulo1"/>
        <w:spacing w:before="88"/>
        <w:ind w:left="865" w:right="1002"/>
        <w:jc w:val="center"/>
        <w:rPr>
          <w:rFonts w:ascii="Times New Roman"/>
        </w:rPr>
      </w:pPr>
      <w:r>
        <w:rPr>
          <w:rFonts w:ascii="Times New Roman"/>
        </w:rPr>
        <w:t>CONSIDERANDO</w:t>
      </w:r>
    </w:p>
    <w:p w:rsidR="00A63476" w:rsidRDefault="00D22874">
      <w:pPr>
        <w:pStyle w:val="Textoindependiente"/>
        <w:spacing w:before="153" w:line="290" w:lineRule="auto"/>
      </w:pPr>
      <w:r>
        <w:t xml:space="preserve">Que el Presupuesto de Egresos de la Federación para el ejercicio correspondiente, asignará para </w:t>
      </w:r>
      <w:r>
        <w:t>el Programa denominado Programa de Vivienda Social, un monto específico claramente determinado, observando para tal efecto lo dispuesto en los artículos 28, 29 y 30 del referido Presupuesto.</w:t>
      </w:r>
    </w:p>
    <w:p w:rsidR="00A63476" w:rsidRDefault="00D22874">
      <w:pPr>
        <w:pStyle w:val="Textoindependiente"/>
        <w:spacing w:before="108" w:line="302" w:lineRule="auto"/>
        <w:ind w:right="663"/>
      </w:pPr>
      <w:r>
        <w:t>Que la emisión de estas Reglas de Operación se sujetará al proced</w:t>
      </w:r>
      <w:r>
        <w:t>imiento establecido en el artículo 77 de la Ley Federal de Presupuesto y Responsabilidad Hacendaria.</w:t>
      </w:r>
    </w:p>
    <w:p w:rsidR="00A63476" w:rsidRDefault="00D22874">
      <w:pPr>
        <w:pStyle w:val="Textoindependiente"/>
        <w:spacing w:before="79" w:line="290" w:lineRule="auto"/>
      </w:pPr>
      <w:r>
        <w:t>Que la Ley de Vivienda establece en sus artículos 5, 19 fracciones VII, VIII, 71 y 86 que los programas públicos de vivienda, así como los instrumentos y a</w:t>
      </w:r>
      <w:r>
        <w:t xml:space="preserve">poyos a la vivienda deberán considerar los distintos tipos y modalidades de producción habitacional, las diversas necesidades habitacionales, así como desarrollar, ejecutar y promover esquemas, mecanismos y programas de financiamiento, subsidios federales </w:t>
      </w:r>
      <w:r>
        <w:t xml:space="preserve">y </w:t>
      </w:r>
      <w:r>
        <w:rPr>
          <w:spacing w:val="-3"/>
        </w:rPr>
        <w:t xml:space="preserve">ahorro </w:t>
      </w:r>
      <w:r>
        <w:t xml:space="preserve">previo para la vivienda, en sus diferentes modalidades y líneas de apoyo, priorizando la atención a </w:t>
      </w:r>
      <w:r>
        <w:rPr>
          <w:spacing w:val="-8"/>
        </w:rPr>
        <w:t xml:space="preserve">la </w:t>
      </w:r>
      <w:r>
        <w:t xml:space="preserve">población en situación de pobreza, promoviendo el uso de energías renovables mediante las </w:t>
      </w:r>
      <w:r>
        <w:rPr>
          <w:spacing w:val="-3"/>
        </w:rPr>
        <w:t xml:space="preserve">nuevas </w:t>
      </w:r>
      <w:r>
        <w:t>ecotecnologías aplicables a la vivienda, de acu</w:t>
      </w:r>
      <w:r>
        <w:t>erdo a las regiones bioclimáticas del país, utilizando equipos y sistemas normalizados en cualquiera de sus</w:t>
      </w:r>
      <w:r>
        <w:rPr>
          <w:spacing w:val="-1"/>
        </w:rPr>
        <w:t xml:space="preserve"> </w:t>
      </w:r>
      <w:r>
        <w:t>modalidades.</w:t>
      </w:r>
    </w:p>
    <w:p w:rsidR="00A63476" w:rsidRDefault="00A63476">
      <w:pPr>
        <w:spacing w:line="290" w:lineRule="auto"/>
        <w:sectPr w:rsidR="00A63476">
          <w:headerReference w:type="even" r:id="rId7"/>
          <w:headerReference w:type="default" r:id="rId8"/>
          <w:type w:val="continuous"/>
          <w:pgSz w:w="12240" w:h="15840"/>
          <w:pgMar w:top="920" w:right="1040" w:bottom="280" w:left="1180" w:header="700" w:footer="720" w:gutter="0"/>
          <w:cols w:space="720"/>
        </w:sectPr>
      </w:pPr>
    </w:p>
    <w:p w:rsidR="00A63476" w:rsidRDefault="00A63476">
      <w:pPr>
        <w:pStyle w:val="Textoindependiente"/>
        <w:spacing w:before="5"/>
        <w:ind w:left="0" w:right="0" w:firstLine="0"/>
        <w:jc w:val="left"/>
        <w:rPr>
          <w:sz w:val="12"/>
        </w:rPr>
      </w:pPr>
    </w:p>
    <w:p w:rsidR="00A63476" w:rsidRDefault="00D22874">
      <w:pPr>
        <w:pStyle w:val="Textoindependiente"/>
        <w:spacing w:before="95" w:line="278" w:lineRule="auto"/>
        <w:ind w:right="663"/>
      </w:pPr>
      <w:r>
        <w:t>Que con el objeto de asegurar la aplicación de los criterios legales y programáticos antes mencionados se ha tenido a bien emitir las siguientes:</w:t>
      </w:r>
    </w:p>
    <w:p w:rsidR="00A63476" w:rsidRDefault="00D22874">
      <w:pPr>
        <w:pStyle w:val="Ttulo1"/>
        <w:spacing w:before="120"/>
        <w:ind w:left="857" w:right="1002"/>
        <w:jc w:val="center"/>
        <w:rPr>
          <w:rFonts w:ascii="Times New Roman" w:hAnsi="Times New Roman"/>
        </w:rPr>
      </w:pPr>
      <w:r>
        <w:rPr>
          <w:rFonts w:ascii="Times New Roman" w:hAnsi="Times New Roman"/>
        </w:rPr>
        <w:t>REGLAS DE OPERACIÓN DEL PROGRAMA DE VIVIENDA SOCIAL</w:t>
      </w:r>
    </w:p>
    <w:p w:rsidR="00A63476" w:rsidRDefault="00D22874">
      <w:pPr>
        <w:pStyle w:val="Prrafodelista"/>
        <w:numPr>
          <w:ilvl w:val="0"/>
          <w:numId w:val="60"/>
        </w:numPr>
        <w:tabs>
          <w:tab w:val="left" w:pos="1232"/>
        </w:tabs>
        <w:spacing w:before="112" w:after="13"/>
        <w:jc w:val="both"/>
        <w:rPr>
          <w:b/>
          <w:sz w:val="18"/>
        </w:rPr>
      </w:pPr>
      <w:r>
        <w:rPr>
          <w:b/>
          <w:sz w:val="18"/>
        </w:rPr>
        <w:t>Antecedentes</w:t>
      </w:r>
    </w:p>
    <w:p w:rsidR="00A63476" w:rsidRDefault="00FF0FB3">
      <w:pPr>
        <w:pStyle w:val="Textoindependiente"/>
        <w:spacing w:line="20" w:lineRule="exact"/>
        <w:ind w:left="802" w:right="0" w:firstLine="0"/>
        <w:jc w:val="left"/>
        <w:rPr>
          <w:sz w:val="2"/>
        </w:rPr>
      </w:pPr>
      <w:r>
        <w:rPr>
          <w:noProof/>
          <w:sz w:val="2"/>
        </w:rPr>
        <mc:AlternateContent>
          <mc:Choice Requires="wpg">
            <w:drawing>
              <wp:inline distT="0" distB="0" distL="0" distR="0">
                <wp:extent cx="5431790" cy="6350"/>
                <wp:effectExtent l="10795" t="10795" r="5715" b="1905"/>
                <wp:docPr id="94" name="Group 71"/>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5431790" cy="6350"/>
                          <a:chOff x="0" y="0"/>
                          <a:chExt cx="8554" cy="10"/>
                        </a:xfrm>
                      </wpg:grpSpPr>
                      <wps:wsp>
                        <wps:cNvPr id="95" name="Line 72"/>
                        <wps:cNvCnPr>
                          <a:cxnSpLocks noChangeShapeType="1"/>
                        </wps:cNvCnPr>
                        <wps:spPr bwMode="auto">
                          <a:xfrm>
                            <a:off x="0" y="5"/>
                            <a:ext cx="8554" cy="0"/>
                          </a:xfrm>
                          <a:prstGeom prst="line">
                            <a:avLst/>
                          </a:prstGeom>
                          <a:noFill/>
                          <a:ln w="6350">
                            <a:solidFill>
                              <a:srgbClr val="000000"/>
                            </a:solidFill>
                            <a:prstDash val="solid"/>
                            <a:round/>
                            <a:headEnd/>
                            <a:tailEnd/>
                          </a:ln>
                          <a:extLst>
                            <a:ext uri="{909E8E84-426E-40DD-AFC4-6F175D3DCCD1}">
                              <a14:hiddenFill xmlns:a14="http://schemas.microsoft.com/office/drawing/2010/main">
                                <a:noFill/>
                              </a14:hiddenFill>
                            </a:ext>
                          </a:extLst>
                        </wps:spPr>
                        <wps:bodyPr/>
                      </wps:wsp>
                    </wpg:wgp>
                  </a:graphicData>
                </a:graphic>
              </wp:inline>
            </w:drawing>
          </mc:Choice>
          <mc:Fallback>
            <w:pict>
              <v:group w14:anchorId="75857140" id="Group 71" o:spid="_x0000_s1026" style="width:427.7pt;height:.5pt;mso-position-horizontal-relative:char;mso-position-vertical-relative:line" coordsize="8554,1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">
                <v:line id="Line 72" o:spid="_x0000_s1027" style="position:absolute;visibility:visible;mso-wrap-style:square" from="0,5" to="8554,5"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" strokeweight=".5pt"/>
                <w10:anchorlock/>
              </v:group>
            </w:pict>
          </mc:Fallback>
        </mc:AlternateContent>
      </w:r>
    </w:p>
    <w:p w:rsidR="00A63476" w:rsidRDefault="00D22874">
      <w:pPr>
        <w:pStyle w:val="Prrafodelista"/>
        <w:numPr>
          <w:ilvl w:val="1"/>
          <w:numId w:val="60"/>
        </w:numPr>
        <w:tabs>
          <w:tab w:val="left" w:pos="1151"/>
        </w:tabs>
        <w:spacing w:before="120"/>
        <w:jc w:val="both"/>
        <w:rPr>
          <w:b/>
          <w:sz w:val="18"/>
        </w:rPr>
      </w:pPr>
      <w:r>
        <w:rPr>
          <w:b/>
          <w:sz w:val="18"/>
        </w:rPr>
        <w:t>Perfil de la política de vivienda en el marco del cumplimiento de lineamientos</w:t>
      </w:r>
      <w:r>
        <w:rPr>
          <w:b/>
          <w:spacing w:val="-9"/>
          <w:sz w:val="18"/>
        </w:rPr>
        <w:t xml:space="preserve"> </w:t>
      </w:r>
      <w:r>
        <w:rPr>
          <w:b/>
          <w:sz w:val="18"/>
        </w:rPr>
        <w:t>constitucionales</w:t>
      </w:r>
    </w:p>
    <w:p w:rsidR="00A63476" w:rsidRDefault="00D22874">
      <w:pPr>
        <w:pStyle w:val="Textoindependiente"/>
        <w:spacing w:before="133" w:line="283" w:lineRule="auto"/>
      </w:pPr>
      <w:r>
        <w:t>La política de vivienda que propone el nuevo gobierno de México tiene como eje conductor el  cum</w:t>
      </w:r>
      <w:r>
        <w:t xml:space="preserve">plimiento de las obligaciones del Estado relativas a promover, respetar, proteger y garantizar el derecho de la población mexicana a una vivienda adecuada, por medio de mecanismos apropiados para el desarrollo de programas de vivienda social y del apoyo a </w:t>
      </w:r>
      <w:r>
        <w:t>la producción social de vivienda; centrándose en las familias de bajos ingresos, y en aquellas personas que viven en condiciones de riesgo, de marginación, así como grupos vulnerables.</w:t>
      </w:r>
    </w:p>
    <w:p w:rsidR="00A63476" w:rsidRDefault="00D22874">
      <w:pPr>
        <w:pStyle w:val="Ttulo1"/>
        <w:numPr>
          <w:ilvl w:val="1"/>
          <w:numId w:val="60"/>
        </w:numPr>
        <w:tabs>
          <w:tab w:val="left" w:pos="1151"/>
        </w:tabs>
        <w:spacing w:before="95"/>
        <w:jc w:val="both"/>
      </w:pPr>
      <w:r>
        <w:t>Obligaciones del Estado Mexicano en materia de vivienda (acuerdos inter</w:t>
      </w:r>
      <w:r>
        <w:t>nacionales</w:t>
      </w:r>
      <w:r>
        <w:rPr>
          <w:spacing w:val="-4"/>
        </w:rPr>
        <w:t xml:space="preserve"> </w:t>
      </w:r>
      <w:r>
        <w:t>pactados)</w:t>
      </w:r>
    </w:p>
    <w:p w:rsidR="00A63476" w:rsidRDefault="00D22874">
      <w:pPr>
        <w:pStyle w:val="Textoindependiente"/>
        <w:spacing w:before="133" w:line="283" w:lineRule="auto"/>
      </w:pPr>
      <w:r>
        <w:t xml:space="preserve">El concepto de la </w:t>
      </w:r>
      <w:r>
        <w:rPr>
          <w:b/>
        </w:rPr>
        <w:t xml:space="preserve">vivienda adecuada </w:t>
      </w:r>
      <w:r>
        <w:t xml:space="preserve">fue reconocido como parte del derecho a un nivel de vida adecuado en la Declaración Universal de Derechos Humanos de 1948. Asimismo, aparece en el párrafo 1º del artículo </w:t>
      </w:r>
      <w:r>
        <w:rPr>
          <w:spacing w:val="-7"/>
        </w:rPr>
        <w:t xml:space="preserve">11 </w:t>
      </w:r>
      <w:r>
        <w:t>del Pacto Internacional d</w:t>
      </w:r>
      <w:r>
        <w:t xml:space="preserve">e Derechos Económicos, Sociales y Culturales, adoptado en Nueva </w:t>
      </w:r>
      <w:r>
        <w:rPr>
          <w:spacing w:val="-4"/>
        </w:rPr>
        <w:t xml:space="preserve">York, </w:t>
      </w:r>
      <w:r>
        <w:t xml:space="preserve">el 16 </w:t>
      </w:r>
      <w:r>
        <w:rPr>
          <w:spacing w:val="-6"/>
        </w:rPr>
        <w:t xml:space="preserve">de </w:t>
      </w:r>
      <w:r>
        <w:t xml:space="preserve">diciembre de 1966 donde, los Estados Partes "reconocen el derecho de toda persona a un nivel de </w:t>
      </w:r>
      <w:r>
        <w:rPr>
          <w:spacing w:val="-4"/>
        </w:rPr>
        <w:t xml:space="preserve">vida </w:t>
      </w:r>
      <w:r>
        <w:t xml:space="preserve">adecuado para si y su familia y a una mejora continua de las condiciones de </w:t>
      </w:r>
      <w:r>
        <w:t xml:space="preserve">existencia". Reconociendo </w:t>
      </w:r>
      <w:r>
        <w:rPr>
          <w:spacing w:val="-7"/>
        </w:rPr>
        <w:t xml:space="preserve">de </w:t>
      </w:r>
      <w:r>
        <w:t>este modo, que una vivienda adecuada es fundamental para el disfrute del resto de los derechos económicos, sociales y culturales. A éste, México se adhirió desde el 23 de marzo de</w:t>
      </w:r>
      <w:r>
        <w:rPr>
          <w:spacing w:val="-22"/>
        </w:rPr>
        <w:t xml:space="preserve"> </w:t>
      </w:r>
      <w:r>
        <w:t>1981.</w:t>
      </w:r>
    </w:p>
    <w:p w:rsidR="00A63476" w:rsidRDefault="00D22874">
      <w:pPr>
        <w:pStyle w:val="Textoindependiente"/>
        <w:spacing w:before="90" w:line="278" w:lineRule="auto"/>
      </w:pPr>
      <w:r>
        <w:t>Dicho concepto es producto de un largo de</w:t>
      </w:r>
      <w:r>
        <w:t>sarrollo consensuado entre gobiernos y sociedad civil con el mando de la estructura de las Naciones Unidas del que México es parte en tanto que ha signado diversos documentos que le comprometen en el marco del derecho jurídico internacional. Desde la Decla</w:t>
      </w:r>
      <w:r>
        <w:t xml:space="preserve">ración Universal de Derechos Humanos de 1948; el reconocimiento de los Derechos Económicos, Sociales y Culturales (1966); la firma del Pacto Internacional de Derechos Económicos, Sociales y Culturales </w:t>
      </w:r>
      <w:r>
        <w:rPr>
          <w:spacing w:val="-3"/>
        </w:rPr>
        <w:t xml:space="preserve">(PIDESC), </w:t>
      </w:r>
      <w:r>
        <w:t xml:space="preserve">adoptado en Nueva </w:t>
      </w:r>
      <w:r>
        <w:rPr>
          <w:spacing w:val="-4"/>
        </w:rPr>
        <w:t xml:space="preserve">York, </w:t>
      </w:r>
      <w:r>
        <w:t>el 16 de diciembre de</w:t>
      </w:r>
      <w:r>
        <w:t xml:space="preserve"> 1966; hasta los acuerdos referidos a Observación </w:t>
      </w:r>
      <w:r>
        <w:rPr>
          <w:spacing w:val="-3"/>
        </w:rPr>
        <w:t xml:space="preserve">General  </w:t>
      </w:r>
      <w:r>
        <w:t xml:space="preserve">número 4 que refiere e identifica el Derecho Humano a la Vivienda Adecuada </w:t>
      </w:r>
      <w:r>
        <w:rPr>
          <w:spacing w:val="-3"/>
        </w:rPr>
        <w:t xml:space="preserve">(DHVA) </w:t>
      </w:r>
      <w:r>
        <w:t>con siete cualidades que le identifican:</w:t>
      </w:r>
    </w:p>
    <w:p w:rsidR="00A63476" w:rsidRDefault="00D22874">
      <w:pPr>
        <w:pStyle w:val="Prrafodelista"/>
        <w:numPr>
          <w:ilvl w:val="0"/>
          <w:numId w:val="59"/>
        </w:numPr>
        <w:tabs>
          <w:tab w:val="left" w:pos="1220"/>
        </w:tabs>
        <w:spacing w:before="67" w:line="276" w:lineRule="auto"/>
        <w:ind w:right="661" w:hanging="440"/>
        <w:rPr>
          <w:sz w:val="18"/>
        </w:rPr>
      </w:pPr>
      <w:r>
        <w:rPr>
          <w:sz w:val="18"/>
        </w:rPr>
        <w:t>La seguridad de la tenencia: la vivienda es adecuada si sus ocupantes tien</w:t>
      </w:r>
      <w:r>
        <w:rPr>
          <w:sz w:val="18"/>
        </w:rPr>
        <w:t>en garantías de protección jurídica contra el desalojo forzoso, el hostigamiento y otras</w:t>
      </w:r>
      <w:r>
        <w:rPr>
          <w:spacing w:val="-2"/>
          <w:sz w:val="18"/>
        </w:rPr>
        <w:t xml:space="preserve"> </w:t>
      </w:r>
      <w:r>
        <w:rPr>
          <w:sz w:val="18"/>
        </w:rPr>
        <w:t>amenazas.</w:t>
      </w:r>
    </w:p>
    <w:p w:rsidR="00A63476" w:rsidRDefault="00D22874">
      <w:pPr>
        <w:pStyle w:val="Prrafodelista"/>
        <w:numPr>
          <w:ilvl w:val="0"/>
          <w:numId w:val="59"/>
        </w:numPr>
        <w:tabs>
          <w:tab w:val="left" w:pos="1220"/>
        </w:tabs>
        <w:spacing w:before="70" w:line="276" w:lineRule="auto"/>
        <w:ind w:right="655" w:hanging="440"/>
        <w:rPr>
          <w:sz w:val="18"/>
        </w:rPr>
      </w:pPr>
      <w:r>
        <w:rPr>
          <w:sz w:val="18"/>
        </w:rPr>
        <w:t>Disponibilidad de servicios, materiales, instalaciones e infraestructura: la vivienda es adecuada si sus ocupantes tienen agua potable, instalaciones sanitar</w:t>
      </w:r>
      <w:r>
        <w:rPr>
          <w:sz w:val="18"/>
        </w:rPr>
        <w:t>ias adecuadas, energía para la cocción, la calefacción y el alumbrado, y conservación de alimentos o eliminación de</w:t>
      </w:r>
      <w:r>
        <w:rPr>
          <w:spacing w:val="-1"/>
          <w:sz w:val="18"/>
        </w:rPr>
        <w:t xml:space="preserve"> </w:t>
      </w:r>
      <w:r>
        <w:rPr>
          <w:sz w:val="18"/>
        </w:rPr>
        <w:t>residuos.</w:t>
      </w:r>
    </w:p>
    <w:p w:rsidR="00A63476" w:rsidRDefault="00D22874">
      <w:pPr>
        <w:pStyle w:val="Prrafodelista"/>
        <w:numPr>
          <w:ilvl w:val="0"/>
          <w:numId w:val="59"/>
        </w:numPr>
        <w:tabs>
          <w:tab w:val="left" w:pos="1220"/>
        </w:tabs>
        <w:spacing w:before="71" w:line="276" w:lineRule="auto"/>
        <w:ind w:right="661" w:hanging="440"/>
        <w:rPr>
          <w:sz w:val="18"/>
        </w:rPr>
      </w:pPr>
      <w:r>
        <w:rPr>
          <w:sz w:val="18"/>
        </w:rPr>
        <w:t xml:space="preserve">Asequibilidad: la vivienda es adecuada si su costo no pone en peligro o no dificulta el disfrute de </w:t>
      </w:r>
      <w:r>
        <w:rPr>
          <w:spacing w:val="-3"/>
          <w:sz w:val="18"/>
        </w:rPr>
        <w:t xml:space="preserve">otros </w:t>
      </w:r>
      <w:r>
        <w:rPr>
          <w:sz w:val="18"/>
        </w:rPr>
        <w:t>derechos humanos por sus ocupantes.</w:t>
      </w:r>
    </w:p>
    <w:p w:rsidR="00A63476" w:rsidRDefault="00D22874">
      <w:pPr>
        <w:pStyle w:val="Prrafodelista"/>
        <w:numPr>
          <w:ilvl w:val="0"/>
          <w:numId w:val="59"/>
        </w:numPr>
        <w:tabs>
          <w:tab w:val="left" w:pos="1220"/>
        </w:tabs>
        <w:spacing w:before="70" w:line="283" w:lineRule="auto"/>
        <w:ind w:right="655" w:hanging="440"/>
        <w:rPr>
          <w:sz w:val="18"/>
        </w:rPr>
      </w:pPr>
      <w:r>
        <w:rPr>
          <w:sz w:val="18"/>
        </w:rPr>
        <w:t>Habitabilidad: Se refiere a las características del material y los espacios de la vivienda, así como la infraestructura para acceder a los servicios básicos, definido por el CONEVAL. Además, la vivienda cumple con esta cualidad si se garantiza la seguridad</w:t>
      </w:r>
      <w:r>
        <w:rPr>
          <w:sz w:val="18"/>
        </w:rPr>
        <w:t xml:space="preserve"> física o proporciona espacio suficiente, </w:t>
      </w:r>
      <w:r>
        <w:rPr>
          <w:spacing w:val="-5"/>
          <w:sz w:val="18"/>
        </w:rPr>
        <w:t xml:space="preserve">así </w:t>
      </w:r>
      <w:r>
        <w:rPr>
          <w:sz w:val="18"/>
        </w:rPr>
        <w:t>como protección contra el frio, la humedad, el calor, la lluvia, el viento u otros riesgos para la salud y peligros</w:t>
      </w:r>
      <w:r>
        <w:rPr>
          <w:spacing w:val="-1"/>
          <w:sz w:val="18"/>
        </w:rPr>
        <w:t xml:space="preserve"> </w:t>
      </w:r>
      <w:r>
        <w:rPr>
          <w:sz w:val="18"/>
        </w:rPr>
        <w:t>estructurales.</w:t>
      </w:r>
    </w:p>
    <w:p w:rsidR="00A63476" w:rsidRDefault="00D22874">
      <w:pPr>
        <w:pStyle w:val="Prrafodelista"/>
        <w:numPr>
          <w:ilvl w:val="0"/>
          <w:numId w:val="59"/>
        </w:numPr>
        <w:tabs>
          <w:tab w:val="left" w:pos="1220"/>
        </w:tabs>
        <w:spacing w:before="64" w:line="276" w:lineRule="auto"/>
        <w:ind w:right="661" w:hanging="440"/>
        <w:rPr>
          <w:sz w:val="18"/>
        </w:rPr>
      </w:pPr>
      <w:r>
        <w:rPr>
          <w:sz w:val="18"/>
        </w:rPr>
        <w:t>Accesibilidad: la vivienda es adecuada si se toman en consideración las necesid</w:t>
      </w:r>
      <w:r>
        <w:rPr>
          <w:sz w:val="18"/>
        </w:rPr>
        <w:t xml:space="preserve">ades específicas </w:t>
      </w:r>
      <w:r>
        <w:rPr>
          <w:spacing w:val="-8"/>
          <w:sz w:val="18"/>
        </w:rPr>
        <w:t xml:space="preserve">de </w:t>
      </w:r>
      <w:r>
        <w:rPr>
          <w:sz w:val="18"/>
        </w:rPr>
        <w:t>los grupos desfavorecidos y</w:t>
      </w:r>
      <w:r>
        <w:rPr>
          <w:spacing w:val="-1"/>
          <w:sz w:val="18"/>
        </w:rPr>
        <w:t xml:space="preserve"> </w:t>
      </w:r>
      <w:r>
        <w:rPr>
          <w:sz w:val="18"/>
        </w:rPr>
        <w:t>marginados.</w:t>
      </w:r>
    </w:p>
    <w:p w:rsidR="00A63476" w:rsidRDefault="00D22874">
      <w:pPr>
        <w:pStyle w:val="Prrafodelista"/>
        <w:numPr>
          <w:ilvl w:val="0"/>
          <w:numId w:val="59"/>
        </w:numPr>
        <w:tabs>
          <w:tab w:val="left" w:pos="1220"/>
        </w:tabs>
        <w:spacing w:before="70" w:line="276" w:lineRule="auto"/>
        <w:ind w:right="655" w:hanging="440"/>
        <w:rPr>
          <w:sz w:val="18"/>
        </w:rPr>
      </w:pPr>
      <w:r>
        <w:rPr>
          <w:sz w:val="18"/>
        </w:rPr>
        <w:t>Ubicación: la vivienda es adecuada si ofrece acceso a oportunidades de empleo, servicios de salud, escuelas, guarderías y otros servicios e instalaciones sociales, o no está ubicada en zonas conta</w:t>
      </w:r>
      <w:r>
        <w:rPr>
          <w:sz w:val="18"/>
        </w:rPr>
        <w:t>minadas o peligrosas.</w:t>
      </w:r>
    </w:p>
    <w:p w:rsidR="00A63476" w:rsidRDefault="00D22874">
      <w:pPr>
        <w:pStyle w:val="Prrafodelista"/>
        <w:numPr>
          <w:ilvl w:val="0"/>
          <w:numId w:val="59"/>
        </w:numPr>
        <w:tabs>
          <w:tab w:val="left" w:pos="1220"/>
        </w:tabs>
        <w:spacing w:before="72" w:line="276" w:lineRule="auto"/>
        <w:ind w:right="661" w:hanging="440"/>
        <w:rPr>
          <w:sz w:val="18"/>
        </w:rPr>
      </w:pPr>
      <w:r>
        <w:rPr>
          <w:sz w:val="18"/>
        </w:rPr>
        <w:t>Adecuación cultural: la vivienda es adecuada si toma en cuenta y respeta la expresión de la identidad cultural.</w:t>
      </w:r>
    </w:p>
    <w:p w:rsidR="00A63476" w:rsidRDefault="00D22874">
      <w:pPr>
        <w:pStyle w:val="Textoindependiente"/>
        <w:spacing w:before="102" w:line="278" w:lineRule="auto"/>
      </w:pPr>
      <w:r>
        <w:t>En suma, la garantía del derecho a una vivienda adecuada implica reconocer que la producción de vivienda no puede estar re</w:t>
      </w:r>
      <w:r>
        <w:t>gida por las reglas del mercado sino, más bien, por la satisfacción de una necesidad humana.</w:t>
      </w:r>
    </w:p>
    <w:p w:rsidR="00A63476" w:rsidRDefault="00A63476">
      <w:pPr>
        <w:spacing w:line="278" w:lineRule="auto"/>
        <w:sectPr w:rsidR="00A63476">
          <w:pgSz w:w="12240" w:h="15840"/>
          <w:pgMar w:top="920" w:right="1040" w:bottom="280" w:left="1180" w:header="700" w:footer="0" w:gutter="0"/>
          <w:cols w:space="720"/>
        </w:sectPr>
      </w:pPr>
    </w:p>
    <w:p w:rsidR="00A63476" w:rsidRDefault="00A63476">
      <w:pPr>
        <w:pStyle w:val="Textoindependiente"/>
        <w:spacing w:before="5"/>
        <w:ind w:left="0" w:right="0" w:firstLine="0"/>
        <w:jc w:val="left"/>
        <w:rPr>
          <w:sz w:val="12"/>
        </w:rPr>
      </w:pPr>
    </w:p>
    <w:p w:rsidR="00A63476" w:rsidRDefault="00D22874">
      <w:pPr>
        <w:pStyle w:val="Ttulo1"/>
        <w:numPr>
          <w:ilvl w:val="1"/>
          <w:numId w:val="60"/>
        </w:numPr>
        <w:tabs>
          <w:tab w:val="left" w:pos="1151"/>
        </w:tabs>
        <w:spacing w:before="95"/>
      </w:pPr>
      <w:r>
        <w:t>Estrategias</w:t>
      </w:r>
    </w:p>
    <w:p w:rsidR="00A63476" w:rsidRDefault="00D22874">
      <w:pPr>
        <w:pStyle w:val="Textoindependiente"/>
        <w:spacing w:before="93"/>
        <w:ind w:left="800" w:right="0" w:firstLine="0"/>
      </w:pPr>
      <w:r>
        <w:t>Para arribar progresivamente al logro del derecho a la vivienda adecuada se consideran tres estrategias:</w:t>
      </w:r>
    </w:p>
    <w:p w:rsidR="00A63476" w:rsidRDefault="00D22874">
      <w:pPr>
        <w:pStyle w:val="Ttulo2"/>
        <w:spacing w:before="113"/>
        <w:ind w:left="800" w:firstLine="0"/>
      </w:pPr>
      <w:r>
        <w:t>Primera. Atender a la población con mayor rezago</w:t>
      </w:r>
    </w:p>
    <w:p w:rsidR="00A63476" w:rsidRDefault="00D22874">
      <w:pPr>
        <w:pStyle w:val="Textoindependiente"/>
        <w:spacing w:before="93" w:line="273" w:lineRule="auto"/>
      </w:pPr>
      <w:r>
        <w:t>A partir de datos de estadística nacional</w:t>
      </w:r>
      <w:bookmarkStart w:id="0" w:name="_bookmark0"/>
      <w:bookmarkEnd w:id="0"/>
      <w:r>
        <w:fldChar w:fldCharType="begin"/>
      </w:r>
      <w:r>
        <w:instrText xml:space="preserve"> HYPERLINK \l "_bookmark6" </w:instrText>
      </w:r>
      <w:r>
        <w:fldChar w:fldCharType="separate"/>
      </w:r>
      <w:r>
        <w:rPr>
          <w:position w:val="4"/>
          <w:sz w:val="12"/>
        </w:rPr>
        <w:t>1</w:t>
      </w:r>
      <w:r>
        <w:rPr>
          <w:position w:val="4"/>
          <w:sz w:val="12"/>
        </w:rPr>
        <w:fldChar w:fldCharType="end"/>
      </w:r>
      <w:r>
        <w:t xml:space="preserve">, se refiere que existe un rezago habitacional de un poco más de nueve millones de viviendas que presentan hacinamiento, precariedad o </w:t>
      </w:r>
      <w:r>
        <w:t xml:space="preserve">deterioro en sus componentes. Por ello, se reconoce que es necesario contribuir a abatir este rezago habitacional por medio de facilitar el </w:t>
      </w:r>
      <w:r>
        <w:rPr>
          <w:spacing w:val="-3"/>
        </w:rPr>
        <w:t xml:space="preserve">acceso </w:t>
      </w:r>
      <w:r>
        <w:t>a una vivienda nueva a la población que se encuentra en esta condición de rezago y por medio de políticas que</w:t>
      </w:r>
      <w:r>
        <w:t xml:space="preserve"> favorezcan el mejoramiento de la vivienda existente. Consecuentemente, es una prioridad la atención a </w:t>
      </w:r>
      <w:r>
        <w:rPr>
          <w:spacing w:val="-8"/>
        </w:rPr>
        <w:t xml:space="preserve">la </w:t>
      </w:r>
      <w:r>
        <w:t>población que no puede acceder a una vivienda adecuada por sus propios medios, por lo cual se plantea el acceso al subsidio público en una lógica de e</w:t>
      </w:r>
      <w:r>
        <w:t>quidad social.</w:t>
      </w:r>
    </w:p>
    <w:p w:rsidR="00A63476" w:rsidRDefault="00D22874">
      <w:pPr>
        <w:pStyle w:val="Textoindependiente"/>
        <w:spacing w:before="88" w:line="276" w:lineRule="auto"/>
        <w:rPr>
          <w:sz w:val="12"/>
        </w:rPr>
      </w:pPr>
      <w:r>
        <w:t>Adicionalmente, de acuerdo con estimaciones del CONEVAL “hay rezago en más de 14 millones de viviendas en el país, en la mayoría de los casos el ingreso es uno de los principales factores asociados: 57.9 por ciento de los hogares que se ubic</w:t>
      </w:r>
      <w:r>
        <w:t xml:space="preserve">an en los primeros cuatro deciles económicos (mismos que en </w:t>
      </w:r>
      <w:bookmarkStart w:id="1" w:name="_bookmark1"/>
      <w:bookmarkEnd w:id="1"/>
      <w:r>
        <w:t>su totalidad cuentan con ingresos por debajo de la línea de pobreza por ingresos) presentan rezago de vivienda</w:t>
      </w:r>
      <w:hyperlink w:anchor="_bookmark7" w:history="1">
        <w:r>
          <w:rPr>
            <w:position w:val="4"/>
            <w:sz w:val="12"/>
          </w:rPr>
          <w:t>2</w:t>
        </w:r>
      </w:hyperlink>
      <w:r>
        <w:t>. Entidades federativas como Chiapas, Guerrero y Oaxaca</w:t>
      </w:r>
      <w:r>
        <w:t xml:space="preserve">, cuentan con mayor porcentaje de población </w:t>
      </w:r>
      <w:r>
        <w:rPr>
          <w:spacing w:val="-6"/>
        </w:rPr>
        <w:t xml:space="preserve">por </w:t>
      </w:r>
      <w:r>
        <w:t xml:space="preserve">debajo de la línea de pobreza por ingresos y también con mayor porcentaje de rezago de vivienda. </w:t>
      </w:r>
      <w:r>
        <w:rPr>
          <w:spacing w:val="-6"/>
        </w:rPr>
        <w:t xml:space="preserve">En </w:t>
      </w:r>
      <w:r>
        <w:t>contraste, Ciudad de México y Nuevo León se encuentran entre las entidades con menor porcentaje de población</w:t>
      </w:r>
      <w:r>
        <w:t xml:space="preserve"> por debajo de la línea de pobreza por ingresos y entre las entidades con menor porcentaje </w:t>
      </w:r>
      <w:r>
        <w:rPr>
          <w:spacing w:val="-8"/>
        </w:rPr>
        <w:t xml:space="preserve">de </w:t>
      </w:r>
      <w:r>
        <w:t>rezago de</w:t>
      </w:r>
      <w:r>
        <w:rPr>
          <w:spacing w:val="-1"/>
        </w:rPr>
        <w:t xml:space="preserve"> </w:t>
      </w:r>
      <w:r>
        <w:t>vivienda</w:t>
      </w:r>
      <w:bookmarkStart w:id="2" w:name="_bookmark2"/>
      <w:bookmarkEnd w:id="2"/>
      <w:r>
        <w:t>”.</w:t>
      </w:r>
      <w:hyperlink w:anchor="_bookmark8" w:history="1">
        <w:r>
          <w:rPr>
            <w:position w:val="4"/>
            <w:sz w:val="12"/>
          </w:rPr>
          <w:t>3</w:t>
        </w:r>
      </w:hyperlink>
    </w:p>
    <w:p w:rsidR="00A63476" w:rsidRDefault="00D22874">
      <w:pPr>
        <w:pStyle w:val="Textoindependiente"/>
        <w:spacing w:before="58" w:line="278" w:lineRule="auto"/>
      </w:pPr>
      <w:r>
        <w:t xml:space="preserve">Según el informe alternativo conjunto sobre los derechos económicos, sociales, culturales y ambientales de </w:t>
      </w:r>
      <w:r>
        <w:rPr>
          <w:i/>
        </w:rPr>
        <w:t>Hab</w:t>
      </w:r>
      <w:r>
        <w:rPr>
          <w:i/>
        </w:rPr>
        <w:t>itat International Coalition</w:t>
      </w:r>
      <w:bookmarkStart w:id="3" w:name="_bookmark3"/>
      <w:bookmarkEnd w:id="3"/>
      <w:r>
        <w:rPr>
          <w:i/>
        </w:rPr>
        <w:t xml:space="preserve"> </w:t>
      </w:r>
      <w:hyperlink w:anchor="_bookmark9" w:history="1">
        <w:r>
          <w:rPr>
            <w:position w:val="4"/>
            <w:sz w:val="12"/>
          </w:rPr>
          <w:t>4</w:t>
        </w:r>
      </w:hyperlink>
      <w:r>
        <w:rPr>
          <w:position w:val="4"/>
          <w:sz w:val="12"/>
        </w:rPr>
        <w:t xml:space="preserve"> </w:t>
      </w:r>
      <w:r>
        <w:t>, en México la compra de vivienda nueva sólo es accesible para quienes perciben más de cinco salarios mínimos, ya que a partir de ese nivel de ingreso se puede acceder a créditos hipotecarios púb</w:t>
      </w:r>
      <w:r>
        <w:t>licos y</w:t>
      </w:r>
      <w:r>
        <w:rPr>
          <w:spacing w:val="-1"/>
        </w:rPr>
        <w:t xml:space="preserve"> </w:t>
      </w:r>
      <w:r>
        <w:t>privado</w:t>
      </w:r>
      <w:bookmarkStart w:id="4" w:name="_bookmark4"/>
      <w:bookmarkEnd w:id="4"/>
      <w:r>
        <w:t>s</w:t>
      </w:r>
      <w:hyperlink w:anchor="_bookmark10" w:history="1">
        <w:r>
          <w:rPr>
            <w:position w:val="4"/>
            <w:sz w:val="12"/>
          </w:rPr>
          <w:t>5</w:t>
        </w:r>
      </w:hyperlink>
      <w:r>
        <w:t>.</w:t>
      </w:r>
    </w:p>
    <w:p w:rsidR="00A63476" w:rsidRDefault="00D22874">
      <w:pPr>
        <w:pStyle w:val="Textoindependiente"/>
        <w:spacing w:before="59" w:line="278" w:lineRule="auto"/>
        <w:rPr>
          <w:sz w:val="12"/>
        </w:rPr>
      </w:pPr>
      <w:r>
        <w:t>Adicionalmente, CONEVAL destaca que aproximadamente 73.6 millones de mexicanos, se encuentran prácticamente excluidos del mercado formal de vivienda al no percibir ingresos por hogar equivalentes a más de c</w:t>
      </w:r>
      <w:r>
        <w:t>inco salarios mínimo</w:t>
      </w:r>
      <w:bookmarkStart w:id="5" w:name="_bookmark5"/>
      <w:bookmarkEnd w:id="5"/>
      <w:r>
        <w:t>s</w:t>
      </w:r>
      <w:hyperlink w:anchor="_bookmark11" w:history="1">
        <w:r>
          <w:rPr>
            <w:position w:val="4"/>
            <w:sz w:val="12"/>
          </w:rPr>
          <w:t>6</w:t>
        </w:r>
      </w:hyperlink>
    </w:p>
    <w:p w:rsidR="00A63476" w:rsidRDefault="00D22874">
      <w:pPr>
        <w:pStyle w:val="Textoindependiente"/>
        <w:spacing w:before="60" w:line="278" w:lineRule="auto"/>
        <w:ind w:right="654"/>
      </w:pPr>
      <w:r>
        <w:t>En virtud de este problema, resulta relevante construir o ampliar mecanismos que permitan atender a la población de bajos ingresos y con carencias relacionadas a la vivienda. En este contexto, la Comisión Nacional de Vivienda tiene el compromiso de promove</w:t>
      </w:r>
      <w:r>
        <w:t>r políticas de vivienda basadas en los principios de inclusión social, eficacia económica y protección ambiental; apoyar el uso eficaz de los recursos públicos para viviendas asequibles y sostenibles a través de mecanismos financieros apropiados para el de</w:t>
      </w:r>
      <w:r>
        <w:t xml:space="preserve">sarrollo </w:t>
      </w:r>
      <w:r>
        <w:rPr>
          <w:spacing w:val="-6"/>
        </w:rPr>
        <w:t xml:space="preserve">de </w:t>
      </w:r>
      <w:r>
        <w:t xml:space="preserve">programas de vivienda social </w:t>
      </w:r>
      <w:r>
        <w:rPr>
          <w:spacing w:val="-7"/>
        </w:rPr>
        <w:t xml:space="preserve">y, </w:t>
      </w:r>
      <w:r>
        <w:t>como objetivo principal, contribuir a garantizar el derecho humano a la vivienda adecuada para los sectores de la población que por su bajo ingreso no tienen la posibilidad de hacer efectivos estos</w:t>
      </w:r>
      <w:r>
        <w:rPr>
          <w:spacing w:val="-1"/>
        </w:rPr>
        <w:t xml:space="preserve"> </w:t>
      </w:r>
      <w:r>
        <w:t>derechos.</w:t>
      </w:r>
    </w:p>
    <w:p w:rsidR="00A63476" w:rsidRDefault="00D22874">
      <w:pPr>
        <w:pStyle w:val="Ttulo2"/>
        <w:spacing w:before="59" w:line="278" w:lineRule="auto"/>
        <w:ind w:left="520" w:right="663" w:firstLine="280"/>
      </w:pPr>
      <w:r>
        <w:t>Segu</w:t>
      </w:r>
      <w:r>
        <w:t xml:space="preserve">nda estrategia. Contribuir a los grandes desafíos nacionales en materia urbana y de bienestar </w:t>
      </w:r>
      <w:r>
        <w:t>social</w:t>
      </w:r>
    </w:p>
    <w:p w:rsidR="00A63476" w:rsidRDefault="00D22874">
      <w:pPr>
        <w:pStyle w:val="Textoindependiente"/>
        <w:spacing w:before="60" w:line="278" w:lineRule="auto"/>
      </w:pPr>
      <w:r>
        <w:t>Trabajar para dotar de una vivienda adecuada a la población de menores recursos, con mayor rezago socioeconómico, que se encuentre ubicada en zonas de mayo</w:t>
      </w:r>
      <w:r>
        <w:t xml:space="preserve">r concentración de pobreza, rezagos en infraestructura, servicios y equipamiento urbano y aquellas personas que se encuentran en condiciones </w:t>
      </w:r>
      <w:r>
        <w:rPr>
          <w:spacing w:val="-6"/>
        </w:rPr>
        <w:t xml:space="preserve">de </w:t>
      </w:r>
      <w:r>
        <w:t>alta vulnerabilidad (indígenas, adultos mayores, mujeres jefas de familia y personas con discapacidad).</w:t>
      </w:r>
    </w:p>
    <w:p w:rsidR="00A63476" w:rsidRDefault="00A63476">
      <w:pPr>
        <w:pStyle w:val="Textoindependiente"/>
        <w:ind w:left="0" w:right="0" w:firstLine="0"/>
        <w:jc w:val="left"/>
        <w:rPr>
          <w:sz w:val="20"/>
        </w:rPr>
      </w:pPr>
    </w:p>
    <w:p w:rsidR="00A63476" w:rsidRDefault="00FF0FB3">
      <w:pPr>
        <w:pStyle w:val="Textoindependiente"/>
        <w:spacing w:before="5"/>
        <w:ind w:left="0" w:right="0" w:firstLine="0"/>
        <w:jc w:val="left"/>
        <w:rPr>
          <w:sz w:val="19"/>
        </w:rPr>
      </w:pPr>
      <w:r>
        <w:rPr>
          <w:noProof/>
        </w:rPr>
        <mc:AlternateContent>
          <mc:Choice Requires="wps">
            <w:drawing>
              <wp:anchor distT="0" distB="0" distL="0" distR="0" simplePos="0" relativeHeight="487589376" behindDoc="1" locked="0" layoutInCell="1" allowOverlap="1">
                <wp:simplePos x="0" y="0"/>
                <wp:positionH relativeFrom="page">
                  <wp:posOffset>822960</wp:posOffset>
                </wp:positionH>
                <wp:positionV relativeFrom="paragraph">
                  <wp:posOffset>167005</wp:posOffset>
                </wp:positionV>
                <wp:extent cx="1270000" cy="6350"/>
                <wp:effectExtent l="0" t="0" r="0" b="0"/>
                <wp:wrapTopAndBottom/>
                <wp:docPr id="93" name="Rectangle 70"/>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270000" cy="6350"/>
                        </a:xfrm>
                        <a:prstGeom prst="rect">
                          <a:avLst/>
                        </a:prstGeom>
                        <a:solidFill>
                          <a:srgbClr val="60606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34AFE08E" id="Rectangle 70" o:spid="_x0000_s1026" style="position:absolute;margin-left:64.8pt;margin-top:13.15pt;width:100pt;height:.5pt;z-index:-15727104;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" fillcolor="#606060" stroked="f">
                <w10:wrap type="topAndBottom" anchorx="page"/>
              </v:rect>
            </w:pict>
          </mc:Fallback>
        </mc:AlternateContent>
      </w:r>
    </w:p>
    <w:p w:rsidR="00A63476" w:rsidRDefault="00A63476">
      <w:pPr>
        <w:pStyle w:val="Textoindependiente"/>
        <w:spacing w:before="5"/>
        <w:ind w:left="0" w:right="0" w:firstLine="0"/>
        <w:jc w:val="left"/>
        <w:rPr>
          <w:sz w:val="6"/>
        </w:rPr>
      </w:pPr>
    </w:p>
    <w:p w:rsidR="00A63476" w:rsidRDefault="00D22874">
      <w:pPr>
        <w:pStyle w:val="Prrafodelista"/>
        <w:numPr>
          <w:ilvl w:val="0"/>
          <w:numId w:val="58"/>
        </w:numPr>
        <w:tabs>
          <w:tab w:val="left" w:pos="299"/>
        </w:tabs>
        <w:spacing w:before="81"/>
        <w:rPr>
          <w:sz w:val="13"/>
        </w:rPr>
      </w:pPr>
      <w:bookmarkStart w:id="6" w:name="_bookmark6"/>
      <w:bookmarkEnd w:id="6"/>
      <w:r>
        <w:rPr>
          <w:sz w:val="14"/>
        </w:rPr>
        <w:t>Comi</w:t>
      </w:r>
      <w:r>
        <w:rPr>
          <w:sz w:val="14"/>
        </w:rPr>
        <w:t>sión</w:t>
      </w:r>
      <w:r>
        <w:rPr>
          <w:spacing w:val="25"/>
          <w:sz w:val="14"/>
        </w:rPr>
        <w:t xml:space="preserve"> </w:t>
      </w:r>
      <w:r>
        <w:rPr>
          <w:sz w:val="14"/>
        </w:rPr>
        <w:t>Nacional</w:t>
      </w:r>
      <w:r>
        <w:rPr>
          <w:spacing w:val="25"/>
          <w:sz w:val="14"/>
        </w:rPr>
        <w:t xml:space="preserve"> </w:t>
      </w:r>
      <w:r>
        <w:rPr>
          <w:sz w:val="14"/>
        </w:rPr>
        <w:t>de</w:t>
      </w:r>
      <w:r>
        <w:rPr>
          <w:spacing w:val="25"/>
          <w:sz w:val="14"/>
        </w:rPr>
        <w:t xml:space="preserve"> </w:t>
      </w:r>
      <w:r>
        <w:rPr>
          <w:sz w:val="14"/>
        </w:rPr>
        <w:t>Vivienda</w:t>
      </w:r>
      <w:r>
        <w:rPr>
          <w:spacing w:val="25"/>
          <w:sz w:val="14"/>
        </w:rPr>
        <w:t xml:space="preserve"> </w:t>
      </w:r>
      <w:r>
        <w:rPr>
          <w:sz w:val="14"/>
        </w:rPr>
        <w:t>(CONAVI)</w:t>
      </w:r>
      <w:r>
        <w:rPr>
          <w:spacing w:val="25"/>
          <w:sz w:val="14"/>
        </w:rPr>
        <w:t xml:space="preserve"> </w:t>
      </w:r>
      <w:r>
        <w:rPr>
          <w:sz w:val="14"/>
        </w:rPr>
        <w:t>(2016),</w:t>
      </w:r>
      <w:r>
        <w:rPr>
          <w:spacing w:val="17"/>
          <w:sz w:val="14"/>
        </w:rPr>
        <w:t xml:space="preserve"> </w:t>
      </w:r>
      <w:r>
        <w:rPr>
          <w:sz w:val="14"/>
        </w:rPr>
        <w:t>Análisis</w:t>
      </w:r>
      <w:r>
        <w:rPr>
          <w:spacing w:val="26"/>
          <w:sz w:val="14"/>
        </w:rPr>
        <w:t xml:space="preserve"> </w:t>
      </w:r>
      <w:r>
        <w:rPr>
          <w:sz w:val="14"/>
        </w:rPr>
        <w:t>del</w:t>
      </w:r>
      <w:r>
        <w:rPr>
          <w:spacing w:val="25"/>
          <w:sz w:val="14"/>
        </w:rPr>
        <w:t xml:space="preserve"> </w:t>
      </w:r>
      <w:r>
        <w:rPr>
          <w:sz w:val="14"/>
        </w:rPr>
        <w:t>rezago</w:t>
      </w:r>
      <w:r>
        <w:rPr>
          <w:spacing w:val="25"/>
          <w:sz w:val="14"/>
        </w:rPr>
        <w:t xml:space="preserve"> </w:t>
      </w:r>
      <w:r>
        <w:rPr>
          <w:sz w:val="14"/>
        </w:rPr>
        <w:t>habitacional</w:t>
      </w:r>
      <w:r>
        <w:rPr>
          <w:spacing w:val="25"/>
          <w:sz w:val="14"/>
        </w:rPr>
        <w:t xml:space="preserve"> </w:t>
      </w:r>
      <w:r>
        <w:rPr>
          <w:sz w:val="14"/>
        </w:rPr>
        <w:t>y</w:t>
      </w:r>
      <w:r>
        <w:rPr>
          <w:spacing w:val="25"/>
          <w:sz w:val="14"/>
        </w:rPr>
        <w:t xml:space="preserve"> </w:t>
      </w:r>
      <w:r>
        <w:rPr>
          <w:sz w:val="14"/>
        </w:rPr>
        <w:t>grupos</w:t>
      </w:r>
      <w:r>
        <w:rPr>
          <w:spacing w:val="25"/>
          <w:sz w:val="14"/>
        </w:rPr>
        <w:t xml:space="preserve"> </w:t>
      </w:r>
      <w:r>
        <w:rPr>
          <w:sz w:val="14"/>
        </w:rPr>
        <w:t>vulnerables</w:t>
      </w:r>
      <w:r>
        <w:rPr>
          <w:spacing w:val="25"/>
          <w:sz w:val="14"/>
        </w:rPr>
        <w:t xml:space="preserve"> </w:t>
      </w:r>
      <w:r>
        <w:rPr>
          <w:sz w:val="14"/>
        </w:rPr>
        <w:t>en</w:t>
      </w:r>
      <w:r>
        <w:rPr>
          <w:spacing w:val="25"/>
          <w:sz w:val="14"/>
        </w:rPr>
        <w:t xml:space="preserve"> </w:t>
      </w:r>
      <w:r>
        <w:rPr>
          <w:sz w:val="14"/>
        </w:rPr>
        <w:t>México:</w:t>
      </w:r>
      <w:r>
        <w:rPr>
          <w:spacing w:val="26"/>
          <w:sz w:val="14"/>
        </w:rPr>
        <w:t xml:space="preserve"> </w:t>
      </w:r>
      <w:r>
        <w:rPr>
          <w:sz w:val="14"/>
        </w:rPr>
        <w:t>2008-2016.</w:t>
      </w:r>
      <w:r>
        <w:rPr>
          <w:spacing w:val="25"/>
          <w:sz w:val="14"/>
        </w:rPr>
        <w:t xml:space="preserve"> </w:t>
      </w:r>
      <w:r>
        <w:rPr>
          <w:spacing w:val="-3"/>
          <w:sz w:val="14"/>
        </w:rPr>
        <w:t>Ver</w:t>
      </w:r>
      <w:r>
        <w:rPr>
          <w:spacing w:val="27"/>
          <w:sz w:val="14"/>
        </w:rPr>
        <w:t xml:space="preserve"> </w:t>
      </w:r>
      <w:r>
        <w:rPr>
          <w:sz w:val="14"/>
          <w:u w:val="single"/>
        </w:rPr>
        <w:t>http:/</w:t>
      </w:r>
      <w:r>
        <w:rPr>
          <w:sz w:val="14"/>
        </w:rPr>
        <w:t>/</w:t>
      </w:r>
    </w:p>
    <w:p w:rsidR="00A63476" w:rsidRDefault="00D22874">
      <w:pPr>
        <w:spacing w:line="160" w:lineRule="exact"/>
        <w:ind w:left="120"/>
        <w:rPr>
          <w:sz w:val="14"/>
        </w:rPr>
      </w:pPr>
      <w:r>
        <w:rPr>
          <w:sz w:val="14"/>
          <w:u w:val="single"/>
        </w:rPr>
        <w:t>sniiv.conavi.gob.mex/Docs/RepTrim/Vivienda_Jul_Sep_2017.pd</w:t>
      </w:r>
      <w:r>
        <w:rPr>
          <w:sz w:val="14"/>
        </w:rPr>
        <w:t>f. Consulta realizada julio 2018.</w:t>
      </w:r>
    </w:p>
    <w:p w:rsidR="00A63476" w:rsidRDefault="00A63476">
      <w:pPr>
        <w:pStyle w:val="Textoindependiente"/>
        <w:spacing w:before="9"/>
        <w:ind w:left="0" w:right="0" w:firstLine="0"/>
        <w:jc w:val="left"/>
        <w:rPr>
          <w:sz w:val="12"/>
        </w:rPr>
      </w:pPr>
    </w:p>
    <w:p w:rsidR="00A63476" w:rsidRDefault="00D22874">
      <w:pPr>
        <w:pStyle w:val="Prrafodelista"/>
        <w:numPr>
          <w:ilvl w:val="0"/>
          <w:numId w:val="58"/>
        </w:numPr>
        <w:tabs>
          <w:tab w:val="left" w:pos="234"/>
        </w:tabs>
        <w:spacing w:before="81"/>
        <w:ind w:left="233" w:hanging="114"/>
        <w:rPr>
          <w:sz w:val="13"/>
        </w:rPr>
      </w:pPr>
      <w:bookmarkStart w:id="7" w:name="_bookmark7"/>
      <w:bookmarkEnd w:id="7"/>
      <w:r>
        <w:rPr>
          <w:sz w:val="14"/>
        </w:rPr>
        <w:t>Ins</w:t>
      </w:r>
      <w:r>
        <w:rPr>
          <w:sz w:val="14"/>
        </w:rPr>
        <w:t>tituto Nacional de Estadística e Informática (INEGI) (2015) Encuesta</w:t>
      </w:r>
      <w:r>
        <w:rPr>
          <w:spacing w:val="-1"/>
          <w:sz w:val="14"/>
        </w:rPr>
        <w:t xml:space="preserve"> </w:t>
      </w:r>
      <w:r>
        <w:rPr>
          <w:sz w:val="14"/>
        </w:rPr>
        <w:t>Intercensal.</w:t>
      </w:r>
    </w:p>
    <w:p w:rsidR="00A63476" w:rsidRDefault="00A63476">
      <w:pPr>
        <w:pStyle w:val="Textoindependiente"/>
        <w:spacing w:before="7"/>
        <w:ind w:left="0" w:right="0" w:firstLine="0"/>
        <w:jc w:val="left"/>
        <w:rPr>
          <w:sz w:val="14"/>
        </w:rPr>
      </w:pPr>
    </w:p>
    <w:p w:rsidR="00A63476" w:rsidRDefault="00D22874">
      <w:pPr>
        <w:pStyle w:val="Prrafodelista"/>
        <w:numPr>
          <w:ilvl w:val="0"/>
          <w:numId w:val="58"/>
        </w:numPr>
        <w:tabs>
          <w:tab w:val="left" w:pos="234"/>
        </w:tabs>
        <w:spacing w:before="81"/>
        <w:ind w:left="233" w:hanging="114"/>
        <w:rPr>
          <w:sz w:val="13"/>
        </w:rPr>
      </w:pPr>
      <w:bookmarkStart w:id="8" w:name="_bookmark8"/>
      <w:bookmarkEnd w:id="8"/>
      <w:r>
        <w:rPr>
          <w:sz w:val="14"/>
        </w:rPr>
        <w:t xml:space="preserve">Coneval (2018). Estudio Diagnóstico del derecho a la Vivienda Digna y Decorosa 2018, pág. 67. </w:t>
      </w:r>
      <w:r>
        <w:rPr>
          <w:spacing w:val="-3"/>
          <w:sz w:val="14"/>
        </w:rPr>
        <w:t>Ver</w:t>
      </w:r>
      <w:r>
        <w:rPr>
          <w:spacing w:val="-4"/>
          <w:sz w:val="14"/>
        </w:rPr>
        <w:t xml:space="preserve"> </w:t>
      </w:r>
      <w:hyperlink r:id="rId9">
        <w:r>
          <w:rPr>
            <w:sz w:val="14"/>
          </w:rPr>
          <w:t>www.coneval.org.mc</w:t>
        </w:r>
      </w:hyperlink>
    </w:p>
    <w:p w:rsidR="00A63476" w:rsidRDefault="00A63476">
      <w:pPr>
        <w:pStyle w:val="Textoindependiente"/>
        <w:spacing w:before="6"/>
        <w:ind w:left="0" w:right="0" w:firstLine="0"/>
        <w:jc w:val="left"/>
        <w:rPr>
          <w:sz w:val="14"/>
        </w:rPr>
      </w:pPr>
    </w:p>
    <w:p w:rsidR="00A63476" w:rsidRDefault="00D22874">
      <w:pPr>
        <w:pStyle w:val="Prrafodelista"/>
        <w:numPr>
          <w:ilvl w:val="0"/>
          <w:numId w:val="58"/>
        </w:numPr>
        <w:tabs>
          <w:tab w:val="left" w:pos="234"/>
        </w:tabs>
        <w:spacing w:before="81"/>
        <w:ind w:left="233" w:hanging="114"/>
        <w:rPr>
          <w:sz w:val="13"/>
        </w:rPr>
      </w:pPr>
      <w:bookmarkStart w:id="9" w:name="_bookmark9"/>
      <w:bookmarkEnd w:id="9"/>
      <w:r>
        <w:rPr>
          <w:sz w:val="14"/>
        </w:rPr>
        <w:t>Coalición</w:t>
      </w:r>
      <w:r>
        <w:rPr>
          <w:sz w:val="14"/>
        </w:rPr>
        <w:t xml:space="preserve"> Internacional del Hábitat cit en CONEVAL</w:t>
      </w:r>
      <w:r>
        <w:rPr>
          <w:spacing w:val="-7"/>
          <w:sz w:val="14"/>
        </w:rPr>
        <w:t xml:space="preserve"> </w:t>
      </w:r>
      <w:r>
        <w:rPr>
          <w:sz w:val="14"/>
        </w:rPr>
        <w:t>2018</w:t>
      </w:r>
    </w:p>
    <w:p w:rsidR="00A63476" w:rsidRDefault="00A63476">
      <w:pPr>
        <w:pStyle w:val="Textoindependiente"/>
        <w:spacing w:before="6"/>
        <w:ind w:left="0" w:right="0" w:firstLine="0"/>
        <w:jc w:val="left"/>
        <w:rPr>
          <w:sz w:val="14"/>
        </w:rPr>
      </w:pPr>
    </w:p>
    <w:p w:rsidR="00A63476" w:rsidRDefault="00D22874">
      <w:pPr>
        <w:pStyle w:val="Prrafodelista"/>
        <w:numPr>
          <w:ilvl w:val="0"/>
          <w:numId w:val="58"/>
        </w:numPr>
        <w:tabs>
          <w:tab w:val="left" w:pos="234"/>
        </w:tabs>
        <w:spacing w:before="81"/>
        <w:ind w:left="233" w:hanging="114"/>
        <w:rPr>
          <w:sz w:val="13"/>
        </w:rPr>
      </w:pPr>
      <w:bookmarkStart w:id="10" w:name="_bookmark10"/>
      <w:bookmarkEnd w:id="10"/>
      <w:r>
        <w:rPr>
          <w:sz w:val="14"/>
        </w:rPr>
        <w:t>Coneval. Op. Cit. Pág. 68.</w:t>
      </w:r>
    </w:p>
    <w:p w:rsidR="00A63476" w:rsidRDefault="00A63476">
      <w:pPr>
        <w:pStyle w:val="Textoindependiente"/>
        <w:spacing w:before="7"/>
        <w:ind w:left="0" w:right="0" w:firstLine="0"/>
        <w:jc w:val="left"/>
        <w:rPr>
          <w:sz w:val="14"/>
        </w:rPr>
      </w:pPr>
    </w:p>
    <w:p w:rsidR="00A63476" w:rsidRDefault="00D22874">
      <w:pPr>
        <w:pStyle w:val="Prrafodelista"/>
        <w:numPr>
          <w:ilvl w:val="0"/>
          <w:numId w:val="58"/>
        </w:numPr>
        <w:tabs>
          <w:tab w:val="left" w:pos="234"/>
        </w:tabs>
        <w:spacing w:before="81"/>
        <w:ind w:left="233" w:hanging="114"/>
        <w:rPr>
          <w:sz w:val="13"/>
        </w:rPr>
      </w:pPr>
      <w:bookmarkStart w:id="11" w:name="_bookmark11"/>
      <w:bookmarkEnd w:id="11"/>
      <w:r>
        <w:rPr>
          <w:sz w:val="14"/>
        </w:rPr>
        <w:t>Coneval, Op. Cit. Pág. 68</w:t>
      </w:r>
    </w:p>
    <w:p w:rsidR="00A63476" w:rsidRDefault="00A63476">
      <w:pPr>
        <w:rPr>
          <w:sz w:val="13"/>
        </w:rPr>
        <w:sectPr w:rsidR="00A63476">
          <w:pgSz w:w="12240" w:h="15840"/>
          <w:pgMar w:top="920" w:right="1040" w:bottom="280" w:left="1180" w:header="700" w:footer="0" w:gutter="0"/>
          <w:cols w:space="720"/>
        </w:sectPr>
      </w:pPr>
    </w:p>
    <w:p w:rsidR="00A63476" w:rsidRDefault="00A63476">
      <w:pPr>
        <w:pStyle w:val="Textoindependiente"/>
        <w:spacing w:before="5"/>
        <w:ind w:left="0" w:right="0" w:firstLine="0"/>
        <w:jc w:val="left"/>
        <w:rPr>
          <w:sz w:val="12"/>
        </w:rPr>
      </w:pPr>
    </w:p>
    <w:p w:rsidR="00A63476" w:rsidRDefault="00D22874">
      <w:pPr>
        <w:pStyle w:val="Textoindependiente"/>
        <w:spacing w:before="95" w:line="278" w:lineRule="auto"/>
        <w:ind w:firstLine="0"/>
      </w:pPr>
      <w:r>
        <w:t>Prioridad de atención tendrá la población afectada por los fenómenos naturales o que habitan en situación de riesgo.</w:t>
      </w:r>
    </w:p>
    <w:p w:rsidR="00A63476" w:rsidRDefault="00D22874">
      <w:pPr>
        <w:pStyle w:val="Textoindependiente"/>
        <w:spacing w:before="59" w:line="278" w:lineRule="auto"/>
      </w:pPr>
      <w:r>
        <w:t>El nuevo gobierno de M</w:t>
      </w:r>
      <w:r>
        <w:t xml:space="preserve">éxico busca generar políticas y programas integrales y multisectoriales, por lo que la política habitacional se integrará con otros programas o proyectos federales. Para tales efectos, con la finalidad de establecer una distribución y atención equilibrada </w:t>
      </w:r>
      <w:r>
        <w:t xml:space="preserve">de las acciones de vivienda en todo el territorio nacional, considerando las necesidades y condiciones locales y regionales, así como la focalización </w:t>
      </w:r>
      <w:r>
        <w:rPr>
          <w:spacing w:val="-6"/>
        </w:rPr>
        <w:t xml:space="preserve">de </w:t>
      </w:r>
      <w:r>
        <w:t>prioridades para distribuir el subsidio que otorga la Comisión a través de las diferentes modalidades y</w:t>
      </w:r>
      <w:r>
        <w:t xml:space="preserve"> líneas de apoyo, el Programa de Vivienda Social articula su estrategia a través de dos vertientes de intervención: 1) Producción Social de Vivienda Asistida (que considera cuatro formas de intervención: Vivienda en Zonas Rurales y Urbanas; Vivienda en Zon</w:t>
      </w:r>
      <w:r>
        <w:t xml:space="preserve">as Urbanas Marginadas; Vivienda Afectada por Fenómenos Naturales; </w:t>
      </w:r>
      <w:r>
        <w:rPr>
          <w:spacing w:val="-7"/>
        </w:rPr>
        <w:t xml:space="preserve">y, </w:t>
      </w:r>
      <w:r>
        <w:t xml:space="preserve">Vivienda Ubicada en Proyectos Estratégicos); </w:t>
      </w:r>
      <w:r>
        <w:rPr>
          <w:spacing w:val="-7"/>
        </w:rPr>
        <w:t xml:space="preserve">y, </w:t>
      </w:r>
      <w:r>
        <w:t>2)</w:t>
      </w:r>
      <w:r>
        <w:rPr>
          <w:spacing w:val="4"/>
        </w:rPr>
        <w:t xml:space="preserve"> </w:t>
      </w:r>
      <w:r>
        <w:t>Cofinanciamiento</w:t>
      </w:r>
    </w:p>
    <w:p w:rsidR="00A63476" w:rsidRDefault="00D22874">
      <w:pPr>
        <w:pStyle w:val="Ttulo2"/>
        <w:spacing w:before="59" w:line="302" w:lineRule="auto"/>
        <w:ind w:left="520" w:right="663" w:firstLine="280"/>
      </w:pPr>
      <w:r>
        <w:t xml:space="preserve">Tercera estrategia. Fortalecer e incrementar intervenciones que favorezcan la Producción Social de </w:t>
      </w:r>
      <w:r>
        <w:t>Vivienda Asistida</w:t>
      </w:r>
    </w:p>
    <w:p w:rsidR="00A63476" w:rsidRDefault="00D22874">
      <w:pPr>
        <w:pStyle w:val="Textoindependiente"/>
        <w:spacing w:before="79" w:line="288" w:lineRule="auto"/>
      </w:pPr>
      <w:r>
        <w:t>De acuerdo con lo estipulado en el artículo 5 de la Ley de Vivienda, el Programa de Vivienda Social distingue la vivienda promovida empresa</w:t>
      </w:r>
      <w:r>
        <w:t>rialmente, edificada por un constructor en una oferta de Llave en Mano, y la producida socialmente, construida por la familia mediante autoproducción o autoconstrucción en donde la persona usuaria mantiene el control del proceso. Para apoyar el esfuerzo de</w:t>
      </w:r>
      <w:r>
        <w:t xml:space="preserve"> las familias y mejorar la calidad del parque habitacional de bajos ingresos, que por su carácter progresivo requiere acciones personalizadas, la persona beneficiaria del subsidio contará con asistencia técnica integral que garantice su participación en la</w:t>
      </w:r>
      <w:r>
        <w:t>s decisiones para aprovechar óptimamente sus recursos económicos, sociales y en especie, al mismo tiempo que procure una vivienda con mayor calidad estructural, constructiva y de diseño. El cambio de paradigma es no solamente hacerlo “para ellos” sino hace</w:t>
      </w:r>
      <w:r>
        <w:t>rlo “con ellos” en procesos participativos que propicien una mayor adecuación cultural, en tanto que responda a su interés, usos y costumbres.</w:t>
      </w:r>
    </w:p>
    <w:p w:rsidR="00A63476" w:rsidRDefault="00D22874">
      <w:pPr>
        <w:pStyle w:val="Textoindependiente"/>
        <w:spacing w:before="96" w:line="285" w:lineRule="auto"/>
      </w:pPr>
      <w:r>
        <w:t>Con tales propósitos, las presentes Reglas de Operación se estructuran en cuatro apartados, en el primero se expl</w:t>
      </w:r>
      <w:r>
        <w:t>icitan los conceptos fundamentales en el glosario de términos; en el segundo se explican el objetivo general y los objetivos específicos; en el tercero se establecen los lineamientos generales; y, en el último, la Mecánica de Operación del Programa.</w:t>
      </w:r>
    </w:p>
    <w:p w:rsidR="00A63476" w:rsidRDefault="00D22874">
      <w:pPr>
        <w:pStyle w:val="Ttulo1"/>
        <w:numPr>
          <w:ilvl w:val="0"/>
          <w:numId w:val="60"/>
        </w:numPr>
        <w:tabs>
          <w:tab w:val="left" w:pos="1232"/>
        </w:tabs>
        <w:spacing w:before="115" w:after="15"/>
        <w:jc w:val="both"/>
      </w:pPr>
      <w:r>
        <w:t>Glosar</w:t>
      </w:r>
      <w:r>
        <w:t>io de</w:t>
      </w:r>
      <w:r>
        <w:rPr>
          <w:spacing w:val="-1"/>
        </w:rPr>
        <w:t xml:space="preserve"> </w:t>
      </w:r>
      <w:r>
        <w:t>términos</w:t>
      </w:r>
    </w:p>
    <w:p w:rsidR="00A63476" w:rsidRDefault="00FF0FB3">
      <w:pPr>
        <w:pStyle w:val="Textoindependiente"/>
        <w:spacing w:line="20" w:lineRule="exact"/>
        <w:ind w:left="802" w:right="0" w:firstLine="0"/>
        <w:jc w:val="left"/>
        <w:rPr>
          <w:sz w:val="2"/>
        </w:rPr>
      </w:pPr>
      <w:r>
        <w:rPr>
          <w:noProof/>
          <w:sz w:val="2"/>
        </w:rPr>
        <mc:AlternateContent>
          <mc:Choice Requires="wpg">
            <w:drawing>
              <wp:inline distT="0" distB="0" distL="0" distR="0">
                <wp:extent cx="5431790" cy="6350"/>
                <wp:effectExtent l="10795" t="8890" r="5715" b="3810"/>
                <wp:docPr id="91" name="Group 68"/>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5431790" cy="6350"/>
                          <a:chOff x="0" y="0"/>
                          <a:chExt cx="8554" cy="10"/>
                        </a:xfrm>
                      </wpg:grpSpPr>
                      <wps:wsp>
                        <wps:cNvPr id="92" name="Line 69"/>
                        <wps:cNvCnPr>
                          <a:cxnSpLocks noChangeShapeType="1"/>
                        </wps:cNvCnPr>
                        <wps:spPr bwMode="auto">
                          <a:xfrm>
                            <a:off x="0" y="5"/>
                            <a:ext cx="8554" cy="0"/>
                          </a:xfrm>
                          <a:prstGeom prst="line">
                            <a:avLst/>
                          </a:prstGeom>
                          <a:noFill/>
                          <a:ln w="6350">
                            <a:solidFill>
                              <a:srgbClr val="000000"/>
                            </a:solidFill>
                            <a:prstDash val="solid"/>
                            <a:round/>
                            <a:headEnd/>
                            <a:tailEnd/>
                          </a:ln>
                          <a:extLst>
                            <a:ext uri="{909E8E84-426E-40DD-AFC4-6F175D3DCCD1}">
                              <a14:hiddenFill xmlns:a14="http://schemas.microsoft.com/office/drawing/2010/main">
                                <a:noFill/>
                              </a14:hiddenFill>
                            </a:ext>
                          </a:extLst>
                        </wps:spPr>
                        <wps:bodyPr/>
                      </wps:wsp>
                    </wpg:wgp>
                  </a:graphicData>
                </a:graphic>
              </wp:inline>
            </w:drawing>
          </mc:Choice>
          <mc:Fallback>
            <w:pict>
              <v:group w14:anchorId="0EFFEDAA" id="Group 68" o:spid="_x0000_s1026" style="width:427.7pt;height:.5pt;mso-position-horizontal-relative:char;mso-position-vertical-relative:line" coordsize="8554,1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">
                <v:line id="Line 69" o:spid="_x0000_s1027" style="position:absolute;visibility:visible;mso-wrap-style:square" from="0,5" to="8554,5"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" strokeweight=".5pt"/>
                <w10:anchorlock/>
              </v:group>
            </w:pict>
          </mc:Fallback>
        </mc:AlternateContent>
      </w:r>
    </w:p>
    <w:p w:rsidR="00A63476" w:rsidRDefault="00D22874">
      <w:pPr>
        <w:pStyle w:val="Textoindependiente"/>
        <w:spacing w:before="137" w:line="290" w:lineRule="auto"/>
      </w:pPr>
      <w:r>
        <w:t>Para los efectos de estas Reglas de Operación del Programa de Vivienda Social, se entenderá y utilizará cada uno de los siguientes términos, en singular o plural, según corresp</w:t>
      </w:r>
      <w:r>
        <w:t>onda, con inicial mayúscula o con mayúsculas, como indica su definición.</w:t>
      </w:r>
    </w:p>
    <w:p w:rsidR="00A63476" w:rsidRDefault="00D22874">
      <w:pPr>
        <w:pStyle w:val="Textoindependiente"/>
        <w:spacing w:before="89" w:line="290" w:lineRule="auto"/>
      </w:pPr>
      <w:r>
        <w:rPr>
          <w:b/>
        </w:rPr>
        <w:t xml:space="preserve">Adquisición de vivienda: </w:t>
      </w:r>
      <w:r>
        <w:t>Consiste en la compra de una vivienda nueva o de una vivienda usada en la que la persona beneficiaria del financiamiento y/o subsidio, para su solicitud, acredita mediante la escritura pública correspondiente, la regularidad del inmueble a</w:t>
      </w:r>
      <w:r>
        <w:rPr>
          <w:spacing w:val="-2"/>
        </w:rPr>
        <w:t xml:space="preserve"> </w:t>
      </w:r>
      <w:r>
        <w:t>adquirir.</w:t>
      </w:r>
    </w:p>
    <w:p w:rsidR="00A63476" w:rsidRDefault="00D22874">
      <w:pPr>
        <w:pStyle w:val="Textoindependiente"/>
        <w:spacing w:before="89" w:line="285" w:lineRule="auto"/>
      </w:pPr>
      <w:r>
        <w:rPr>
          <w:b/>
        </w:rPr>
        <w:t>Ahorro</w:t>
      </w:r>
      <w:r>
        <w:rPr>
          <w:b/>
        </w:rPr>
        <w:t xml:space="preserve"> previo: </w:t>
      </w:r>
      <w:r>
        <w:t xml:space="preserve">cantidad en dinero aportado por las personas beneficiarias para que, sumada a los recursos del financiamiento y/o subsidio, sea aplicada a la intervención habitacional. En intervenciones habitacionales correspondientes a: ampliación, mejoramiento </w:t>
      </w:r>
      <w:r>
        <w:t xml:space="preserve">o construcción de vivienda. La mano de obra </w:t>
      </w:r>
      <w:r>
        <w:rPr>
          <w:spacing w:val="-12"/>
        </w:rPr>
        <w:t>y</w:t>
      </w:r>
      <w:r>
        <w:rPr>
          <w:spacing w:val="26"/>
        </w:rPr>
        <w:t xml:space="preserve"> </w:t>
      </w:r>
      <w:r>
        <w:t>la aportación de materiales para la construcción podrán ser consideradas como ahorro</w:t>
      </w:r>
      <w:r>
        <w:rPr>
          <w:spacing w:val="-1"/>
        </w:rPr>
        <w:t xml:space="preserve"> </w:t>
      </w:r>
      <w:r>
        <w:t>previo.</w:t>
      </w:r>
    </w:p>
    <w:p w:rsidR="00A63476" w:rsidRDefault="00D22874">
      <w:pPr>
        <w:pStyle w:val="Textoindependiente"/>
        <w:spacing w:before="114" w:line="278" w:lineRule="auto"/>
        <w:ind w:right="663"/>
      </w:pPr>
      <w:r>
        <w:rPr>
          <w:b/>
        </w:rPr>
        <w:t xml:space="preserve">Ampliación de vivienda: </w:t>
      </w:r>
      <w:r>
        <w:t>Consiste en el incremento de la superficie de construcción habitable de una vivienda edificad</w:t>
      </w:r>
      <w:r>
        <w:t>a con anterioridad, a fin de disminuir el hacinamiento en la vivienda.</w:t>
      </w:r>
    </w:p>
    <w:p w:rsidR="00A63476" w:rsidRDefault="00D22874">
      <w:pPr>
        <w:pStyle w:val="Textoindependiente"/>
        <w:spacing w:before="120" w:line="278" w:lineRule="auto"/>
        <w:ind w:right="663"/>
      </w:pPr>
      <w:r>
        <w:rPr>
          <w:b/>
        </w:rPr>
        <w:t xml:space="preserve">Anexo: </w:t>
      </w:r>
      <w:r>
        <w:t>Documentos adjuntos en los cuales se indican precisiones a los procesos previstos, los cuales forman parte integral de este documento. Los anexos de las presentes Reglas son:</w:t>
      </w:r>
    </w:p>
    <w:p w:rsidR="00A63476" w:rsidRDefault="00D22874">
      <w:pPr>
        <w:pStyle w:val="Prrafodelista"/>
        <w:numPr>
          <w:ilvl w:val="1"/>
          <w:numId w:val="58"/>
        </w:numPr>
        <w:tabs>
          <w:tab w:val="left" w:pos="1219"/>
          <w:tab w:val="left" w:pos="1220"/>
        </w:tabs>
        <w:spacing w:before="68"/>
        <w:jc w:val="left"/>
        <w:rPr>
          <w:sz w:val="18"/>
        </w:rPr>
      </w:pPr>
      <w:r>
        <w:rPr>
          <w:b/>
          <w:sz w:val="18"/>
        </w:rPr>
        <w:t>Ane</w:t>
      </w:r>
      <w:r>
        <w:rPr>
          <w:b/>
          <w:sz w:val="18"/>
        </w:rPr>
        <w:t xml:space="preserve">xo 1: </w:t>
      </w:r>
      <w:r>
        <w:rPr>
          <w:sz w:val="18"/>
        </w:rPr>
        <w:t>Cédula de Información</w:t>
      </w:r>
      <w:r>
        <w:rPr>
          <w:spacing w:val="-1"/>
          <w:sz w:val="18"/>
        </w:rPr>
        <w:t xml:space="preserve"> </w:t>
      </w:r>
      <w:r>
        <w:rPr>
          <w:sz w:val="18"/>
        </w:rPr>
        <w:t>básica.</w:t>
      </w:r>
    </w:p>
    <w:p w:rsidR="00A63476" w:rsidRDefault="00D22874">
      <w:pPr>
        <w:pStyle w:val="Prrafodelista"/>
        <w:numPr>
          <w:ilvl w:val="1"/>
          <w:numId w:val="58"/>
        </w:numPr>
        <w:tabs>
          <w:tab w:val="left" w:pos="1219"/>
          <w:tab w:val="left" w:pos="1220"/>
        </w:tabs>
        <w:jc w:val="left"/>
        <w:rPr>
          <w:sz w:val="18"/>
        </w:rPr>
      </w:pPr>
      <w:r>
        <w:rPr>
          <w:b/>
          <w:sz w:val="18"/>
        </w:rPr>
        <w:t xml:space="preserve">Anexo 2: </w:t>
      </w:r>
      <w:r>
        <w:rPr>
          <w:sz w:val="18"/>
        </w:rPr>
        <w:t>Criterios para la evaluación de Intervención</w:t>
      </w:r>
      <w:r>
        <w:rPr>
          <w:spacing w:val="-2"/>
          <w:sz w:val="18"/>
        </w:rPr>
        <w:t xml:space="preserve"> </w:t>
      </w:r>
      <w:r>
        <w:rPr>
          <w:sz w:val="18"/>
        </w:rPr>
        <w:t>Habitacional.</w:t>
      </w:r>
    </w:p>
    <w:p w:rsidR="00A63476" w:rsidRDefault="00D22874">
      <w:pPr>
        <w:pStyle w:val="Prrafodelista"/>
        <w:numPr>
          <w:ilvl w:val="1"/>
          <w:numId w:val="58"/>
        </w:numPr>
        <w:tabs>
          <w:tab w:val="left" w:pos="1219"/>
          <w:tab w:val="left" w:pos="1220"/>
        </w:tabs>
        <w:jc w:val="left"/>
        <w:rPr>
          <w:sz w:val="18"/>
        </w:rPr>
      </w:pPr>
      <w:r>
        <w:rPr>
          <w:b/>
          <w:sz w:val="18"/>
        </w:rPr>
        <w:t>Anexo 3</w:t>
      </w:r>
      <w:r>
        <w:rPr>
          <w:sz w:val="18"/>
        </w:rPr>
        <w:t>: Diagrama de flujo de atención a solicitantes del</w:t>
      </w:r>
      <w:r>
        <w:rPr>
          <w:spacing w:val="-2"/>
          <w:sz w:val="18"/>
        </w:rPr>
        <w:t xml:space="preserve"> </w:t>
      </w:r>
      <w:r>
        <w:rPr>
          <w:sz w:val="18"/>
        </w:rPr>
        <w:t>Programa.</w:t>
      </w:r>
    </w:p>
    <w:p w:rsidR="00A63476" w:rsidRDefault="00D22874">
      <w:pPr>
        <w:pStyle w:val="Prrafodelista"/>
        <w:numPr>
          <w:ilvl w:val="1"/>
          <w:numId w:val="58"/>
        </w:numPr>
        <w:tabs>
          <w:tab w:val="left" w:pos="1219"/>
          <w:tab w:val="left" w:pos="1220"/>
        </w:tabs>
        <w:spacing w:before="121"/>
        <w:jc w:val="left"/>
        <w:rPr>
          <w:sz w:val="18"/>
        </w:rPr>
      </w:pPr>
      <w:r>
        <w:rPr>
          <w:b/>
          <w:sz w:val="18"/>
        </w:rPr>
        <w:t>Anexo 4</w:t>
      </w:r>
      <w:r>
        <w:rPr>
          <w:sz w:val="18"/>
        </w:rPr>
        <w:t>: Matriz de Indicadores para Resultados</w:t>
      </w:r>
      <w:r>
        <w:rPr>
          <w:spacing w:val="-2"/>
          <w:sz w:val="18"/>
        </w:rPr>
        <w:t xml:space="preserve"> </w:t>
      </w:r>
      <w:r>
        <w:rPr>
          <w:sz w:val="18"/>
        </w:rPr>
        <w:t>2019.</w:t>
      </w:r>
    </w:p>
    <w:p w:rsidR="00A63476" w:rsidRDefault="00D22874">
      <w:pPr>
        <w:pStyle w:val="Prrafodelista"/>
        <w:numPr>
          <w:ilvl w:val="1"/>
          <w:numId w:val="58"/>
        </w:numPr>
        <w:tabs>
          <w:tab w:val="left" w:pos="1219"/>
          <w:tab w:val="left" w:pos="1220"/>
        </w:tabs>
        <w:spacing w:before="100"/>
        <w:jc w:val="left"/>
        <w:rPr>
          <w:sz w:val="18"/>
        </w:rPr>
      </w:pPr>
      <w:r>
        <w:rPr>
          <w:b/>
          <w:sz w:val="18"/>
        </w:rPr>
        <w:t>Anexo 5</w:t>
      </w:r>
      <w:r>
        <w:rPr>
          <w:sz w:val="18"/>
        </w:rPr>
        <w:t>: Solicitud del subsidio</w:t>
      </w:r>
      <w:r>
        <w:rPr>
          <w:spacing w:val="-2"/>
          <w:sz w:val="18"/>
        </w:rPr>
        <w:t xml:space="preserve"> </w:t>
      </w:r>
      <w:r>
        <w:rPr>
          <w:sz w:val="18"/>
        </w:rPr>
        <w:t>federal.</w:t>
      </w:r>
    </w:p>
    <w:p w:rsidR="00A63476" w:rsidRDefault="00D22874">
      <w:pPr>
        <w:pStyle w:val="Prrafodelista"/>
        <w:numPr>
          <w:ilvl w:val="1"/>
          <w:numId w:val="58"/>
        </w:numPr>
        <w:tabs>
          <w:tab w:val="left" w:pos="1219"/>
          <w:tab w:val="left" w:pos="1220"/>
        </w:tabs>
        <w:spacing w:before="121"/>
        <w:jc w:val="left"/>
        <w:rPr>
          <w:sz w:val="18"/>
        </w:rPr>
      </w:pPr>
      <w:r>
        <w:rPr>
          <w:b/>
          <w:sz w:val="18"/>
        </w:rPr>
        <w:t>Anexo 6</w:t>
      </w:r>
      <w:r>
        <w:rPr>
          <w:sz w:val="18"/>
        </w:rPr>
        <w:t>: Certificado de Recepción del</w:t>
      </w:r>
      <w:r>
        <w:rPr>
          <w:spacing w:val="-2"/>
          <w:sz w:val="18"/>
        </w:rPr>
        <w:t xml:space="preserve"> </w:t>
      </w:r>
      <w:r>
        <w:rPr>
          <w:sz w:val="18"/>
        </w:rPr>
        <w:t>Subsidio.</w:t>
      </w:r>
    </w:p>
    <w:p w:rsidR="00A63476" w:rsidRDefault="00A63476">
      <w:pPr>
        <w:rPr>
          <w:sz w:val="18"/>
        </w:rPr>
        <w:sectPr w:rsidR="00A63476">
          <w:pgSz w:w="12240" w:h="15840"/>
          <w:pgMar w:top="920" w:right="1040" w:bottom="280" w:left="1180" w:header="700" w:footer="0" w:gutter="0"/>
          <w:cols w:space="720"/>
        </w:sectPr>
      </w:pPr>
    </w:p>
    <w:p w:rsidR="00A63476" w:rsidRDefault="00A63476">
      <w:pPr>
        <w:pStyle w:val="Textoindependiente"/>
        <w:spacing w:before="10"/>
        <w:ind w:left="0" w:right="0" w:firstLine="0"/>
        <w:jc w:val="left"/>
        <w:rPr>
          <w:sz w:val="13"/>
        </w:rPr>
      </w:pPr>
    </w:p>
    <w:p w:rsidR="00A63476" w:rsidRDefault="00D22874">
      <w:pPr>
        <w:pStyle w:val="Prrafodelista"/>
        <w:numPr>
          <w:ilvl w:val="1"/>
          <w:numId w:val="58"/>
        </w:numPr>
        <w:tabs>
          <w:tab w:val="left" w:pos="1219"/>
          <w:tab w:val="left" w:pos="1220"/>
        </w:tabs>
        <w:spacing w:before="46"/>
        <w:jc w:val="left"/>
        <w:rPr>
          <w:sz w:val="18"/>
        </w:rPr>
      </w:pPr>
      <w:r>
        <w:rPr>
          <w:b/>
          <w:sz w:val="18"/>
        </w:rPr>
        <w:t>Anexo 7</w:t>
      </w:r>
      <w:r>
        <w:rPr>
          <w:sz w:val="18"/>
        </w:rPr>
        <w:t>: Requisitos</w:t>
      </w:r>
      <w:r>
        <w:rPr>
          <w:spacing w:val="-2"/>
          <w:sz w:val="18"/>
        </w:rPr>
        <w:t xml:space="preserve"> </w:t>
      </w:r>
      <w:r>
        <w:rPr>
          <w:sz w:val="18"/>
        </w:rPr>
        <w:t>Generales.</w:t>
      </w:r>
    </w:p>
    <w:p w:rsidR="00A63476" w:rsidRDefault="00D22874">
      <w:pPr>
        <w:pStyle w:val="Textoindependiente"/>
        <w:spacing w:before="133" w:line="285" w:lineRule="auto"/>
      </w:pPr>
      <w:r>
        <w:rPr>
          <w:b/>
        </w:rPr>
        <w:t xml:space="preserve">Aportación: </w:t>
      </w:r>
      <w:r>
        <w:t>para los efectos del artículo 47 de la Ley de Vivienda, es cual</w:t>
      </w:r>
      <w:r>
        <w:t>quier cantidad en dinero, distinta al financiamiento, al subsidio y al ahorro previo a que refieren estas Reglas, así como cualquier bien o servicio a favor de la persona beneficiaria, sin contraprestación y con el carácter de no reembolsable, como complem</w:t>
      </w:r>
      <w:r>
        <w:t>ento de la intervención del Programa.</w:t>
      </w:r>
    </w:p>
    <w:p w:rsidR="00A63476" w:rsidRDefault="00D22874">
      <w:pPr>
        <w:pStyle w:val="Textoindependiente"/>
        <w:spacing w:before="95" w:line="283" w:lineRule="auto"/>
      </w:pPr>
      <w:r>
        <w:rPr>
          <w:b/>
        </w:rPr>
        <w:t>Asistencia técnica: c</w:t>
      </w:r>
      <w:r>
        <w:t>omprende aspectos técnicos, financieros, organizativos, legales y de gestión, adecuados a las características de las familias beneficiarias del programa y atendiendo las condiciones de habitabilida</w:t>
      </w:r>
      <w:r>
        <w:t>d y seguridad estructural. Asesoría calificada en el diseño, presupuesto, materiales, proceso y sistema constructivo, así como la inspección técnica de la construcción con el objeto de elevar la calidad y optimizar los costos en la edificación de las accio</w:t>
      </w:r>
      <w:r>
        <w:t>nes de vivienda, la cual es proporcionada a la población beneficiaria por las personas físicas o morales, acreditadas ante la CONAVI para tal efecto, pudiendo ser organismos ejecutores de obra, productores o desarrolladores sociales de vivienda y prestador</w:t>
      </w:r>
      <w:r>
        <w:t>es de servicios, que gestionan, realizan, asesoran proyectos o acciones de vivienda en forma organizada, planificada y permanente.</w:t>
      </w:r>
    </w:p>
    <w:p w:rsidR="00A63476" w:rsidRDefault="00D22874">
      <w:pPr>
        <w:pStyle w:val="Textoindependiente"/>
        <w:spacing w:before="102" w:line="285" w:lineRule="auto"/>
      </w:pPr>
      <w:r>
        <w:rPr>
          <w:b/>
        </w:rPr>
        <w:t>Autoproducción de vivienda</w:t>
      </w:r>
      <w:r>
        <w:t>: el proceso de gestión de suelo, construcción y distribución de vivienda bajo el control directo d</w:t>
      </w:r>
      <w:r>
        <w:t>e las personas usuarias de forma individual o colectiva, la cual puede desarrollarse mediante la contratación de terceras personas o por medio de procesos de autoconstrucción y preferentemente incluirá atributos de uso eficiente de los recursos naturale</w:t>
      </w:r>
      <w:bookmarkStart w:id="12" w:name="_bookmark12"/>
      <w:bookmarkEnd w:id="12"/>
      <w:r>
        <w:t>s</w:t>
      </w:r>
      <w:hyperlink w:anchor="_bookmark15" w:history="1">
        <w:r>
          <w:rPr>
            <w:position w:val="4"/>
            <w:sz w:val="12"/>
          </w:rPr>
          <w:t>7</w:t>
        </w:r>
      </w:hyperlink>
      <w:r>
        <w:t>.</w:t>
      </w:r>
    </w:p>
    <w:p w:rsidR="00A63476" w:rsidRDefault="00D22874">
      <w:pPr>
        <w:pStyle w:val="Textoindependiente"/>
        <w:spacing w:before="94" w:line="278" w:lineRule="auto"/>
        <w:ind w:right="663"/>
      </w:pPr>
      <w:r>
        <w:rPr>
          <w:b/>
        </w:rPr>
        <w:t>Autoconstrucción de vivienda</w:t>
      </w:r>
      <w:r>
        <w:t>: El proceso de construcción o edificación de la vivienda realizada directamente por sus propios usuarios, en forma individual, familiar o colecti</w:t>
      </w:r>
      <w:bookmarkStart w:id="13" w:name="_bookmark13"/>
      <w:bookmarkEnd w:id="13"/>
      <w:r>
        <w:t>va</w:t>
      </w:r>
      <w:hyperlink w:anchor="_bookmark16" w:history="1">
        <w:r>
          <w:rPr>
            <w:position w:val="4"/>
            <w:sz w:val="12"/>
          </w:rPr>
          <w:t>8</w:t>
        </w:r>
      </w:hyperlink>
      <w:r>
        <w:t>.</w:t>
      </w:r>
    </w:p>
    <w:p w:rsidR="00A63476" w:rsidRDefault="00D22874">
      <w:pPr>
        <w:pStyle w:val="Textoindependiente"/>
        <w:spacing w:before="120" w:line="278" w:lineRule="auto"/>
      </w:pPr>
      <w:r>
        <w:rPr>
          <w:b/>
        </w:rPr>
        <w:t xml:space="preserve">Cargas financieras: </w:t>
      </w:r>
      <w:r>
        <w:t>las obligaciones de pago, en la vertiente de cofinanciamiento, generadas a cargo de la Entidad Ejecutora por la falta de devolución oportuna de los recursos recibidos para su dispersión la persona beneficiaria, las cuales serán determin</w:t>
      </w:r>
      <w:r>
        <w:t xml:space="preserve">adas por la Comisión para su reintegro a la </w:t>
      </w:r>
      <w:r>
        <w:rPr>
          <w:spacing w:val="-3"/>
        </w:rPr>
        <w:t xml:space="preserve">Tesorería </w:t>
      </w:r>
      <w:r>
        <w:t xml:space="preserve">de la Federación, en términos de las disposiciones que emita la propia </w:t>
      </w:r>
      <w:r>
        <w:rPr>
          <w:spacing w:val="-3"/>
        </w:rPr>
        <w:t xml:space="preserve">Tesorería </w:t>
      </w:r>
      <w:r>
        <w:t>para tal</w:t>
      </w:r>
      <w:r>
        <w:rPr>
          <w:spacing w:val="-1"/>
        </w:rPr>
        <w:t xml:space="preserve"> </w:t>
      </w:r>
      <w:r>
        <w:t>efecto.</w:t>
      </w:r>
    </w:p>
    <w:p w:rsidR="00A63476" w:rsidRDefault="00D22874">
      <w:pPr>
        <w:spacing w:before="100" w:line="290" w:lineRule="auto"/>
        <w:ind w:left="520" w:right="655" w:firstLine="280"/>
        <w:jc w:val="both"/>
        <w:rPr>
          <w:sz w:val="18"/>
        </w:rPr>
      </w:pPr>
      <w:r>
        <w:rPr>
          <w:b/>
          <w:sz w:val="18"/>
        </w:rPr>
        <w:t xml:space="preserve">Cédula de Información Socioeconómica (CIS): </w:t>
      </w:r>
      <w:r>
        <w:rPr>
          <w:sz w:val="18"/>
        </w:rPr>
        <w:t xml:space="preserve">formato en el que se recopilan los datos socioeconómicos de </w:t>
      </w:r>
      <w:r>
        <w:rPr>
          <w:sz w:val="18"/>
        </w:rPr>
        <w:t>la persona solicitante del financiamiento y/o subsidio, y las características de la vivienda que ocupa.</w:t>
      </w:r>
    </w:p>
    <w:p w:rsidR="00A63476" w:rsidRDefault="00D22874">
      <w:pPr>
        <w:pStyle w:val="Textoindependiente"/>
        <w:spacing w:before="88" w:line="278" w:lineRule="auto"/>
        <w:ind w:right="663"/>
      </w:pPr>
      <w:r>
        <w:rPr>
          <w:b/>
        </w:rPr>
        <w:t xml:space="preserve">Cofinanciamiento: </w:t>
      </w:r>
      <w:r>
        <w:t>financiamiento otorgado simultáneamente por dos o más fuentes, de las cuales una debe tener la calidad de Entidad Ejecutora.</w:t>
      </w:r>
    </w:p>
    <w:p w:rsidR="00A63476" w:rsidRDefault="00D22874">
      <w:pPr>
        <w:pStyle w:val="Textoindependiente"/>
        <w:spacing w:before="120" w:line="278" w:lineRule="auto"/>
      </w:pPr>
      <w:r>
        <w:rPr>
          <w:b/>
        </w:rPr>
        <w:t xml:space="preserve">Cohesión social: </w:t>
      </w:r>
      <w:r>
        <w:t>es el conjunto de acciones que promueven el desarrollo de las capacidades de la población beneficiaria y que se materializan en procesos participativos de los mismos, para la creación, fortalecimiento y regeneración del tejido social.</w:t>
      </w:r>
    </w:p>
    <w:p w:rsidR="00A63476" w:rsidRDefault="00D22874">
      <w:pPr>
        <w:pStyle w:val="Textoindependiente"/>
        <w:spacing w:before="100" w:line="285" w:lineRule="auto"/>
      </w:pPr>
      <w:r>
        <w:rPr>
          <w:b/>
        </w:rPr>
        <w:t>Comi</w:t>
      </w:r>
      <w:r>
        <w:rPr>
          <w:b/>
        </w:rPr>
        <w:t xml:space="preserve">té de Financiamiento: </w:t>
      </w:r>
      <w:r>
        <w:t>Instancia colegiada que tiene como función autorizar las modalidades de aplicación del subsidio, las líneas y los montos de apoyo establecidos en las Reglas de Operación, con base en la evaluación de la viabilidad técnica, financiera,</w:t>
      </w:r>
      <w:r>
        <w:t xml:space="preserve"> jurídica y social de cada intervención para la operación del Programa.</w:t>
      </w:r>
    </w:p>
    <w:p w:rsidR="00A63476" w:rsidRDefault="00D22874">
      <w:pPr>
        <w:pStyle w:val="Textoindependiente"/>
        <w:spacing w:before="95" w:line="285" w:lineRule="auto"/>
      </w:pPr>
      <w:r>
        <w:rPr>
          <w:b/>
        </w:rPr>
        <w:t>Comité de Evaluación Técnica</w:t>
      </w:r>
      <w:r>
        <w:t>: Instancia colegiada que tiene la facultad de integrar el padrón de profesionales y empresas que participan en todas las obras y proyectos que sean financi</w:t>
      </w:r>
      <w:r>
        <w:t xml:space="preserve">ados con recursos  del Programa: evaluación y acreditación de la asistencia técnica, empresas constructoras; de </w:t>
      </w:r>
      <w:r>
        <w:rPr>
          <w:spacing w:val="-2"/>
        </w:rPr>
        <w:t xml:space="preserve">supervisión; </w:t>
      </w:r>
      <w:r>
        <w:t xml:space="preserve">diseñadores; </w:t>
      </w:r>
      <w:r>
        <w:rPr>
          <w:spacing w:val="-7"/>
        </w:rPr>
        <w:t xml:space="preserve">y, </w:t>
      </w:r>
      <w:r>
        <w:t>laboratorios de control de calidad de</w:t>
      </w:r>
      <w:r>
        <w:rPr>
          <w:spacing w:val="5"/>
        </w:rPr>
        <w:t xml:space="preserve"> </w:t>
      </w:r>
      <w:r>
        <w:t>materiales.</w:t>
      </w:r>
    </w:p>
    <w:p w:rsidR="00A63476" w:rsidRDefault="00D22874">
      <w:pPr>
        <w:spacing w:before="94"/>
        <w:ind w:left="800"/>
        <w:jc w:val="both"/>
        <w:rPr>
          <w:sz w:val="18"/>
        </w:rPr>
      </w:pPr>
      <w:r>
        <w:rPr>
          <w:b/>
          <w:sz w:val="18"/>
        </w:rPr>
        <w:t xml:space="preserve">Comisión: </w:t>
      </w:r>
      <w:r>
        <w:rPr>
          <w:sz w:val="18"/>
        </w:rPr>
        <w:t>la Comisión Nacional de Vivienda</w:t>
      </w:r>
      <w:bookmarkStart w:id="14" w:name="_bookmark14"/>
      <w:bookmarkEnd w:id="14"/>
      <w:r>
        <w:fldChar w:fldCharType="begin"/>
      </w:r>
      <w:r>
        <w:instrText xml:space="preserve"> HYPERLINK \l "_bookm</w:instrText>
      </w:r>
      <w:r>
        <w:instrText xml:space="preserve">ark17" </w:instrText>
      </w:r>
      <w:r>
        <w:fldChar w:fldCharType="separate"/>
      </w:r>
      <w:r>
        <w:rPr>
          <w:position w:val="4"/>
          <w:sz w:val="12"/>
        </w:rPr>
        <w:t>9</w:t>
      </w:r>
      <w:r>
        <w:rPr>
          <w:position w:val="4"/>
          <w:sz w:val="12"/>
        </w:rPr>
        <w:fldChar w:fldCharType="end"/>
      </w:r>
      <w:r>
        <w:rPr>
          <w:sz w:val="18"/>
        </w:rPr>
        <w:t>.</w:t>
      </w:r>
    </w:p>
    <w:p w:rsidR="00A63476" w:rsidRDefault="00D22874">
      <w:pPr>
        <w:pStyle w:val="Textoindependiente"/>
        <w:spacing w:before="133"/>
        <w:ind w:left="800" w:right="0" w:firstLine="0"/>
      </w:pPr>
      <w:r>
        <w:rPr>
          <w:b/>
        </w:rPr>
        <w:t xml:space="preserve">CONAVI: </w:t>
      </w:r>
      <w:r>
        <w:t>la Comisión Nacional de Vivienda.</w:t>
      </w:r>
    </w:p>
    <w:p w:rsidR="00A63476" w:rsidRDefault="00A63476">
      <w:pPr>
        <w:pStyle w:val="Textoindependiente"/>
        <w:ind w:left="0" w:right="0" w:firstLine="0"/>
        <w:jc w:val="left"/>
        <w:rPr>
          <w:sz w:val="20"/>
        </w:rPr>
      </w:pPr>
    </w:p>
    <w:p w:rsidR="00A63476" w:rsidRDefault="00FF0FB3">
      <w:pPr>
        <w:pStyle w:val="Textoindependiente"/>
        <w:spacing w:before="9"/>
        <w:ind w:left="0" w:right="0" w:firstLine="0"/>
        <w:jc w:val="left"/>
        <w:rPr>
          <w:sz w:val="19"/>
        </w:rPr>
      </w:pPr>
      <w:r>
        <w:rPr>
          <w:noProof/>
        </w:rPr>
        <mc:AlternateContent>
          <mc:Choice Requires="wps">
            <w:drawing>
              <wp:anchor distT="0" distB="0" distL="0" distR="0" simplePos="0" relativeHeight="487590400" behindDoc="1" locked="0" layoutInCell="1" allowOverlap="1">
                <wp:simplePos x="0" y="0"/>
                <wp:positionH relativeFrom="page">
                  <wp:posOffset>822960</wp:posOffset>
                </wp:positionH>
                <wp:positionV relativeFrom="paragraph">
                  <wp:posOffset>169545</wp:posOffset>
                </wp:positionV>
                <wp:extent cx="1270000" cy="6350"/>
                <wp:effectExtent l="0" t="0" r="0" b="0"/>
                <wp:wrapTopAndBottom/>
                <wp:docPr id="90" name="Rectangle 67"/>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270000" cy="6350"/>
                        </a:xfrm>
                        <a:prstGeom prst="rect">
                          <a:avLst/>
                        </a:prstGeom>
                        <a:solidFill>
                          <a:srgbClr val="60606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16E4CC1B" id="Rectangle 67" o:spid="_x0000_s1026" style="position:absolute;margin-left:64.8pt;margin-top:13.35pt;width:100pt;height:.5pt;z-index:-15726080;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" fillcolor="#606060" stroked="f">
                <w10:wrap type="topAndBottom" anchorx="page"/>
              </v:rect>
            </w:pict>
          </mc:Fallback>
        </mc:AlternateContent>
      </w:r>
    </w:p>
    <w:p w:rsidR="00A63476" w:rsidRDefault="00D22874">
      <w:pPr>
        <w:pStyle w:val="Prrafodelista"/>
        <w:numPr>
          <w:ilvl w:val="0"/>
          <w:numId w:val="58"/>
        </w:numPr>
        <w:tabs>
          <w:tab w:val="left" w:pos="232"/>
        </w:tabs>
        <w:spacing w:before="157"/>
        <w:ind w:left="231" w:hanging="112"/>
        <w:rPr>
          <w:rFonts w:ascii="Times New Roman" w:hAnsi="Times New Roman"/>
          <w:sz w:val="16"/>
        </w:rPr>
      </w:pPr>
      <w:bookmarkStart w:id="15" w:name="_bookmark15"/>
      <w:bookmarkEnd w:id="15"/>
      <w:r>
        <w:rPr>
          <w:sz w:val="14"/>
        </w:rPr>
        <w:t>Artículo 4to, parágrafo I de la Ley de Vivienda. H. Cámara de Diputados. Disponible en</w:t>
      </w:r>
      <w:r>
        <w:rPr>
          <w:spacing w:val="-16"/>
          <w:sz w:val="14"/>
        </w:rPr>
        <w:t xml:space="preserve"> </w:t>
      </w:r>
      <w:hyperlink r:id="rId10">
        <w:r>
          <w:rPr>
            <w:sz w:val="14"/>
          </w:rPr>
          <w:t>http://www.diputados.gob.mx/LeyesB</w:t>
        </w:r>
        <w:r>
          <w:rPr>
            <w:sz w:val="14"/>
          </w:rPr>
          <w:t>iblio/pdf/LViv_230617.pdf</w:t>
        </w:r>
      </w:hyperlink>
    </w:p>
    <w:p w:rsidR="00A63476" w:rsidRDefault="00A63476">
      <w:pPr>
        <w:pStyle w:val="Textoindependiente"/>
        <w:spacing w:before="9"/>
        <w:ind w:left="0" w:right="0" w:firstLine="0"/>
        <w:jc w:val="left"/>
        <w:rPr>
          <w:sz w:val="12"/>
        </w:rPr>
      </w:pPr>
    </w:p>
    <w:p w:rsidR="00A63476" w:rsidRDefault="00D22874">
      <w:pPr>
        <w:pStyle w:val="Prrafodelista"/>
        <w:numPr>
          <w:ilvl w:val="0"/>
          <w:numId w:val="58"/>
        </w:numPr>
        <w:tabs>
          <w:tab w:val="left" w:pos="232"/>
        </w:tabs>
        <w:spacing w:before="94"/>
        <w:ind w:left="231" w:hanging="112"/>
        <w:rPr>
          <w:rFonts w:ascii="Times New Roman" w:hAnsi="Times New Roman"/>
          <w:i/>
          <w:sz w:val="16"/>
        </w:rPr>
      </w:pPr>
      <w:bookmarkStart w:id="16" w:name="_bookmark16"/>
      <w:bookmarkEnd w:id="16"/>
      <w:r>
        <w:rPr>
          <w:sz w:val="14"/>
        </w:rPr>
        <w:t xml:space="preserve">Artículo 4to, parágrafo II de la Ley de Vivienda. </w:t>
      </w:r>
      <w:r>
        <w:rPr>
          <w:i/>
          <w:sz w:val="14"/>
        </w:rPr>
        <w:t>Op</w:t>
      </w:r>
      <w:r>
        <w:rPr>
          <w:i/>
          <w:spacing w:val="-2"/>
          <w:sz w:val="14"/>
        </w:rPr>
        <w:t xml:space="preserve"> </w:t>
      </w:r>
      <w:r>
        <w:rPr>
          <w:i/>
          <w:sz w:val="14"/>
        </w:rPr>
        <w:t>cit.</w:t>
      </w:r>
    </w:p>
    <w:p w:rsidR="00A63476" w:rsidRDefault="00A63476">
      <w:pPr>
        <w:pStyle w:val="Textoindependiente"/>
        <w:spacing w:before="6"/>
        <w:ind w:left="0" w:right="0" w:firstLine="0"/>
        <w:jc w:val="left"/>
        <w:rPr>
          <w:i/>
          <w:sz w:val="14"/>
        </w:rPr>
      </w:pPr>
    </w:p>
    <w:p w:rsidR="00A63476" w:rsidRDefault="00D22874">
      <w:pPr>
        <w:pStyle w:val="Prrafodelista"/>
        <w:numPr>
          <w:ilvl w:val="0"/>
          <w:numId w:val="58"/>
        </w:numPr>
        <w:tabs>
          <w:tab w:val="left" w:pos="232"/>
        </w:tabs>
        <w:spacing w:before="94"/>
        <w:ind w:left="231" w:hanging="112"/>
        <w:rPr>
          <w:rFonts w:ascii="Times New Roman" w:hAnsi="Times New Roman"/>
          <w:i/>
          <w:sz w:val="16"/>
        </w:rPr>
      </w:pPr>
      <w:bookmarkStart w:id="17" w:name="_bookmark17"/>
      <w:bookmarkEnd w:id="17"/>
      <w:r>
        <w:rPr>
          <w:sz w:val="14"/>
        </w:rPr>
        <w:t xml:space="preserve">Artículo 4to, parágrafo VI de la Ley de Vivienda. </w:t>
      </w:r>
      <w:r>
        <w:rPr>
          <w:i/>
          <w:sz w:val="14"/>
        </w:rPr>
        <w:t>Op</w:t>
      </w:r>
      <w:r>
        <w:rPr>
          <w:i/>
          <w:spacing w:val="-3"/>
          <w:sz w:val="14"/>
        </w:rPr>
        <w:t xml:space="preserve"> </w:t>
      </w:r>
      <w:r>
        <w:rPr>
          <w:i/>
          <w:sz w:val="14"/>
        </w:rPr>
        <w:t>cit.</w:t>
      </w:r>
    </w:p>
    <w:p w:rsidR="00A63476" w:rsidRDefault="00A63476">
      <w:pPr>
        <w:rPr>
          <w:rFonts w:ascii="Times New Roman" w:hAnsi="Times New Roman"/>
          <w:sz w:val="16"/>
        </w:rPr>
        <w:sectPr w:rsidR="00A63476">
          <w:pgSz w:w="12240" w:h="15840"/>
          <w:pgMar w:top="920" w:right="1040" w:bottom="280" w:left="1180" w:header="700" w:footer="0" w:gutter="0"/>
          <w:cols w:space="720"/>
        </w:sectPr>
      </w:pPr>
    </w:p>
    <w:p w:rsidR="00A63476" w:rsidRDefault="00A63476">
      <w:pPr>
        <w:pStyle w:val="Textoindependiente"/>
        <w:spacing w:before="5"/>
        <w:ind w:left="0" w:right="0" w:firstLine="0"/>
        <w:jc w:val="left"/>
        <w:rPr>
          <w:i/>
          <w:sz w:val="12"/>
        </w:rPr>
      </w:pPr>
    </w:p>
    <w:p w:rsidR="00A63476" w:rsidRDefault="00D22874">
      <w:pPr>
        <w:pStyle w:val="Textoindependiente"/>
        <w:spacing w:before="95" w:line="290" w:lineRule="auto"/>
      </w:pPr>
      <w:r>
        <w:rPr>
          <w:b/>
        </w:rPr>
        <w:t xml:space="preserve">Condiciones de habitabilidad: </w:t>
      </w:r>
      <w:r>
        <w:t>Son los elementos que contribuyen al ejercicio efectivo del derecho a la ciudad y a mejorar la calidad de vida de la población, fomentando la apropiación del espacio y la participación ciudadana desde los siguientes niveles básicos:</w:t>
      </w:r>
    </w:p>
    <w:p w:rsidR="00A63476" w:rsidRDefault="00D22874">
      <w:pPr>
        <w:pStyle w:val="Prrafodelista"/>
        <w:numPr>
          <w:ilvl w:val="0"/>
          <w:numId w:val="57"/>
        </w:numPr>
        <w:tabs>
          <w:tab w:val="left" w:pos="1002"/>
        </w:tabs>
        <w:spacing w:before="88" w:line="278" w:lineRule="auto"/>
        <w:ind w:right="663" w:firstLine="280"/>
        <w:jc w:val="both"/>
        <w:rPr>
          <w:sz w:val="18"/>
        </w:rPr>
      </w:pPr>
      <w:r>
        <w:rPr>
          <w:sz w:val="18"/>
        </w:rPr>
        <w:t xml:space="preserve">Vivienda: Se refiere a </w:t>
      </w:r>
      <w:r>
        <w:rPr>
          <w:sz w:val="18"/>
        </w:rPr>
        <w:t>la certeza jurídica y a las características del material y los espacios de la vivienda, así como la infraestructura para acceder a los servicios básicos, definido por el CONEVAL,</w:t>
      </w:r>
      <w:r>
        <w:rPr>
          <w:spacing w:val="-9"/>
          <w:sz w:val="18"/>
        </w:rPr>
        <w:t xml:space="preserve"> </w:t>
      </w:r>
      <w:r>
        <w:rPr>
          <w:sz w:val="18"/>
        </w:rPr>
        <w:t>y</w:t>
      </w:r>
    </w:p>
    <w:p w:rsidR="00A63476" w:rsidRDefault="00D22874">
      <w:pPr>
        <w:pStyle w:val="Prrafodelista"/>
        <w:numPr>
          <w:ilvl w:val="0"/>
          <w:numId w:val="57"/>
        </w:numPr>
        <w:tabs>
          <w:tab w:val="left" w:pos="1073"/>
        </w:tabs>
        <w:spacing w:before="100" w:line="290" w:lineRule="auto"/>
        <w:ind w:right="655" w:firstLine="280"/>
        <w:jc w:val="both"/>
        <w:rPr>
          <w:sz w:val="18"/>
        </w:rPr>
      </w:pPr>
      <w:r>
        <w:rPr>
          <w:sz w:val="18"/>
        </w:rPr>
        <w:t>Urbano: Que considera la relación entre las viviendas con el entorno físico</w:t>
      </w:r>
      <w:r>
        <w:rPr>
          <w:sz w:val="18"/>
        </w:rPr>
        <w:t xml:space="preserve"> inmediato, cuyos componentes son infraestructura básica, complementaria, equipamiento urbano, espacios públicos, elementos ambientales y ordenamiento del paisaje urbano, conectividad y</w:t>
      </w:r>
      <w:r>
        <w:rPr>
          <w:spacing w:val="-2"/>
          <w:sz w:val="18"/>
        </w:rPr>
        <w:t xml:space="preserve"> </w:t>
      </w:r>
      <w:r>
        <w:rPr>
          <w:sz w:val="18"/>
        </w:rPr>
        <w:t>movilidad;</w:t>
      </w:r>
    </w:p>
    <w:p w:rsidR="00A63476" w:rsidRDefault="00D22874">
      <w:pPr>
        <w:pStyle w:val="Textoindependiente"/>
        <w:spacing w:before="109" w:line="290" w:lineRule="auto"/>
      </w:pPr>
      <w:r>
        <w:rPr>
          <w:b/>
        </w:rPr>
        <w:t>Conjunto Habitacional</w:t>
      </w:r>
      <w:r>
        <w:t>: Grupo de viviendas planificado y dis</w:t>
      </w:r>
      <w:r>
        <w:t xml:space="preserve">puesto en forma integral, con la dotación e instalación necesaria y adecuada de los servicios urbanos: vialidad, infraestructura, espacios verdes </w:t>
      </w:r>
      <w:r>
        <w:rPr>
          <w:spacing w:val="-11"/>
        </w:rPr>
        <w:t xml:space="preserve">o </w:t>
      </w:r>
      <w:r>
        <w:t>abiertos, educación, comercio, servicios asistenciales y de</w:t>
      </w:r>
      <w:r>
        <w:rPr>
          <w:spacing w:val="-4"/>
        </w:rPr>
        <w:t xml:space="preserve"> </w:t>
      </w:r>
      <w:r>
        <w:t>salu</w:t>
      </w:r>
      <w:bookmarkStart w:id="18" w:name="_bookmark18"/>
      <w:bookmarkEnd w:id="18"/>
      <w:r>
        <w:t>d</w:t>
      </w:r>
      <w:hyperlink w:anchor="_bookmark20" w:history="1">
        <w:r>
          <w:rPr>
            <w:position w:val="4"/>
            <w:sz w:val="12"/>
          </w:rPr>
          <w:t>10</w:t>
        </w:r>
      </w:hyperlink>
      <w:r>
        <w:t>.</w:t>
      </w:r>
    </w:p>
    <w:p w:rsidR="00A63476" w:rsidRDefault="00D22874">
      <w:pPr>
        <w:pStyle w:val="Textoindependiente"/>
        <w:spacing w:before="108"/>
        <w:ind w:left="800" w:right="0" w:firstLine="0"/>
      </w:pPr>
      <w:r>
        <w:rPr>
          <w:b/>
        </w:rPr>
        <w:t>CONEVAL:</w:t>
      </w:r>
      <w:r>
        <w:rPr>
          <w:b/>
        </w:rPr>
        <w:t xml:space="preserve"> </w:t>
      </w:r>
      <w:r>
        <w:t>Consejo Nacional de Evaluación de la Política de Desarrollo Social.</w:t>
      </w:r>
    </w:p>
    <w:p w:rsidR="00A63476" w:rsidRDefault="00D22874">
      <w:pPr>
        <w:pStyle w:val="Textoindependiente"/>
        <w:spacing w:before="153" w:line="290" w:lineRule="auto"/>
      </w:pPr>
      <w:r>
        <w:rPr>
          <w:b/>
        </w:rPr>
        <w:t>Contraloría Social</w:t>
      </w:r>
      <w:r>
        <w:t xml:space="preserve">: mecanismo de las personas beneficiarias, de manera organizada, para verificar el cumplimiento de las metas y la correcta aplicación de los recursos públicos asignados </w:t>
      </w:r>
      <w:r>
        <w:t>a los programas de desarrollo socia</w:t>
      </w:r>
      <w:bookmarkStart w:id="19" w:name="_bookmark19"/>
      <w:bookmarkEnd w:id="19"/>
      <w:r>
        <w:t>l</w:t>
      </w:r>
      <w:hyperlink w:anchor="_bookmark21" w:history="1">
        <w:r>
          <w:rPr>
            <w:position w:val="4"/>
            <w:sz w:val="12"/>
          </w:rPr>
          <w:t>11</w:t>
        </w:r>
      </w:hyperlink>
      <w:r>
        <w:t>.</w:t>
      </w:r>
    </w:p>
    <w:p w:rsidR="00A63476" w:rsidRDefault="00D22874">
      <w:pPr>
        <w:pStyle w:val="Textoindependiente"/>
        <w:spacing w:before="109" w:line="297" w:lineRule="auto"/>
      </w:pPr>
      <w:r>
        <w:rPr>
          <w:b/>
        </w:rPr>
        <w:t xml:space="preserve">Convenio de Adhesión: </w:t>
      </w:r>
      <w:r>
        <w:t>Acuerdo de voluntades entre la Comisión con cada uno de los siguientes</w:t>
      </w:r>
      <w:r>
        <w:rPr>
          <w:spacing w:val="-25"/>
        </w:rPr>
        <w:t xml:space="preserve"> </w:t>
      </w:r>
      <w:r>
        <w:t>actores: la Entidad Ejecutora; la persona beneficiaria; los profesionales que brindan asiste</w:t>
      </w:r>
      <w:r>
        <w:t xml:space="preserve">ncia técnica; </w:t>
      </w:r>
      <w:r>
        <w:rPr>
          <w:spacing w:val="-7"/>
        </w:rPr>
        <w:t xml:space="preserve">y, </w:t>
      </w:r>
      <w:r>
        <w:t xml:space="preserve">los ejecutores de obra; </w:t>
      </w:r>
      <w:r>
        <w:rPr>
          <w:spacing w:val="-7"/>
        </w:rPr>
        <w:t xml:space="preserve">y, </w:t>
      </w:r>
      <w:r>
        <w:t>Organismos Estatales de Vivienda, cuya finalidad es establecer los compromisos y procedimientos que defina la Comisión, cuyo cumplimiento por los segundos será condición indispensable para la aplicación de recurs</w:t>
      </w:r>
      <w:r>
        <w:t>os federales destinados al otorgamiento del subsidio. El convenio puede consultarse en la página electrónica</w:t>
      </w:r>
      <w:r>
        <w:rPr>
          <w:spacing w:val="-2"/>
        </w:rPr>
        <w:t xml:space="preserve"> </w:t>
      </w:r>
      <w:hyperlink r:id="rId11">
        <w:r>
          <w:rPr>
            <w:u w:val="single"/>
          </w:rPr>
          <w:t>www.gob.mx/conav</w:t>
        </w:r>
        <w:r>
          <w:t>i</w:t>
        </w:r>
      </w:hyperlink>
    </w:p>
    <w:p w:rsidR="00A63476" w:rsidRDefault="00D22874">
      <w:pPr>
        <w:pStyle w:val="Textoindependiente"/>
        <w:spacing w:before="100" w:line="302" w:lineRule="auto"/>
      </w:pPr>
      <w:r>
        <w:rPr>
          <w:b/>
        </w:rPr>
        <w:t xml:space="preserve">Convenio de Colaboración: </w:t>
      </w:r>
      <w:r>
        <w:t>acuerdo de voluntades entre la Comisión y entidades del sec</w:t>
      </w:r>
      <w:r>
        <w:t xml:space="preserve">tor público o privado que tiene por objeto establecer los compromisos y procedimientos para la aplicación de recursos federales destinados al otorgamiento del subsidio, el cual está disponible para consulta en la </w:t>
      </w:r>
      <w:r>
        <w:rPr>
          <w:spacing w:val="-3"/>
        </w:rPr>
        <w:t xml:space="preserve">página </w:t>
      </w:r>
      <w:r>
        <w:t>electrónica</w:t>
      </w:r>
      <w:r>
        <w:rPr>
          <w:spacing w:val="-2"/>
        </w:rPr>
        <w:t xml:space="preserve"> </w:t>
      </w:r>
      <w:hyperlink r:id="rId12">
        <w:r>
          <w:rPr>
            <w:u w:val="single"/>
          </w:rPr>
          <w:t>www.gob.mx/conav</w:t>
        </w:r>
        <w:r>
          <w:t>i</w:t>
        </w:r>
      </w:hyperlink>
    </w:p>
    <w:p w:rsidR="00A63476" w:rsidRDefault="00D22874">
      <w:pPr>
        <w:pStyle w:val="Textoindependiente"/>
        <w:spacing w:before="77" w:line="302" w:lineRule="auto"/>
      </w:pPr>
      <w:r>
        <w:rPr>
          <w:b/>
        </w:rPr>
        <w:t xml:space="preserve">Convenio de Coordinación: </w:t>
      </w:r>
      <w:r>
        <w:t>Acuerdo de voluntades entre la Comisión y las entidades gubernamentales federales, estatales o municipales que tiene por objeto establecer los compromisos y procedimiento</w:t>
      </w:r>
      <w:r>
        <w:t>s para la aplicación de recursos en materia habitacional.</w:t>
      </w:r>
    </w:p>
    <w:p w:rsidR="00A63476" w:rsidRDefault="00D22874">
      <w:pPr>
        <w:pStyle w:val="Textoindependiente"/>
        <w:spacing w:before="97" w:line="302" w:lineRule="auto"/>
        <w:ind w:right="663"/>
      </w:pPr>
      <w:r>
        <w:rPr>
          <w:b/>
        </w:rPr>
        <w:t xml:space="preserve">Copropiedad: </w:t>
      </w:r>
      <w:r>
        <w:t>figura jurídica regulada en el artículo 938 del Código Civil Federal, en la que dos o más personas son propietarios de un mismo objeto o un mismo derecho.</w:t>
      </w:r>
    </w:p>
    <w:p w:rsidR="00A63476" w:rsidRDefault="00D22874">
      <w:pPr>
        <w:pStyle w:val="Textoindependiente"/>
        <w:spacing w:before="99" w:line="278" w:lineRule="auto"/>
        <w:ind w:right="663"/>
      </w:pPr>
      <w:r>
        <w:rPr>
          <w:b/>
        </w:rPr>
        <w:t xml:space="preserve">Crédito: </w:t>
      </w:r>
      <w:r>
        <w:t xml:space="preserve">cantidad de dinero de carácter recuperable que recibe una persona beneficiaria, que </w:t>
      </w:r>
      <w:r>
        <w:rPr>
          <w:spacing w:val="-8"/>
        </w:rPr>
        <w:t xml:space="preserve">ha </w:t>
      </w:r>
      <w:r>
        <w:t>satisfecho los requisitos y criterios de selección de la entidad que lo</w:t>
      </w:r>
      <w:r>
        <w:rPr>
          <w:spacing w:val="-1"/>
        </w:rPr>
        <w:t xml:space="preserve"> </w:t>
      </w:r>
      <w:r>
        <w:t>otorga.</w:t>
      </w:r>
    </w:p>
    <w:p w:rsidR="00A63476" w:rsidRDefault="00D22874">
      <w:pPr>
        <w:pStyle w:val="Textoindependiente"/>
        <w:spacing w:before="120"/>
        <w:ind w:left="800" w:right="0" w:firstLine="0"/>
      </w:pPr>
      <w:r>
        <w:rPr>
          <w:b/>
        </w:rPr>
        <w:t xml:space="preserve">CURP: </w:t>
      </w:r>
      <w:r>
        <w:t>Clave Única de Registro de Población.</w:t>
      </w:r>
    </w:p>
    <w:p w:rsidR="00A63476" w:rsidRDefault="00D22874">
      <w:pPr>
        <w:pStyle w:val="Textoindependiente"/>
        <w:spacing w:before="153" w:line="295" w:lineRule="auto"/>
      </w:pPr>
      <w:r>
        <w:rPr>
          <w:b/>
        </w:rPr>
        <w:t xml:space="preserve">Desarrollador social de vivienda: </w:t>
      </w:r>
      <w:r>
        <w:t>son aquella</w:t>
      </w:r>
      <w:r>
        <w:t>s entidades o empresas sociales acreditadas ante la Comisión, susceptible de constituirse en Organismo Ejecutor de Obra, que gestionan, realizan, asesoran y financian programas, proyectos o acciones mediante la producción social asistida de vivienda en for</w:t>
      </w:r>
      <w:r>
        <w:t>ma organizada, planificada y permanente, acompañada siempre de asistencia técnica, propiciando la participación social de la persona beneficiaria.</w:t>
      </w:r>
    </w:p>
    <w:p w:rsidR="00A63476" w:rsidRDefault="00D22874">
      <w:pPr>
        <w:pStyle w:val="Textoindependiente"/>
        <w:spacing w:before="107" w:line="292" w:lineRule="auto"/>
      </w:pPr>
      <w:r>
        <w:rPr>
          <w:b/>
        </w:rPr>
        <w:t>Director Responsable de Obra (DRO) o Perito</w:t>
      </w:r>
      <w:r>
        <w:t>: es un profesional independiente, legalmente reconocido por la au</w:t>
      </w:r>
      <w:r>
        <w:t>toridad estatal o municipal, que se constituye como auxiliar de la Administración Pública, quien, de conformidad con la legislación correspondiente, está facultado para emitir dictámenes en materia de seguridad estructural y ser el principal responsable de</w:t>
      </w:r>
      <w:r>
        <w:t xml:space="preserve"> que se atiendan los reglamentos y las normas técnicas durante</w:t>
      </w:r>
    </w:p>
    <w:p w:rsidR="00A63476" w:rsidRDefault="00A63476">
      <w:pPr>
        <w:pStyle w:val="Textoindependiente"/>
        <w:ind w:left="0" w:right="0" w:firstLine="0"/>
        <w:jc w:val="left"/>
        <w:rPr>
          <w:sz w:val="20"/>
        </w:rPr>
      </w:pPr>
    </w:p>
    <w:p w:rsidR="00A63476" w:rsidRDefault="00FF0FB3">
      <w:pPr>
        <w:pStyle w:val="Textoindependiente"/>
        <w:spacing w:before="10"/>
        <w:ind w:left="0" w:right="0" w:firstLine="0"/>
        <w:jc w:val="left"/>
        <w:rPr>
          <w:sz w:val="16"/>
        </w:rPr>
      </w:pPr>
      <w:r>
        <w:rPr>
          <w:noProof/>
        </w:rPr>
        <mc:AlternateContent>
          <mc:Choice Requires="wps">
            <w:drawing>
              <wp:anchor distT="0" distB="0" distL="0" distR="0" simplePos="0" relativeHeight="487590912" behindDoc="1" locked="0" layoutInCell="1" allowOverlap="1">
                <wp:simplePos x="0" y="0"/>
                <wp:positionH relativeFrom="page">
                  <wp:posOffset>822960</wp:posOffset>
                </wp:positionH>
                <wp:positionV relativeFrom="paragraph">
                  <wp:posOffset>147955</wp:posOffset>
                </wp:positionV>
                <wp:extent cx="1270000" cy="6350"/>
                <wp:effectExtent l="0" t="0" r="0" b="0"/>
                <wp:wrapTopAndBottom/>
                <wp:docPr id="89" name="Rectangle 6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270000" cy="6350"/>
                        </a:xfrm>
                        <a:prstGeom prst="rect">
                          <a:avLst/>
                        </a:prstGeom>
                        <a:solidFill>
                          <a:srgbClr val="60606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18E02F98" id="Rectangle 66" o:spid="_x0000_s1026" style="position:absolute;margin-left:64.8pt;margin-top:11.65pt;width:100pt;height:.5pt;z-index:-15725568;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" fillcolor="#606060" stroked="f">
                <w10:wrap type="topAndBottom" anchorx="page"/>
              </v:rect>
            </w:pict>
          </mc:Fallback>
        </mc:AlternateContent>
      </w:r>
    </w:p>
    <w:p w:rsidR="00A63476" w:rsidRDefault="00D22874">
      <w:pPr>
        <w:pStyle w:val="Prrafodelista"/>
        <w:numPr>
          <w:ilvl w:val="0"/>
          <w:numId w:val="58"/>
        </w:numPr>
        <w:tabs>
          <w:tab w:val="left" w:pos="319"/>
        </w:tabs>
        <w:spacing w:before="147"/>
        <w:ind w:left="318" w:hanging="199"/>
        <w:rPr>
          <w:rFonts w:ascii="Times New Roman" w:hAnsi="Times New Roman"/>
          <w:sz w:val="16"/>
        </w:rPr>
      </w:pPr>
      <w:bookmarkStart w:id="20" w:name="_bookmark20"/>
      <w:bookmarkEnd w:id="20"/>
      <w:r>
        <w:rPr>
          <w:sz w:val="14"/>
        </w:rPr>
        <w:t>Comisión Nacional de Vivienda (2010) “Glosario de Términos”. Código de Edificación de Vivienda. México:</w:t>
      </w:r>
      <w:r>
        <w:rPr>
          <w:spacing w:val="-8"/>
          <w:sz w:val="14"/>
        </w:rPr>
        <w:t xml:space="preserve"> </w:t>
      </w:r>
      <w:r>
        <w:rPr>
          <w:sz w:val="14"/>
        </w:rPr>
        <w:t>CONAVI</w:t>
      </w:r>
    </w:p>
    <w:p w:rsidR="00A63476" w:rsidRDefault="00A63476">
      <w:pPr>
        <w:pStyle w:val="Textoindependiente"/>
        <w:spacing w:before="7"/>
        <w:ind w:left="0" w:right="0" w:firstLine="0"/>
        <w:jc w:val="left"/>
        <w:rPr>
          <w:sz w:val="14"/>
        </w:rPr>
      </w:pPr>
    </w:p>
    <w:p w:rsidR="00A63476" w:rsidRDefault="00D22874">
      <w:pPr>
        <w:pStyle w:val="Prrafodelista"/>
        <w:numPr>
          <w:ilvl w:val="0"/>
          <w:numId w:val="58"/>
        </w:numPr>
        <w:tabs>
          <w:tab w:val="left" w:pos="306"/>
        </w:tabs>
        <w:spacing w:before="93"/>
        <w:ind w:left="305" w:hanging="186"/>
        <w:rPr>
          <w:rFonts w:ascii="Times New Roman" w:hAnsi="Times New Roman"/>
          <w:sz w:val="16"/>
        </w:rPr>
      </w:pPr>
      <w:bookmarkStart w:id="21" w:name="_bookmark21"/>
      <w:bookmarkEnd w:id="21"/>
      <w:r>
        <w:rPr>
          <w:sz w:val="14"/>
        </w:rPr>
        <w:t>Artículo 69 de la Ley General de Desarrollo Social. H. Cámara de Diputados. Di</w:t>
      </w:r>
      <w:r>
        <w:rPr>
          <w:sz w:val="14"/>
        </w:rPr>
        <w:t xml:space="preserve">sponible en </w:t>
      </w:r>
      <w:hyperlink r:id="rId13">
        <w:r>
          <w:rPr>
            <w:sz w:val="14"/>
          </w:rPr>
          <w:t>http://www.diputados.gob.mx/LeyesBiblio/pdf/</w:t>
        </w:r>
        <w:r>
          <w:rPr>
            <w:spacing w:val="-10"/>
            <w:sz w:val="14"/>
          </w:rPr>
          <w:t xml:space="preserve"> </w:t>
        </w:r>
      </w:hyperlink>
      <w:r>
        <w:rPr>
          <w:sz w:val="14"/>
        </w:rPr>
        <w:t>264_250618.pdf</w:t>
      </w:r>
    </w:p>
    <w:p w:rsidR="00A63476" w:rsidRDefault="00A63476">
      <w:pPr>
        <w:rPr>
          <w:rFonts w:ascii="Times New Roman" w:hAnsi="Times New Roman"/>
          <w:sz w:val="16"/>
        </w:rPr>
        <w:sectPr w:rsidR="00A63476">
          <w:pgSz w:w="12240" w:h="15840"/>
          <w:pgMar w:top="920" w:right="1040" w:bottom="280" w:left="1180" w:header="700" w:footer="0" w:gutter="0"/>
          <w:cols w:space="720"/>
        </w:sectPr>
      </w:pPr>
    </w:p>
    <w:p w:rsidR="00A63476" w:rsidRDefault="00A63476">
      <w:pPr>
        <w:pStyle w:val="Textoindependiente"/>
        <w:spacing w:before="2"/>
        <w:ind w:left="0" w:right="0" w:firstLine="0"/>
        <w:jc w:val="left"/>
        <w:rPr>
          <w:sz w:val="14"/>
        </w:rPr>
      </w:pPr>
    </w:p>
    <w:p w:rsidR="00A63476" w:rsidRDefault="00D22874">
      <w:pPr>
        <w:pStyle w:val="Textoindependiente"/>
        <w:spacing w:before="95" w:line="302" w:lineRule="auto"/>
        <w:ind w:firstLine="0"/>
      </w:pPr>
      <w:r>
        <w:t>las diferentes etapas de una construcción. Los DRO o peritos participantes en el programa, en todos los casos, deberán tener su cédula vigente en todo el proceso de su</w:t>
      </w:r>
      <w:r>
        <w:rPr>
          <w:spacing w:val="-2"/>
        </w:rPr>
        <w:t xml:space="preserve"> </w:t>
      </w:r>
      <w:r>
        <w:t>participación.</w:t>
      </w:r>
    </w:p>
    <w:p w:rsidR="00A63476" w:rsidRDefault="00D22874">
      <w:pPr>
        <w:pStyle w:val="Textoindependiente"/>
        <w:spacing w:before="78" w:line="302" w:lineRule="auto"/>
      </w:pPr>
      <w:r>
        <w:rPr>
          <w:b/>
        </w:rPr>
        <w:t xml:space="preserve">Ecotecnia: </w:t>
      </w:r>
      <w:r>
        <w:t xml:space="preserve">instrumentos, técnicas o elementos que se desarrollan </w:t>
      </w:r>
      <w:r>
        <w:rPr>
          <w:i/>
        </w:rPr>
        <w:t xml:space="preserve">in situ </w:t>
      </w:r>
      <w:r>
        <w:t>con el fin de utilizar eficientemente los recursos naturales, aprovechando las condiciones inherentes del emplazamiento de la vivienda a favor de la persona usuaria. Estas acciones reducen la necesidad de instalación de tecnologías que garanticen el confor</w:t>
      </w:r>
      <w:r>
        <w:t>t térmico de la vivienda, generando una disminución inherente en la huella ecológica de la vivienda.</w:t>
      </w:r>
    </w:p>
    <w:p w:rsidR="00A63476" w:rsidRDefault="00D22874">
      <w:pPr>
        <w:pStyle w:val="Textoindependiente"/>
        <w:spacing w:before="96" w:line="290" w:lineRule="auto"/>
      </w:pPr>
      <w:r>
        <w:rPr>
          <w:b/>
        </w:rPr>
        <w:t xml:space="preserve">Ecotecnologías: </w:t>
      </w:r>
      <w:r>
        <w:t xml:space="preserve">Sistemas y productos que utilizan avances tecnológicos con objeto de optimizar el uso del agua, energía y gas al interior de una vivienda, </w:t>
      </w:r>
      <w:r>
        <w:t>así como productos o sistemas que aprovechan los recursos renovables inherentes a su ubicación.</w:t>
      </w:r>
    </w:p>
    <w:p w:rsidR="00A63476" w:rsidRDefault="00D22874">
      <w:pPr>
        <w:pStyle w:val="Textoindependiente"/>
        <w:spacing w:before="109" w:line="278" w:lineRule="auto"/>
      </w:pPr>
      <w:r>
        <w:rPr>
          <w:b/>
        </w:rPr>
        <w:t xml:space="preserve">Entidad Ejecutora: </w:t>
      </w:r>
      <w:r>
        <w:t>Es una instancia inscrita ante la CONAVI, que otorga crédito para adquirir, construir, ampliar o mejorar una vivienda, que acompaña al subsid</w:t>
      </w:r>
      <w:r>
        <w:t>io federal y al ahorro previo de la posible persona beneficiaria.</w:t>
      </w:r>
    </w:p>
    <w:p w:rsidR="00A63476" w:rsidRDefault="00D22874">
      <w:pPr>
        <w:pStyle w:val="Textoindependiente"/>
        <w:spacing w:before="119" w:line="278" w:lineRule="auto"/>
      </w:pPr>
      <w:r>
        <w:rPr>
          <w:b/>
        </w:rPr>
        <w:t xml:space="preserve">Entidad Federativa: </w:t>
      </w:r>
      <w:r>
        <w:t>Una de las partes integrantes de la Federación. Las entidades federativas son: Estados libres y soberanos en todo lo concerniente a su régimen interior; pero unidos en un</w:t>
      </w:r>
      <w:r>
        <w:t>a federación establecida según los principios de esta ley fundamenta</w:t>
      </w:r>
      <w:bookmarkStart w:id="22" w:name="_bookmark22"/>
      <w:bookmarkEnd w:id="22"/>
      <w:r>
        <w:t>l</w:t>
      </w:r>
      <w:hyperlink w:anchor="_bookmark26" w:history="1">
        <w:r>
          <w:rPr>
            <w:position w:val="4"/>
            <w:sz w:val="12"/>
          </w:rPr>
          <w:t>12</w:t>
        </w:r>
      </w:hyperlink>
      <w:r>
        <w:t>.</w:t>
      </w:r>
    </w:p>
    <w:p w:rsidR="00A63476" w:rsidRDefault="00D22874">
      <w:pPr>
        <w:pStyle w:val="Textoindependiente"/>
        <w:spacing w:before="100" w:line="290" w:lineRule="auto"/>
      </w:pPr>
      <w:r>
        <w:rPr>
          <w:b/>
        </w:rPr>
        <w:t xml:space="preserve">Equidad de género: </w:t>
      </w:r>
      <w:r>
        <w:t>Situación en la cual mujeres y hombres acceden con las mismas posibilidades y oportunidades al uso, control y beneficio de bienes, servicios y recursos de la sociedad, así como a la toma de decisiones en todos los ámbitos de la vida social, económica, polí</w:t>
      </w:r>
      <w:r>
        <w:t>tica, cultural y familiar.</w:t>
      </w:r>
    </w:p>
    <w:p w:rsidR="00A63476" w:rsidRDefault="00D22874">
      <w:pPr>
        <w:pStyle w:val="Textoindependiente"/>
        <w:spacing w:before="89" w:line="285" w:lineRule="auto"/>
      </w:pPr>
      <w:r>
        <w:rPr>
          <w:b/>
        </w:rPr>
        <w:t xml:space="preserve">Espacios Auxiliares: </w:t>
      </w:r>
      <w:r>
        <w:t>el lugar de la vivienda donde se desarrollan actividades de trabajo, higiene y circulación y que son complemento de los espacios habitables de la viviend</w:t>
      </w:r>
      <w:bookmarkStart w:id="23" w:name="_bookmark23"/>
      <w:bookmarkEnd w:id="23"/>
      <w:r>
        <w:t>a</w:t>
      </w:r>
      <w:hyperlink w:anchor="_bookmark27" w:history="1">
        <w:r>
          <w:rPr>
            <w:position w:val="4"/>
            <w:sz w:val="12"/>
          </w:rPr>
          <w:t>13</w:t>
        </w:r>
      </w:hyperlink>
      <w:r>
        <w:t>. Al respecto, los es</w:t>
      </w:r>
      <w:r>
        <w:t>pacios de trabajo deben cumplir con la normativa arquitectónica y constructiva vigente, así como ser compatibles con el uso habitacional.</w:t>
      </w:r>
    </w:p>
    <w:p w:rsidR="00A63476" w:rsidRDefault="00D22874">
      <w:pPr>
        <w:pStyle w:val="Textoindependiente"/>
        <w:spacing w:before="114" w:line="283" w:lineRule="auto"/>
      </w:pPr>
      <w:r>
        <w:rPr>
          <w:b/>
        </w:rPr>
        <w:t xml:space="preserve">Espacios Habitables: </w:t>
      </w:r>
      <w:r>
        <w:t xml:space="preserve">el lugar de la vivienda donde se desarrollan actividades de reunión o descanso,  que cuenten con </w:t>
      </w:r>
      <w:r>
        <w:t>las dimensiones mínimas de superficie, altura, ventilación e iluminación natural, además de contar como mínimo con un baño, cocina, estancia-comedor y dos recamaras, de conformidad con las características y condiciones mínimas necesarias que establezcan la</w:t>
      </w:r>
      <w:r>
        <w:t>s leyes y las normas oficiales mexicana</w:t>
      </w:r>
      <w:bookmarkStart w:id="24" w:name="_bookmark24"/>
      <w:bookmarkEnd w:id="24"/>
      <w:r>
        <w:t>s</w:t>
      </w:r>
      <w:hyperlink w:anchor="_bookmark28" w:history="1">
        <w:r>
          <w:rPr>
            <w:position w:val="4"/>
            <w:sz w:val="12"/>
          </w:rPr>
          <w:t>14</w:t>
        </w:r>
      </w:hyperlink>
      <w:r>
        <w:t>.</w:t>
      </w:r>
    </w:p>
    <w:p w:rsidR="00A63476" w:rsidRDefault="00D22874">
      <w:pPr>
        <w:pStyle w:val="Textoindependiente"/>
        <w:spacing w:before="99" w:line="297" w:lineRule="auto"/>
        <w:ind w:right="663"/>
        <w:rPr>
          <w:sz w:val="12"/>
        </w:rPr>
      </w:pPr>
      <w:r>
        <w:rPr>
          <w:b/>
        </w:rPr>
        <w:t>Espacio Edificable</w:t>
      </w:r>
      <w:r>
        <w:t>: suelo apto para el uso y aprovechamiento de sus propietarios o poseedores en los términos de la legislación correspondient</w:t>
      </w:r>
      <w:bookmarkStart w:id="25" w:name="_bookmark25"/>
      <w:bookmarkEnd w:id="25"/>
      <w:r>
        <w:t>e</w:t>
      </w:r>
      <w:hyperlink w:anchor="_bookmark29" w:history="1">
        <w:r>
          <w:rPr>
            <w:position w:val="6"/>
            <w:sz w:val="12"/>
          </w:rPr>
          <w:t>15</w:t>
        </w:r>
      </w:hyperlink>
    </w:p>
    <w:p w:rsidR="00A63476" w:rsidRDefault="00D22874">
      <w:pPr>
        <w:pStyle w:val="Textoindependiente"/>
        <w:spacing w:before="83"/>
        <w:ind w:left="800" w:right="0" w:firstLine="0"/>
      </w:pPr>
      <w:r>
        <w:rPr>
          <w:b/>
        </w:rPr>
        <w:t>FIDE</w:t>
      </w:r>
      <w:r>
        <w:rPr>
          <w:b/>
        </w:rPr>
        <w:t xml:space="preserve">: </w:t>
      </w:r>
      <w:r>
        <w:t>Fideicomiso para el Ahorro de Energía Eléctrica.</w:t>
      </w:r>
    </w:p>
    <w:p w:rsidR="00A63476" w:rsidRDefault="00D22874">
      <w:pPr>
        <w:pStyle w:val="Textoindependiente"/>
        <w:spacing w:before="133" w:line="290" w:lineRule="auto"/>
      </w:pPr>
      <w:r>
        <w:rPr>
          <w:b/>
        </w:rPr>
        <w:t>Financiamiento</w:t>
      </w:r>
      <w:r>
        <w:t>: instrumentos y apoyos para la realización de las intervenciones habitacionales a través del crédito, subsidio y ahorro previo y otras aportaciones de los sectores público, social y privado,</w:t>
      </w:r>
      <w:r>
        <w:t xml:space="preserve"> de conformidad con el artículo 47 de la Ley de Vivienda.</w:t>
      </w:r>
    </w:p>
    <w:p w:rsidR="00A63476" w:rsidRDefault="00D22874">
      <w:pPr>
        <w:pStyle w:val="Textoindependiente"/>
        <w:spacing w:before="89" w:line="278" w:lineRule="auto"/>
        <w:ind w:right="663"/>
      </w:pPr>
      <w:r>
        <w:rPr>
          <w:b/>
        </w:rPr>
        <w:t xml:space="preserve">FOVISSSTE: </w:t>
      </w:r>
      <w:r>
        <w:t>Fondo de Vivienda del Instituto de Seguridad y Servicios Sociales de los Trabajadores del Estado.</w:t>
      </w:r>
    </w:p>
    <w:p w:rsidR="00A63476" w:rsidRDefault="00D22874">
      <w:pPr>
        <w:pStyle w:val="Textoindependiente"/>
        <w:spacing w:before="120" w:line="278" w:lineRule="auto"/>
        <w:ind w:right="663"/>
      </w:pPr>
      <w:r>
        <w:rPr>
          <w:b/>
        </w:rPr>
        <w:t xml:space="preserve">Fuerzas Armadas: </w:t>
      </w:r>
      <w:r>
        <w:t>miembros en activo o en retiro de la Secretaría de la Defensa Nacional o</w:t>
      </w:r>
      <w:r>
        <w:t xml:space="preserve"> de la Secretaría de Marina.</w:t>
      </w:r>
    </w:p>
    <w:p w:rsidR="00A63476" w:rsidRDefault="00A63476">
      <w:pPr>
        <w:pStyle w:val="Textoindependiente"/>
        <w:ind w:left="0" w:right="0" w:firstLine="0"/>
        <w:jc w:val="left"/>
        <w:rPr>
          <w:sz w:val="20"/>
        </w:rPr>
      </w:pPr>
    </w:p>
    <w:p w:rsidR="00A63476" w:rsidRDefault="00A63476">
      <w:pPr>
        <w:pStyle w:val="Textoindependiente"/>
        <w:ind w:left="0" w:right="0" w:firstLine="0"/>
        <w:jc w:val="left"/>
        <w:rPr>
          <w:sz w:val="20"/>
        </w:rPr>
      </w:pPr>
    </w:p>
    <w:p w:rsidR="00A63476" w:rsidRDefault="00FF0FB3">
      <w:pPr>
        <w:pStyle w:val="Textoindependiente"/>
        <w:spacing w:before="10"/>
        <w:ind w:left="0" w:right="0" w:firstLine="0"/>
        <w:jc w:val="left"/>
        <w:rPr>
          <w:sz w:val="12"/>
        </w:rPr>
      </w:pPr>
      <w:r>
        <w:rPr>
          <w:noProof/>
        </w:rPr>
        <mc:AlternateContent>
          <mc:Choice Requires="wps">
            <w:drawing>
              <wp:anchor distT="0" distB="0" distL="0" distR="0" simplePos="0" relativeHeight="487591424" behindDoc="1" locked="0" layoutInCell="1" allowOverlap="1">
                <wp:simplePos x="0" y="0"/>
                <wp:positionH relativeFrom="page">
                  <wp:posOffset>822960</wp:posOffset>
                </wp:positionH>
                <wp:positionV relativeFrom="paragraph">
                  <wp:posOffset>119380</wp:posOffset>
                </wp:positionV>
                <wp:extent cx="1270000" cy="6350"/>
                <wp:effectExtent l="0" t="0" r="0" b="0"/>
                <wp:wrapTopAndBottom/>
                <wp:docPr id="88" name="Rectangle 6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270000" cy="6350"/>
                        </a:xfrm>
                        <a:prstGeom prst="rect">
                          <a:avLst/>
                        </a:prstGeom>
                        <a:solidFill>
                          <a:srgbClr val="60606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3DA6DB92" id="Rectangle 65" o:spid="_x0000_s1026" style="position:absolute;margin-left:64.8pt;margin-top:9.4pt;width:100pt;height:.5pt;z-index:-15725056;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" fillcolor="#606060" stroked="f">
                <w10:wrap type="topAndBottom" anchorx="page"/>
              </v:rect>
            </w:pict>
          </mc:Fallback>
        </mc:AlternateContent>
      </w:r>
    </w:p>
    <w:p w:rsidR="00A63476" w:rsidRDefault="00D22874">
      <w:pPr>
        <w:pStyle w:val="Prrafodelista"/>
        <w:numPr>
          <w:ilvl w:val="0"/>
          <w:numId w:val="58"/>
        </w:numPr>
        <w:tabs>
          <w:tab w:val="left" w:pos="319"/>
        </w:tabs>
        <w:spacing w:before="152"/>
        <w:ind w:left="318" w:hanging="199"/>
        <w:rPr>
          <w:rFonts w:ascii="Times New Roman" w:hAnsi="Times New Roman"/>
          <w:sz w:val="16"/>
        </w:rPr>
      </w:pPr>
      <w:bookmarkStart w:id="26" w:name="_bookmark26"/>
      <w:bookmarkEnd w:id="26"/>
      <w:r>
        <w:rPr>
          <w:sz w:val="14"/>
        </w:rPr>
        <w:t>Comisión Nacional de Vivienda (2010) “Glosario de Términos”. Op.</w:t>
      </w:r>
      <w:r>
        <w:rPr>
          <w:spacing w:val="-5"/>
          <w:sz w:val="14"/>
        </w:rPr>
        <w:t xml:space="preserve"> </w:t>
      </w:r>
      <w:r>
        <w:rPr>
          <w:sz w:val="14"/>
        </w:rPr>
        <w:t>Cit.</w:t>
      </w:r>
    </w:p>
    <w:p w:rsidR="00A63476" w:rsidRDefault="00A63476">
      <w:pPr>
        <w:pStyle w:val="Textoindependiente"/>
        <w:spacing w:before="7"/>
        <w:ind w:left="0" w:right="0" w:firstLine="0"/>
        <w:jc w:val="left"/>
        <w:rPr>
          <w:sz w:val="14"/>
        </w:rPr>
      </w:pPr>
    </w:p>
    <w:p w:rsidR="00A63476" w:rsidRDefault="00D22874">
      <w:pPr>
        <w:pStyle w:val="Prrafodelista"/>
        <w:numPr>
          <w:ilvl w:val="0"/>
          <w:numId w:val="58"/>
        </w:numPr>
        <w:tabs>
          <w:tab w:val="left" w:pos="312"/>
        </w:tabs>
        <w:spacing w:before="93"/>
        <w:ind w:left="311" w:hanging="192"/>
        <w:rPr>
          <w:rFonts w:ascii="Times New Roman" w:hAnsi="Times New Roman"/>
          <w:i/>
          <w:sz w:val="16"/>
        </w:rPr>
      </w:pPr>
      <w:bookmarkStart w:id="27" w:name="_bookmark27"/>
      <w:bookmarkEnd w:id="27"/>
      <w:r>
        <w:rPr>
          <w:sz w:val="14"/>
        </w:rPr>
        <w:t xml:space="preserve">Artículo 4to, parágrafo V de la Ley de Vivienda. </w:t>
      </w:r>
      <w:r>
        <w:rPr>
          <w:i/>
          <w:sz w:val="14"/>
        </w:rPr>
        <w:t>Op</w:t>
      </w:r>
      <w:r>
        <w:rPr>
          <w:i/>
          <w:spacing w:val="-5"/>
          <w:sz w:val="14"/>
        </w:rPr>
        <w:t xml:space="preserve"> </w:t>
      </w:r>
      <w:r>
        <w:rPr>
          <w:i/>
          <w:sz w:val="14"/>
        </w:rPr>
        <w:t>cit.</w:t>
      </w:r>
    </w:p>
    <w:p w:rsidR="00A63476" w:rsidRDefault="00A63476">
      <w:pPr>
        <w:pStyle w:val="Textoindependiente"/>
        <w:spacing w:before="7"/>
        <w:ind w:left="0" w:right="0" w:firstLine="0"/>
        <w:jc w:val="left"/>
        <w:rPr>
          <w:i/>
          <w:sz w:val="14"/>
        </w:rPr>
      </w:pPr>
    </w:p>
    <w:p w:rsidR="00A63476" w:rsidRDefault="00D22874">
      <w:pPr>
        <w:pStyle w:val="Prrafodelista"/>
        <w:numPr>
          <w:ilvl w:val="0"/>
          <w:numId w:val="58"/>
        </w:numPr>
        <w:tabs>
          <w:tab w:val="left" w:pos="312"/>
        </w:tabs>
        <w:spacing w:before="93"/>
        <w:ind w:left="311" w:hanging="192"/>
        <w:rPr>
          <w:rFonts w:ascii="Times New Roman" w:hAnsi="Times New Roman"/>
          <w:i/>
          <w:sz w:val="16"/>
        </w:rPr>
      </w:pPr>
      <w:bookmarkStart w:id="28" w:name="_bookmark28"/>
      <w:bookmarkEnd w:id="28"/>
      <w:r>
        <w:rPr>
          <w:sz w:val="14"/>
        </w:rPr>
        <w:t>Ar</w:t>
      </w:r>
      <w:r>
        <w:rPr>
          <w:sz w:val="14"/>
        </w:rPr>
        <w:t xml:space="preserve">tículo 4to, parágrafo IV de la Ley de Vivienda. </w:t>
      </w:r>
      <w:r>
        <w:rPr>
          <w:i/>
          <w:sz w:val="14"/>
        </w:rPr>
        <w:t>Op</w:t>
      </w:r>
      <w:r>
        <w:rPr>
          <w:i/>
          <w:spacing w:val="-5"/>
          <w:sz w:val="14"/>
        </w:rPr>
        <w:t xml:space="preserve"> </w:t>
      </w:r>
      <w:r>
        <w:rPr>
          <w:i/>
          <w:sz w:val="14"/>
        </w:rPr>
        <w:t>cit.</w:t>
      </w:r>
    </w:p>
    <w:p w:rsidR="00A63476" w:rsidRDefault="00A63476">
      <w:pPr>
        <w:pStyle w:val="Textoindependiente"/>
        <w:spacing w:before="7"/>
        <w:ind w:left="0" w:right="0" w:firstLine="0"/>
        <w:jc w:val="left"/>
        <w:rPr>
          <w:i/>
          <w:sz w:val="14"/>
        </w:rPr>
      </w:pPr>
    </w:p>
    <w:p w:rsidR="00A63476" w:rsidRDefault="00D22874">
      <w:pPr>
        <w:pStyle w:val="Prrafodelista"/>
        <w:numPr>
          <w:ilvl w:val="0"/>
          <w:numId w:val="58"/>
        </w:numPr>
        <w:tabs>
          <w:tab w:val="left" w:pos="326"/>
        </w:tabs>
        <w:spacing w:before="93" w:line="264" w:lineRule="auto"/>
        <w:ind w:left="120" w:right="105" w:firstLine="0"/>
        <w:rPr>
          <w:rFonts w:ascii="Times New Roman" w:hAnsi="Times New Roman"/>
          <w:sz w:val="16"/>
        </w:rPr>
      </w:pPr>
      <w:bookmarkStart w:id="29" w:name="_bookmark29"/>
      <w:bookmarkEnd w:id="29"/>
      <w:r>
        <w:rPr>
          <w:sz w:val="14"/>
        </w:rPr>
        <w:t>Artículo 3ro, parágrafo XIX de la Ley General de Asentamientos Humanos, Ordenamiento Territorial y Desarrollo Urbano. Cámara de Diputados del H. Congreso de la Unión. México. Disponible en</w:t>
      </w:r>
      <w:r>
        <w:rPr>
          <w:spacing w:val="-4"/>
          <w:sz w:val="14"/>
        </w:rPr>
        <w:t xml:space="preserve"> </w:t>
      </w:r>
      <w:hyperlink r:id="rId14">
        <w:r>
          <w:rPr>
            <w:sz w:val="14"/>
          </w:rPr>
          <w:t>http://www.diputados.gob.mx/LeyesBiblio/pdf/LGAHOTDU_281116.pdf</w:t>
        </w:r>
      </w:hyperlink>
    </w:p>
    <w:p w:rsidR="00A63476" w:rsidRDefault="00A63476">
      <w:pPr>
        <w:spacing w:line="264" w:lineRule="auto"/>
        <w:rPr>
          <w:rFonts w:ascii="Times New Roman" w:hAnsi="Times New Roman"/>
          <w:sz w:val="16"/>
        </w:rPr>
        <w:sectPr w:rsidR="00A63476">
          <w:pgSz w:w="12240" w:h="15840"/>
          <w:pgMar w:top="920" w:right="1040" w:bottom="280" w:left="1180" w:header="700" w:footer="0" w:gutter="0"/>
          <w:cols w:space="720"/>
        </w:sectPr>
      </w:pPr>
    </w:p>
    <w:p w:rsidR="00A63476" w:rsidRDefault="00A63476">
      <w:pPr>
        <w:pStyle w:val="Textoindependiente"/>
        <w:spacing w:before="5"/>
        <w:ind w:left="0" w:right="0" w:firstLine="0"/>
        <w:jc w:val="left"/>
        <w:rPr>
          <w:sz w:val="12"/>
        </w:rPr>
      </w:pPr>
    </w:p>
    <w:p w:rsidR="00A63476" w:rsidRDefault="00D22874">
      <w:pPr>
        <w:pStyle w:val="Textoindependiente"/>
        <w:spacing w:before="95" w:line="290" w:lineRule="auto"/>
      </w:pPr>
      <w:r>
        <w:rPr>
          <w:b/>
        </w:rPr>
        <w:t xml:space="preserve">Gases de Efecto Invernadero (GEI): </w:t>
      </w:r>
      <w:r>
        <w:t>gases atmosféricos que absorben y emiten radiación dentro del</w:t>
      </w:r>
      <w:r>
        <w:t xml:space="preserve"> rango infrarrojo. Los principales GEI en la atmósfera terrestre son el vapor de agua, el dióxido de carbono, el metano, el óxido de nitrógeno y el ozono.</w:t>
      </w:r>
    </w:p>
    <w:p w:rsidR="00A63476" w:rsidRDefault="00D22874">
      <w:pPr>
        <w:pStyle w:val="Textoindependiente"/>
        <w:spacing w:before="88" w:line="285" w:lineRule="auto"/>
      </w:pPr>
      <w:r>
        <w:rPr>
          <w:b/>
        </w:rPr>
        <w:t>Grupos sociales en situación de vulnerabilidad</w:t>
      </w:r>
      <w:r>
        <w:t xml:space="preserve">: Aquellos núcleos de población y personas que por diferentes factores o la combinación de ellos, enfrentan situaciones de riesgo o discriminación que les impiden alcanzar mejores niveles de vida </w:t>
      </w:r>
      <w:r>
        <w:rPr>
          <w:spacing w:val="-7"/>
        </w:rPr>
        <w:t xml:space="preserve">y, </w:t>
      </w:r>
      <w:r>
        <w:t>por lo tanto, requieren de la atención e inversión del go</w:t>
      </w:r>
      <w:r>
        <w:t>bierno para lograr su</w:t>
      </w:r>
      <w:r>
        <w:rPr>
          <w:spacing w:val="-1"/>
        </w:rPr>
        <w:t xml:space="preserve"> </w:t>
      </w:r>
      <w:r>
        <w:t>bienesta</w:t>
      </w:r>
      <w:bookmarkStart w:id="30" w:name="_bookmark30"/>
      <w:bookmarkEnd w:id="30"/>
      <w:r>
        <w:t>r</w:t>
      </w:r>
      <w:hyperlink w:anchor="_bookmark32" w:history="1">
        <w:r>
          <w:rPr>
            <w:position w:val="4"/>
            <w:sz w:val="12"/>
          </w:rPr>
          <w:t>16</w:t>
        </w:r>
      </w:hyperlink>
      <w:r>
        <w:t>.</w:t>
      </w:r>
    </w:p>
    <w:p w:rsidR="00A63476" w:rsidRDefault="00D22874">
      <w:pPr>
        <w:pStyle w:val="Textoindependiente"/>
        <w:spacing w:before="115" w:line="278" w:lineRule="auto"/>
        <w:ind w:right="663"/>
      </w:pPr>
      <w:r>
        <w:rPr>
          <w:b/>
        </w:rPr>
        <w:t xml:space="preserve">Hogar: </w:t>
      </w:r>
      <w:r>
        <w:t>persona o conjunto de personas que pueden o no ser familiares, que comparten la misma vivienda y se sostienen de un gasto común.</w:t>
      </w:r>
    </w:p>
    <w:p w:rsidR="00A63476" w:rsidRDefault="00D22874">
      <w:pPr>
        <w:pStyle w:val="Textoindependiente"/>
        <w:spacing w:before="100"/>
        <w:ind w:left="800" w:right="0" w:firstLine="0"/>
      </w:pPr>
      <w:r>
        <w:rPr>
          <w:b/>
        </w:rPr>
        <w:t xml:space="preserve">INFONAVIT: </w:t>
      </w:r>
      <w:r>
        <w:t>Instituto del Fondo Nacional de la Vivienda</w:t>
      </w:r>
      <w:r>
        <w:t xml:space="preserve"> para los Trabajadores.</w:t>
      </w:r>
    </w:p>
    <w:p w:rsidR="00A63476" w:rsidRDefault="00D22874">
      <w:pPr>
        <w:pStyle w:val="Textoindependiente"/>
        <w:spacing w:before="153"/>
        <w:ind w:left="800" w:right="0" w:firstLine="0"/>
      </w:pPr>
      <w:r>
        <w:rPr>
          <w:b/>
        </w:rPr>
        <w:t>INSUS</w:t>
      </w:r>
      <w:r>
        <w:t>: Instituto Nacional de Suelo Urbano Sustentable.</w:t>
      </w:r>
    </w:p>
    <w:p w:rsidR="00A63476" w:rsidRDefault="00D22874">
      <w:pPr>
        <w:pStyle w:val="Textoindependiente"/>
        <w:spacing w:before="133" w:line="290" w:lineRule="auto"/>
      </w:pPr>
      <w:r>
        <w:rPr>
          <w:b/>
        </w:rPr>
        <w:t xml:space="preserve">Ingreso familiar: </w:t>
      </w:r>
      <w:r>
        <w:t>suma de los ingresos ordinarios de los cónyuges o concubinos u otros miembros de la familia, cualquiera que sea la fuente de los mismos, posterior a las deducc</w:t>
      </w:r>
      <w:r>
        <w:t xml:space="preserve">iones de impuestos o contribuciones establecidas por </w:t>
      </w:r>
      <w:r>
        <w:rPr>
          <w:spacing w:val="-4"/>
        </w:rPr>
        <w:t>ley.</w:t>
      </w:r>
    </w:p>
    <w:p w:rsidR="00A63476" w:rsidRDefault="00D22874">
      <w:pPr>
        <w:pStyle w:val="Textoindependiente"/>
        <w:spacing w:before="88" w:line="278" w:lineRule="auto"/>
      </w:pPr>
      <w:r>
        <w:rPr>
          <w:b/>
        </w:rPr>
        <w:t xml:space="preserve">Ingreso individual: </w:t>
      </w:r>
      <w:r>
        <w:t>total de los ingresos ordinarios de la persona solicitante del financiamiento y/o subsidio, cualquiera que sea la fuente de éstos, posterior a las deducciones de impuestos o cont</w:t>
      </w:r>
      <w:r>
        <w:t>ribuciones establecidas por ley. Tratándose de personas afiliadas a FOVISSSTE y de miembros de las Fuerzas Armadas, Seguridad Pública Federal y equivalentes a nivel estatal y municipal, se tomará en cuenta el salario base de cotización, según corresponda.</w:t>
      </w:r>
    </w:p>
    <w:p w:rsidR="00A63476" w:rsidRDefault="00D22874">
      <w:pPr>
        <w:pStyle w:val="Textoindependiente"/>
        <w:spacing w:before="100" w:line="278" w:lineRule="auto"/>
      </w:pPr>
      <w:r>
        <w:rPr>
          <w:b/>
        </w:rPr>
        <w:t>Intervención habitacional</w:t>
      </w:r>
      <w:r>
        <w:t>: Todas las modalidades que considera el Programa para responder a las necesidades de vivienda de la persona beneficiaria, las cuales estarán inscritas en el Registro Único de Vivienda y donde la Comisión lo determine.</w:t>
      </w:r>
    </w:p>
    <w:p w:rsidR="00A63476" w:rsidRDefault="00D22874">
      <w:pPr>
        <w:pStyle w:val="Textoindependiente"/>
        <w:spacing w:before="100"/>
        <w:ind w:left="800" w:right="0" w:firstLine="0"/>
      </w:pPr>
      <w:r>
        <w:rPr>
          <w:b/>
        </w:rPr>
        <w:t xml:space="preserve">ISSFAM: </w:t>
      </w:r>
      <w:r>
        <w:t>Inst</w:t>
      </w:r>
      <w:r>
        <w:t>ituto de Seguridad Social para las Fuerzas Armadas Mexicanas.</w:t>
      </w:r>
    </w:p>
    <w:p w:rsidR="00A63476" w:rsidRDefault="00D22874">
      <w:pPr>
        <w:pStyle w:val="Textoindependiente"/>
        <w:spacing w:before="133" w:line="278" w:lineRule="auto"/>
      </w:pPr>
      <w:r>
        <w:rPr>
          <w:b/>
        </w:rPr>
        <w:t>Laboratorio de Control de Calidad de Materiales</w:t>
      </w:r>
      <w:r>
        <w:t>: persona física o moral especializada, que se encarga de verificar y comprobar mediante pruebas específicas a los materiales con los que se llevan</w:t>
      </w:r>
      <w:r>
        <w:t xml:space="preserve"> a cabo los procesos constructivos, que la obra tiene las características de calidad especificadas en el proyecto.</w:t>
      </w:r>
    </w:p>
    <w:p w:rsidR="00A63476" w:rsidRDefault="00D22874">
      <w:pPr>
        <w:pStyle w:val="Textoindependiente"/>
        <w:spacing w:before="99" w:line="278" w:lineRule="auto"/>
        <w:ind w:right="663"/>
      </w:pPr>
      <w:r>
        <w:rPr>
          <w:b/>
        </w:rPr>
        <w:t xml:space="preserve">Líneas de apoyo: </w:t>
      </w:r>
      <w:r>
        <w:t>Son los componentes que integran cada una de las modalidades de aplicación del subsidio.</w:t>
      </w:r>
    </w:p>
    <w:p w:rsidR="00A63476" w:rsidRDefault="00D22874">
      <w:pPr>
        <w:pStyle w:val="Textoindependiente"/>
        <w:spacing w:before="100" w:line="278" w:lineRule="auto"/>
      </w:pPr>
      <w:r>
        <w:rPr>
          <w:b/>
        </w:rPr>
        <w:t xml:space="preserve">Línea III: </w:t>
      </w:r>
      <w:r>
        <w:t>esquema dentro de la mod</w:t>
      </w:r>
      <w:r>
        <w:t>alidad de Adquisición de Vivienda, en el cual los derechohabientes de INFONAVIT pueden ejercer su crédito para la construcción de vivienda de forma individual de acuerdo a lo señalado en la Ley del Instituto del Fondo Nacional de la Vivienda para los Traba</w:t>
      </w:r>
      <w:r>
        <w:t>jadores, Artículo 42, Fracción II, inciso b.</w:t>
      </w:r>
    </w:p>
    <w:p w:rsidR="00A63476" w:rsidRDefault="00D22874">
      <w:pPr>
        <w:pStyle w:val="Textoindependiente"/>
        <w:spacing w:before="100" w:line="278" w:lineRule="auto"/>
      </w:pPr>
      <w:r>
        <w:rPr>
          <w:b/>
        </w:rPr>
        <w:t xml:space="preserve">Manual de procedimientos: </w:t>
      </w:r>
      <w:r>
        <w:t>documento que contiene los procesos operativos internos a los que se  deben apegar las Entidades Ejecutoras, Entidades Financieras, Prestadores de Servicios, la persona beneficiaria y s</w:t>
      </w:r>
      <w:r>
        <w:t>olicitantes de un financiamiento y/o subsidio y demás actores que participan en el Programa de Vivienda Social. Este Manual está disponible para consulta en la página electrónica</w:t>
      </w:r>
      <w:r>
        <w:rPr>
          <w:spacing w:val="-12"/>
        </w:rPr>
        <w:t xml:space="preserve"> </w:t>
      </w:r>
      <w:hyperlink r:id="rId15">
        <w:r>
          <w:rPr>
            <w:u w:val="single"/>
          </w:rPr>
          <w:t>www.gob.mx/conav</w:t>
        </w:r>
        <w:r>
          <w:t>i</w:t>
        </w:r>
      </w:hyperlink>
    </w:p>
    <w:p w:rsidR="00A63476" w:rsidRDefault="00D22874">
      <w:pPr>
        <w:spacing w:before="99"/>
        <w:ind w:left="800"/>
        <w:jc w:val="both"/>
        <w:rPr>
          <w:sz w:val="18"/>
        </w:rPr>
      </w:pPr>
      <w:r>
        <w:rPr>
          <w:b/>
          <w:sz w:val="18"/>
        </w:rPr>
        <w:t>Mantenimiento d</w:t>
      </w:r>
      <w:r>
        <w:rPr>
          <w:b/>
          <w:sz w:val="18"/>
        </w:rPr>
        <w:t>e vivienda</w:t>
      </w:r>
      <w:r>
        <w:rPr>
          <w:sz w:val="18"/>
        </w:rPr>
        <w:t>: acciones para conservar la calidad y la vida útil de la vivienda.</w:t>
      </w:r>
    </w:p>
    <w:p w:rsidR="00A63476" w:rsidRDefault="00D22874">
      <w:pPr>
        <w:pStyle w:val="Textoindependiente"/>
        <w:spacing w:before="133" w:line="278" w:lineRule="auto"/>
      </w:pPr>
      <w:r>
        <w:rPr>
          <w:b/>
        </w:rPr>
        <w:t xml:space="preserve">Mejoramiento de vivienda: </w:t>
      </w:r>
      <w:r>
        <w:t>Modalidad del Programa en la que la intervención habitacional consiste en la acción tendiente a consolidar o renovar las viviendas deterioradas física o</w:t>
      </w:r>
      <w:r>
        <w:t xml:space="preserve"> funcionalmente, mediante actividades de reparación, reforzamiento estructural o rehabilitació</w:t>
      </w:r>
      <w:bookmarkStart w:id="31" w:name="_bookmark31"/>
      <w:bookmarkEnd w:id="31"/>
      <w:r>
        <w:t>n</w:t>
      </w:r>
      <w:hyperlink w:anchor="_bookmark33" w:history="1">
        <w:r>
          <w:rPr>
            <w:position w:val="4"/>
            <w:sz w:val="12"/>
          </w:rPr>
          <w:t>17</w:t>
        </w:r>
      </w:hyperlink>
      <w:r>
        <w:t xml:space="preserve">, optimizando el uso de energía, agua y otros recursos naturales que promuevan la habitabilidad de la vivienda, progresividad y </w:t>
      </w:r>
      <w:r>
        <w:t>su armonía con el hábitat, que propician una vivienda adecuada.</w:t>
      </w:r>
    </w:p>
    <w:p w:rsidR="00A63476" w:rsidRDefault="00D22874">
      <w:pPr>
        <w:pStyle w:val="Textoindependiente"/>
        <w:spacing w:before="100" w:line="278" w:lineRule="auto"/>
      </w:pPr>
      <w:r>
        <w:rPr>
          <w:b/>
        </w:rPr>
        <w:t xml:space="preserve">Mejoramiento Integral Sustentable: </w:t>
      </w:r>
      <w:r>
        <w:t>esquema operado de manera conjunta con la entidad ejecutora Fideicomiso para el Ahorro de Energía Eléctrica (FIDE), dentro de la modalidad de ampliación y/o</w:t>
      </w:r>
    </w:p>
    <w:p w:rsidR="00A63476" w:rsidRDefault="00FF0FB3">
      <w:pPr>
        <w:pStyle w:val="Textoindependiente"/>
        <w:spacing w:before="4"/>
        <w:ind w:left="0" w:right="0" w:firstLine="0"/>
        <w:jc w:val="left"/>
        <w:rPr>
          <w:sz w:val="20"/>
        </w:rPr>
      </w:pPr>
      <w:r>
        <w:rPr>
          <w:noProof/>
        </w:rPr>
        <mc:AlternateContent>
          <mc:Choice Requires="wps">
            <w:drawing>
              <wp:anchor distT="0" distB="0" distL="0" distR="0" simplePos="0" relativeHeight="487591936" behindDoc="1" locked="0" layoutInCell="1" allowOverlap="1">
                <wp:simplePos x="0" y="0"/>
                <wp:positionH relativeFrom="page">
                  <wp:posOffset>822960</wp:posOffset>
                </wp:positionH>
                <wp:positionV relativeFrom="paragraph">
                  <wp:posOffset>173355</wp:posOffset>
                </wp:positionV>
                <wp:extent cx="1270000" cy="6350"/>
                <wp:effectExtent l="0" t="0" r="0" b="0"/>
                <wp:wrapTopAndBottom/>
                <wp:docPr id="87" name="Rectangle 6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270000" cy="6350"/>
                        </a:xfrm>
                        <a:prstGeom prst="rect">
                          <a:avLst/>
                        </a:prstGeom>
                        <a:solidFill>
                          <a:srgbClr val="60606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09480CD3" id="Rectangle 64" o:spid="_x0000_s1026" style="position:absolute;margin-left:64.8pt;margin-top:13.65pt;width:100pt;height:.5pt;z-index:-15724544;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" fillcolor="#606060" stroked="f">
                <w10:wrap type="topAndBottom" anchorx="page"/>
              </v:rect>
            </w:pict>
          </mc:Fallback>
        </mc:AlternateContent>
      </w:r>
    </w:p>
    <w:p w:rsidR="00A63476" w:rsidRDefault="00D22874">
      <w:pPr>
        <w:pStyle w:val="Prrafodelista"/>
        <w:numPr>
          <w:ilvl w:val="0"/>
          <w:numId w:val="58"/>
        </w:numPr>
        <w:tabs>
          <w:tab w:val="left" w:pos="312"/>
        </w:tabs>
        <w:spacing w:before="147"/>
        <w:ind w:left="311" w:hanging="192"/>
        <w:rPr>
          <w:rFonts w:ascii="Times New Roman" w:hAnsi="Times New Roman"/>
          <w:sz w:val="16"/>
        </w:rPr>
      </w:pPr>
      <w:bookmarkStart w:id="32" w:name="_bookmark32"/>
      <w:bookmarkEnd w:id="32"/>
      <w:r>
        <w:rPr>
          <w:sz w:val="14"/>
        </w:rPr>
        <w:t xml:space="preserve">Artículo. 5to, parágrafo VI de la Ley General de Desarrollo Social. </w:t>
      </w:r>
      <w:r>
        <w:rPr>
          <w:i/>
          <w:sz w:val="14"/>
        </w:rPr>
        <w:t>Op</w:t>
      </w:r>
      <w:r>
        <w:rPr>
          <w:i/>
          <w:spacing w:val="-3"/>
          <w:sz w:val="14"/>
        </w:rPr>
        <w:t xml:space="preserve"> </w:t>
      </w:r>
      <w:r>
        <w:rPr>
          <w:i/>
          <w:sz w:val="14"/>
        </w:rPr>
        <w:t>cit</w:t>
      </w:r>
      <w:r>
        <w:rPr>
          <w:sz w:val="14"/>
        </w:rPr>
        <w:t>.</w:t>
      </w:r>
    </w:p>
    <w:p w:rsidR="00A63476" w:rsidRDefault="00A63476">
      <w:pPr>
        <w:pStyle w:val="Textoindependiente"/>
        <w:spacing w:before="7"/>
        <w:ind w:left="0" w:right="0" w:firstLine="0"/>
        <w:jc w:val="left"/>
        <w:rPr>
          <w:sz w:val="14"/>
        </w:rPr>
      </w:pPr>
    </w:p>
    <w:p w:rsidR="00A63476" w:rsidRDefault="00D22874">
      <w:pPr>
        <w:pStyle w:val="Prrafodelista"/>
        <w:numPr>
          <w:ilvl w:val="0"/>
          <w:numId w:val="58"/>
        </w:numPr>
        <w:tabs>
          <w:tab w:val="left" w:pos="312"/>
        </w:tabs>
        <w:spacing w:before="93"/>
        <w:ind w:left="311" w:hanging="192"/>
        <w:rPr>
          <w:rFonts w:ascii="Times New Roman" w:hAnsi="Times New Roman"/>
          <w:i/>
          <w:sz w:val="16"/>
        </w:rPr>
      </w:pPr>
      <w:bookmarkStart w:id="33" w:name="_bookmark33"/>
      <w:bookmarkEnd w:id="33"/>
      <w:r>
        <w:rPr>
          <w:sz w:val="14"/>
        </w:rPr>
        <w:t xml:space="preserve">Artículo 4to, parágrafo IX de la Ley de Vivienda. </w:t>
      </w:r>
      <w:r>
        <w:rPr>
          <w:i/>
          <w:sz w:val="14"/>
        </w:rPr>
        <w:t>Op</w:t>
      </w:r>
      <w:r>
        <w:rPr>
          <w:i/>
          <w:spacing w:val="-2"/>
          <w:sz w:val="14"/>
        </w:rPr>
        <w:t xml:space="preserve"> </w:t>
      </w:r>
      <w:r>
        <w:rPr>
          <w:i/>
          <w:sz w:val="14"/>
        </w:rPr>
        <w:t>cit.</w:t>
      </w:r>
    </w:p>
    <w:p w:rsidR="00A63476" w:rsidRDefault="00A63476">
      <w:pPr>
        <w:rPr>
          <w:rFonts w:ascii="Times New Roman" w:hAnsi="Times New Roman"/>
          <w:sz w:val="16"/>
        </w:rPr>
        <w:sectPr w:rsidR="00A63476">
          <w:pgSz w:w="12240" w:h="15840"/>
          <w:pgMar w:top="920" w:right="1040" w:bottom="280" w:left="1180" w:header="700" w:footer="0" w:gutter="0"/>
          <w:cols w:space="720"/>
        </w:sectPr>
      </w:pPr>
    </w:p>
    <w:p w:rsidR="00A63476" w:rsidRDefault="00A63476">
      <w:pPr>
        <w:pStyle w:val="Textoindependiente"/>
        <w:spacing w:before="5"/>
        <w:ind w:left="0" w:right="0" w:firstLine="0"/>
        <w:jc w:val="left"/>
        <w:rPr>
          <w:i/>
          <w:sz w:val="12"/>
        </w:rPr>
      </w:pPr>
    </w:p>
    <w:p w:rsidR="00A63476" w:rsidRDefault="00D22874">
      <w:pPr>
        <w:pStyle w:val="Textoindependiente"/>
        <w:spacing w:before="95" w:line="278" w:lineRule="auto"/>
        <w:ind w:firstLine="0"/>
      </w:pPr>
      <w:r>
        <w:t>mejoramiento, tendiente a consolidar o renovar las viviendas deterioradas física o funcionalmente, mediante actividades de reparación, reforzamiento estructural o rehabilitación, pudiendo incluir criterios de eficiencia en el uso de recursos naturales, que</w:t>
      </w:r>
      <w:r>
        <w:t xml:space="preserve"> promuevan la habitabilidad de la vivienda, tales como aislamiento térmico, iluminación y ventilación natural o impermeabilización.</w:t>
      </w:r>
    </w:p>
    <w:p w:rsidR="00A63476" w:rsidRDefault="00D22874">
      <w:pPr>
        <w:pStyle w:val="Textoindependiente"/>
        <w:spacing w:before="99" w:line="278" w:lineRule="auto"/>
      </w:pPr>
      <w:r>
        <w:rPr>
          <w:b/>
        </w:rPr>
        <w:t xml:space="preserve">NAMA: </w:t>
      </w:r>
      <w:r>
        <w:t>Acciones de Mitigación Nacionalmente Apropiadas (NAMA, por sus siglas en inglés). Son instrumentos creados por la Conv</w:t>
      </w:r>
      <w:r>
        <w:t>ención Marco de las Naciones Unidas para el Cambio Climático para apoyar a países en desarrollo a reducir las emisiones de Gases de Efecto Invernadero (GEI/CO2), mediante soporte económico y tecnológico. Las acciones definidas en una NAMA podrán convertirs</w:t>
      </w:r>
      <w:r>
        <w:t>e en política pública.</w:t>
      </w:r>
    </w:p>
    <w:p w:rsidR="00A63476" w:rsidRDefault="00D22874">
      <w:pPr>
        <w:pStyle w:val="Textoindependiente"/>
        <w:spacing w:before="120" w:line="283" w:lineRule="auto"/>
      </w:pPr>
      <w:r>
        <w:rPr>
          <w:b/>
        </w:rPr>
        <w:t xml:space="preserve">NAMA Mexicana de Vivienda Sustentable o NAMA de Vivienda: </w:t>
      </w:r>
      <w:r>
        <w:t>es un programa diseñado para la mitigación (reducciones de emisiones) de Gases de Efecto Invernadero (GEI) a través de acciones e intervenciones en la vivienda nueva o existen</w:t>
      </w:r>
      <w:r>
        <w:t xml:space="preserve">te, que reduzcan los consumos de gas, electricidad y agua, entre otros atributos para esos efectos. </w:t>
      </w:r>
      <w:r>
        <w:rPr>
          <w:spacing w:val="-3"/>
        </w:rPr>
        <w:t xml:space="preserve">Tendiente </w:t>
      </w:r>
      <w:r>
        <w:t xml:space="preserve">al logro de los objetivos principales, este programa tiene un impacto en beneficios sociales, como la mejora de la calidad de vida, la salud y el </w:t>
      </w:r>
      <w:r>
        <w:t>bienestar de las familias  que habitan la vivienda.</w:t>
      </w:r>
    </w:p>
    <w:p w:rsidR="00A63476" w:rsidRDefault="00D22874">
      <w:pPr>
        <w:pStyle w:val="Textoindependiente"/>
        <w:spacing w:before="94" w:line="278" w:lineRule="auto"/>
      </w:pPr>
      <w:r>
        <w:rPr>
          <w:b/>
        </w:rPr>
        <w:t xml:space="preserve">NAMA Urbana: </w:t>
      </w:r>
      <w:r>
        <w:t>es un programa diseñado para la mitigación (reducciones de emisiones) de Gases de Efecto Invernadero (GEI) en un polígono urbano. Las acciones de mitigación se desarrollan en los rubros de ag</w:t>
      </w:r>
      <w:r>
        <w:t>ua, energía, transportes, residuos sólidos a nivel conjunto, incluyendo las acciones individuales en cada una de las viviendas que lo integran.</w:t>
      </w:r>
    </w:p>
    <w:p w:rsidR="00A63476" w:rsidRDefault="00D22874">
      <w:pPr>
        <w:pStyle w:val="Textoindependiente"/>
        <w:spacing w:before="100" w:line="290" w:lineRule="auto"/>
      </w:pPr>
      <w:r>
        <w:rPr>
          <w:b/>
        </w:rPr>
        <w:t xml:space="preserve">Necesidades de vivienda: </w:t>
      </w:r>
      <w:r>
        <w:t>Es el número de unidades de vivienda que, producto del incremento demográfico y la dema</w:t>
      </w:r>
      <w:r>
        <w:t>nda existente por la generación de nuevos empleos, son requeridas para evitar un aumento en el rezago habitacional.</w:t>
      </w:r>
    </w:p>
    <w:p w:rsidR="00A63476" w:rsidRDefault="00D22874">
      <w:pPr>
        <w:pStyle w:val="Textoindependiente"/>
        <w:spacing w:before="89" w:line="302" w:lineRule="auto"/>
        <w:ind w:right="663"/>
      </w:pPr>
      <w:r>
        <w:rPr>
          <w:b/>
        </w:rPr>
        <w:t xml:space="preserve">Organismos Ejecutores de Obra: </w:t>
      </w:r>
      <w:r>
        <w:t xml:space="preserve">persona moral o agencias productoras de vivienda autorizadas y registradas ante la Comisión, responsables de </w:t>
      </w:r>
      <w:r>
        <w:t>otorgar asistencia técnica y en el proceso constructivo.</w:t>
      </w:r>
    </w:p>
    <w:p w:rsidR="00A63476" w:rsidRDefault="00D22874">
      <w:pPr>
        <w:pStyle w:val="Textoindependiente"/>
        <w:spacing w:before="78" w:line="290" w:lineRule="auto"/>
      </w:pPr>
      <w:r>
        <w:rPr>
          <w:b/>
        </w:rPr>
        <w:t xml:space="preserve">Organismos Estatales de Vivienda </w:t>
      </w:r>
      <w:r>
        <w:rPr>
          <w:spacing w:val="-5"/>
        </w:rPr>
        <w:t xml:space="preserve">(OREVIS): Organismos </w:t>
      </w:r>
      <w:r>
        <w:rPr>
          <w:spacing w:val="-6"/>
        </w:rPr>
        <w:t xml:space="preserve">públicos descentralizados </w:t>
      </w:r>
      <w:r>
        <w:rPr>
          <w:spacing w:val="-3"/>
        </w:rPr>
        <w:t xml:space="preserve">de la </w:t>
      </w:r>
      <w:r>
        <w:rPr>
          <w:spacing w:val="-5"/>
        </w:rPr>
        <w:t xml:space="preserve">Administración Pública </w:t>
      </w:r>
      <w:r>
        <w:t>Estatal que, de conformidad a las legislaciones estatales, tienen a cargo los programas estatales de vivienda.</w:t>
      </w:r>
    </w:p>
    <w:p w:rsidR="00A63476" w:rsidRDefault="00D22874">
      <w:pPr>
        <w:pStyle w:val="Textoindependiente"/>
        <w:spacing w:before="89" w:line="285" w:lineRule="auto"/>
      </w:pPr>
      <w:r>
        <w:rPr>
          <w:b/>
        </w:rPr>
        <w:t>Órgano Fiscalizador</w:t>
      </w:r>
      <w:r>
        <w:t xml:space="preserve">: De manera indistinta, la Auditoría Superior de la Federación, la Secretaría de la Función Pública, a través de la Unidad de </w:t>
      </w:r>
      <w:r>
        <w:t>Operación Regional y Contraloría Social y la Unidad de Auditoría Gubernamental, el Órgano Interno de Control en la CONAVI y los auditores externos contratados por CONAVI, entre otros.</w:t>
      </w:r>
    </w:p>
    <w:p w:rsidR="00A63476" w:rsidRDefault="00D22874">
      <w:pPr>
        <w:spacing w:before="94"/>
        <w:ind w:left="800"/>
        <w:rPr>
          <w:sz w:val="18"/>
        </w:rPr>
      </w:pPr>
      <w:r>
        <w:rPr>
          <w:b/>
          <w:sz w:val="18"/>
        </w:rPr>
        <w:t xml:space="preserve">Organismos Nacionales de Vivienda (ONAVIS): </w:t>
      </w:r>
      <w:r>
        <w:rPr>
          <w:sz w:val="18"/>
        </w:rPr>
        <w:t>INFONAVIT, FOVISSSTE, ISSFAM</w:t>
      </w:r>
      <w:r>
        <w:rPr>
          <w:sz w:val="18"/>
        </w:rPr>
        <w:t>.</w:t>
      </w:r>
    </w:p>
    <w:p w:rsidR="00A63476" w:rsidRDefault="00D22874">
      <w:pPr>
        <w:spacing w:before="150" w:line="278" w:lineRule="auto"/>
        <w:ind w:left="520" w:right="663" w:firstLine="280"/>
        <w:jc w:val="both"/>
        <w:rPr>
          <w:sz w:val="18"/>
        </w:rPr>
      </w:pPr>
      <w:r>
        <w:rPr>
          <w:b/>
          <w:sz w:val="18"/>
        </w:rPr>
        <w:t>Padrón de personas beneficiarias</w:t>
      </w:r>
      <w:bookmarkStart w:id="34" w:name="_bookmark34"/>
      <w:bookmarkEnd w:id="34"/>
      <w:r>
        <w:fldChar w:fldCharType="begin"/>
      </w:r>
      <w:r>
        <w:instrText xml:space="preserve"> HYPERLINK \l "_bookmark35" </w:instrText>
      </w:r>
      <w:r>
        <w:fldChar w:fldCharType="separate"/>
      </w:r>
      <w:r>
        <w:rPr>
          <w:position w:val="6"/>
          <w:sz w:val="12"/>
        </w:rPr>
        <w:t>18</w:t>
      </w:r>
      <w:r>
        <w:rPr>
          <w:position w:val="6"/>
          <w:sz w:val="12"/>
        </w:rPr>
        <w:fldChar w:fldCharType="end"/>
      </w:r>
      <w:r>
        <w:rPr>
          <w:b/>
          <w:sz w:val="18"/>
        </w:rPr>
        <w:t xml:space="preserve">: </w:t>
      </w:r>
      <w:r>
        <w:rPr>
          <w:sz w:val="18"/>
        </w:rPr>
        <w:t>Relación oficial de personas beneficiarias cuyo perfil socioeconómico se establece en estas Reglas.</w:t>
      </w:r>
    </w:p>
    <w:p w:rsidR="00A63476" w:rsidRDefault="00D22874">
      <w:pPr>
        <w:pStyle w:val="Textoindependiente"/>
        <w:spacing w:before="99" w:line="283" w:lineRule="auto"/>
        <w:ind w:right="654"/>
      </w:pPr>
      <w:r>
        <w:rPr>
          <w:b/>
        </w:rPr>
        <w:t xml:space="preserve">Pena convencional: </w:t>
      </w:r>
      <w:r>
        <w:t>estipulación referida a cierta prestación económica que las Entidades Ejecutoras, Financieras, las entidades federativas o municipios, las personas beneficiarias y la asistencia técnica, deberán cubrir en el caso de que las obligaciones acordadas en los co</w:t>
      </w:r>
      <w:r>
        <w:t xml:space="preserve">nvenios que celebren con la Comisión, no </w:t>
      </w:r>
      <w:r>
        <w:rPr>
          <w:spacing w:val="-6"/>
        </w:rPr>
        <w:t xml:space="preserve">se </w:t>
      </w:r>
      <w:r>
        <w:t>cumplan o no se cumpla de la manera convenida, en los términos descritos en el artículo 1840 del Código  Civil Federal.</w:t>
      </w:r>
    </w:p>
    <w:p w:rsidR="00A63476" w:rsidRDefault="00D22874">
      <w:pPr>
        <w:pStyle w:val="Textoindependiente"/>
        <w:spacing w:before="119" w:line="278" w:lineRule="auto"/>
      </w:pPr>
      <w:r>
        <w:rPr>
          <w:b/>
        </w:rPr>
        <w:t xml:space="preserve">Pensionados: </w:t>
      </w:r>
      <w:r>
        <w:t>Persona física que disfruta de una prestación en dinero otorgada por las instit</w:t>
      </w:r>
      <w:r>
        <w:t>uciones de seguridad social o a través de una aseguradora privada, al cumplir con los requisitos que fija la ley, sus reglamentos o los contratos de adquisición.</w:t>
      </w:r>
    </w:p>
    <w:p w:rsidR="00A63476" w:rsidRDefault="00D22874">
      <w:pPr>
        <w:pStyle w:val="Textoindependiente"/>
        <w:spacing w:before="120" w:line="283" w:lineRule="auto"/>
      </w:pPr>
      <w:r>
        <w:rPr>
          <w:b/>
        </w:rPr>
        <w:t xml:space="preserve">Perímetros de Contención Urbana: </w:t>
      </w:r>
      <w:r>
        <w:t>son el resultado de la aplicación de metodologías geoespacial</w:t>
      </w:r>
      <w:r>
        <w:t>es a partir de fuentes oficiales como el Instituto Nacional de Estadística y Geografía, la Secretaría de Desarrollo Agrario, Territorial y Urbano y el Consejo Nacional de Población. Se clasifican en tres ámbitos o contornos: (a) intraurbanos (U1): son zona</w:t>
      </w:r>
      <w:r>
        <w:t>s urbanas consolidadas con acceso a empleo, equipamiento y servicios urbanos. Resultan de la variable de potencial de empleo, definida como medida de accesibilidad física a los puestos de trabajo para cada localización (unidad geográfica) al interior del á</w:t>
      </w:r>
      <w:r>
        <w:t>rea urbana; (b) primer contorno (U2): son</w:t>
      </w:r>
    </w:p>
    <w:p w:rsidR="00A63476" w:rsidRDefault="00FF0FB3">
      <w:pPr>
        <w:pStyle w:val="Textoindependiente"/>
        <w:spacing w:before="6"/>
        <w:ind w:left="0" w:right="0" w:firstLine="0"/>
        <w:jc w:val="left"/>
        <w:rPr>
          <w:sz w:val="15"/>
        </w:rPr>
      </w:pPr>
      <w:r>
        <w:rPr>
          <w:noProof/>
        </w:rPr>
        <mc:AlternateContent>
          <mc:Choice Requires="wps">
            <w:drawing>
              <wp:anchor distT="0" distB="0" distL="0" distR="0" simplePos="0" relativeHeight="487592448" behindDoc="1" locked="0" layoutInCell="1" allowOverlap="1">
                <wp:simplePos x="0" y="0"/>
                <wp:positionH relativeFrom="page">
                  <wp:posOffset>822960</wp:posOffset>
                </wp:positionH>
                <wp:positionV relativeFrom="paragraph">
                  <wp:posOffset>138430</wp:posOffset>
                </wp:positionV>
                <wp:extent cx="1270000" cy="6350"/>
                <wp:effectExtent l="0" t="0" r="0" b="0"/>
                <wp:wrapTopAndBottom/>
                <wp:docPr id="86" name="Rectangle 6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270000" cy="6350"/>
                        </a:xfrm>
                        <a:prstGeom prst="rect">
                          <a:avLst/>
                        </a:prstGeom>
                        <a:solidFill>
                          <a:srgbClr val="60606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62A201B0" id="Rectangle 63" o:spid="_x0000_s1026" style="position:absolute;margin-left:64.8pt;margin-top:10.9pt;width:100pt;height:.5pt;z-index:-15724032;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" fillcolor="#606060" stroked="f">
                <w10:wrap type="topAndBottom" anchorx="page"/>
              </v:rect>
            </w:pict>
          </mc:Fallback>
        </mc:AlternateContent>
      </w:r>
    </w:p>
    <w:p w:rsidR="00A63476" w:rsidRDefault="00D22874">
      <w:pPr>
        <w:pStyle w:val="Prrafodelista"/>
        <w:numPr>
          <w:ilvl w:val="0"/>
          <w:numId w:val="58"/>
        </w:numPr>
        <w:tabs>
          <w:tab w:val="left" w:pos="312"/>
        </w:tabs>
        <w:spacing w:before="157"/>
        <w:ind w:left="311" w:hanging="192"/>
        <w:rPr>
          <w:rFonts w:ascii="Times New Roman" w:hAnsi="Times New Roman"/>
          <w:i/>
          <w:sz w:val="16"/>
        </w:rPr>
      </w:pPr>
      <w:bookmarkStart w:id="35" w:name="_bookmark35"/>
      <w:bookmarkEnd w:id="35"/>
      <w:r>
        <w:rPr>
          <w:sz w:val="14"/>
        </w:rPr>
        <w:t xml:space="preserve">Artículo 5to, parágrafo VI de la Ley General de Desarrollo Social. </w:t>
      </w:r>
      <w:r>
        <w:rPr>
          <w:i/>
          <w:sz w:val="14"/>
        </w:rPr>
        <w:t>Op</w:t>
      </w:r>
      <w:r>
        <w:rPr>
          <w:i/>
          <w:spacing w:val="-3"/>
          <w:sz w:val="14"/>
        </w:rPr>
        <w:t xml:space="preserve"> </w:t>
      </w:r>
      <w:r>
        <w:rPr>
          <w:i/>
          <w:sz w:val="14"/>
        </w:rPr>
        <w:t>cit.</w:t>
      </w:r>
    </w:p>
    <w:p w:rsidR="00A63476" w:rsidRDefault="00A63476">
      <w:pPr>
        <w:rPr>
          <w:rFonts w:ascii="Times New Roman" w:hAnsi="Times New Roman"/>
          <w:sz w:val="16"/>
        </w:rPr>
        <w:sectPr w:rsidR="00A63476">
          <w:pgSz w:w="12240" w:h="15840"/>
          <w:pgMar w:top="920" w:right="1040" w:bottom="280" w:left="1180" w:header="700" w:footer="0" w:gutter="0"/>
          <w:cols w:space="720"/>
        </w:sectPr>
      </w:pPr>
    </w:p>
    <w:p w:rsidR="00A63476" w:rsidRDefault="00A63476">
      <w:pPr>
        <w:pStyle w:val="Textoindependiente"/>
        <w:spacing w:before="5"/>
        <w:ind w:left="0" w:right="0" w:firstLine="0"/>
        <w:jc w:val="left"/>
        <w:rPr>
          <w:i/>
          <w:sz w:val="12"/>
        </w:rPr>
      </w:pPr>
    </w:p>
    <w:p w:rsidR="00A63476" w:rsidRDefault="00D22874">
      <w:pPr>
        <w:pStyle w:val="Textoindependiente"/>
        <w:spacing w:before="95"/>
        <w:ind w:right="0" w:firstLine="0"/>
      </w:pPr>
      <w:r>
        <w:t>zonas en proceso de consolidación con infraestructura y servicios urbanos de agua y drenaje mayor al 75%; y,</w:t>
      </w:r>
    </w:p>
    <w:p w:rsidR="00A63476" w:rsidRDefault="00D22874">
      <w:pPr>
        <w:pStyle w:val="Textoindependiente"/>
        <w:spacing w:before="53" w:line="278" w:lineRule="auto"/>
        <w:ind w:firstLine="0"/>
      </w:pPr>
      <w:r>
        <w:t>(c) segundo contorno (U3): zonas contiguas al área urbana, en un buffer (cinturón periférico al área urbana) definido de acuerdo con el tamaño de la ciudad. La actualización de los mapas de los contornos la coordina la Comisión.</w:t>
      </w:r>
    </w:p>
    <w:p w:rsidR="00A63476" w:rsidRDefault="00D22874">
      <w:pPr>
        <w:pStyle w:val="Textoindependiente"/>
        <w:spacing w:before="119" w:line="278" w:lineRule="auto"/>
        <w:ind w:right="663"/>
      </w:pPr>
      <w:r>
        <w:rPr>
          <w:b/>
        </w:rPr>
        <w:t>Personas adultas mayores</w:t>
      </w:r>
      <w:r>
        <w:t>: A</w:t>
      </w:r>
      <w:r>
        <w:t>quellas que cuenten con sesenta años o más de edad y que se encuentren domiciliadas o en tránsito en el territorio naciona</w:t>
      </w:r>
      <w:bookmarkStart w:id="36" w:name="_bookmark36"/>
      <w:bookmarkEnd w:id="36"/>
      <w:r>
        <w:t>l</w:t>
      </w:r>
      <w:hyperlink w:anchor="_bookmark39" w:history="1">
        <w:r>
          <w:rPr>
            <w:position w:val="4"/>
            <w:sz w:val="12"/>
          </w:rPr>
          <w:t>19</w:t>
        </w:r>
      </w:hyperlink>
      <w:r>
        <w:t>.</w:t>
      </w:r>
    </w:p>
    <w:p w:rsidR="00A63476" w:rsidRDefault="00D22874">
      <w:pPr>
        <w:pStyle w:val="Textoindependiente"/>
        <w:spacing w:before="100" w:line="297" w:lineRule="auto"/>
        <w:ind w:right="663"/>
      </w:pPr>
      <w:r>
        <w:rPr>
          <w:b/>
        </w:rPr>
        <w:t>Persona Beneficiaria</w:t>
      </w:r>
      <w:r>
        <w:t>: Persona que forma parte de la población atendida por la Comisión, que cumple</w:t>
      </w:r>
      <w:r>
        <w:t xml:space="preserve"> con los requisitos establecidos en la Reglas de Operació</w:t>
      </w:r>
      <w:bookmarkStart w:id="37" w:name="_bookmark37"/>
      <w:bookmarkEnd w:id="37"/>
      <w:r>
        <w:t>n</w:t>
      </w:r>
      <w:hyperlink w:anchor="_bookmark40" w:history="1">
        <w:r>
          <w:rPr>
            <w:position w:val="6"/>
            <w:sz w:val="12"/>
          </w:rPr>
          <w:t>20</w:t>
        </w:r>
      </w:hyperlink>
      <w:r>
        <w:t>.</w:t>
      </w:r>
    </w:p>
    <w:p w:rsidR="00A63476" w:rsidRDefault="00D22874">
      <w:pPr>
        <w:pStyle w:val="Textoindependiente"/>
        <w:spacing w:before="83" w:line="283" w:lineRule="auto"/>
      </w:pPr>
      <w:r>
        <w:rPr>
          <w:b/>
        </w:rPr>
        <w:t xml:space="preserve">Perspectiva de género: </w:t>
      </w:r>
      <w:r>
        <w:t>Concepto que se refiere a la metodología y los mecanismos que permiten identificar, cuestionar y valorar la discriminación, desigualdad y ex</w:t>
      </w:r>
      <w:r>
        <w:t>clusión de las mujeres, que se pretende justificar con base en las diferencias biológicas entre mujeres y hombres, así como las acciones que deben emprenderse para actuar sobre los factores de género y crear las condiciones de cambio que permitan avanzar e</w:t>
      </w:r>
      <w:r>
        <w:t>n la construcción de la equidad de género.</w:t>
      </w:r>
    </w:p>
    <w:p w:rsidR="00A63476" w:rsidRDefault="00D22874">
      <w:pPr>
        <w:pStyle w:val="Textoindependiente"/>
        <w:spacing w:before="119" w:line="278" w:lineRule="auto"/>
      </w:pPr>
      <w:r>
        <w:rPr>
          <w:b/>
        </w:rPr>
        <w:t>Población de bajos ingresos</w:t>
      </w:r>
      <w:r>
        <w:t>: aquélla cuyo ingreso individual se encuentra por debajo del decil VI establecido por el Instituto Nacional de Estadística y Geografía (INEGI) (equivalente a un ingreso individual igual</w:t>
      </w:r>
      <w:r>
        <w:t xml:space="preserve"> o menor a cinco UMA)</w:t>
      </w:r>
    </w:p>
    <w:p w:rsidR="00A63476" w:rsidRDefault="00D22874">
      <w:pPr>
        <w:spacing w:before="120" w:line="302" w:lineRule="auto"/>
        <w:ind w:left="520" w:right="663" w:firstLine="280"/>
        <w:jc w:val="both"/>
        <w:rPr>
          <w:sz w:val="18"/>
        </w:rPr>
      </w:pPr>
      <w:r>
        <w:rPr>
          <w:b/>
          <w:sz w:val="18"/>
        </w:rPr>
        <w:t xml:space="preserve">Policías estatales y municipales acreditados: </w:t>
      </w:r>
      <w:r>
        <w:rPr>
          <w:sz w:val="18"/>
        </w:rPr>
        <w:t>integrantes de las instituciones de seguridad pública, conforme al Art. 40 de la Ley General del Sistema Nacional de Seguridad Pública.</w:t>
      </w:r>
    </w:p>
    <w:p w:rsidR="00A63476" w:rsidRDefault="00D22874">
      <w:pPr>
        <w:pStyle w:val="Textoindependiente"/>
        <w:spacing w:before="98" w:line="302" w:lineRule="auto"/>
      </w:pPr>
      <w:r>
        <w:rPr>
          <w:b/>
        </w:rPr>
        <w:t xml:space="preserve">Posesión legal: </w:t>
      </w:r>
      <w:r>
        <w:t>para efectos del Programa y de las m</w:t>
      </w:r>
      <w:r>
        <w:t xml:space="preserve">odalidades que en él se señalan, se entenderá como el poder que se ejerce sobre un inmueble o una superficie territorial, siempre que la persona </w:t>
      </w:r>
      <w:r>
        <w:rPr>
          <w:spacing w:val="-2"/>
        </w:rPr>
        <w:t xml:space="preserve">beneficiaria </w:t>
      </w:r>
      <w:r>
        <w:t>acredite cuando menos, un parentesco consanguíneo hasta el tercer grado, o directo por afinidad, c</w:t>
      </w:r>
      <w:r>
        <w:t>on quien sea propietario del inmueble.</w:t>
      </w:r>
    </w:p>
    <w:p w:rsidR="00A63476" w:rsidRDefault="00D22874">
      <w:pPr>
        <w:spacing w:before="77"/>
        <w:ind w:left="800"/>
        <w:jc w:val="both"/>
        <w:rPr>
          <w:sz w:val="18"/>
        </w:rPr>
      </w:pPr>
      <w:r>
        <w:rPr>
          <w:b/>
          <w:sz w:val="18"/>
        </w:rPr>
        <w:t xml:space="preserve">Programa: </w:t>
      </w:r>
      <w:r>
        <w:rPr>
          <w:sz w:val="18"/>
        </w:rPr>
        <w:t>Programa de Vivienda Social.</w:t>
      </w:r>
    </w:p>
    <w:p w:rsidR="00A63476" w:rsidRDefault="00D22874">
      <w:pPr>
        <w:pStyle w:val="Textoindependiente"/>
        <w:spacing w:before="153" w:line="302" w:lineRule="auto"/>
      </w:pPr>
      <w:r>
        <w:rPr>
          <w:b/>
        </w:rPr>
        <w:t>Producción social de vivienda</w:t>
      </w:r>
      <w:bookmarkStart w:id="38" w:name="_bookmark38"/>
      <w:bookmarkEnd w:id="38"/>
      <w:r>
        <w:fldChar w:fldCharType="begin"/>
      </w:r>
      <w:r>
        <w:instrText xml:space="preserve"> HYPERLINK \l "_bookmark41" </w:instrText>
      </w:r>
      <w:r>
        <w:fldChar w:fldCharType="separate"/>
      </w:r>
      <w:r>
        <w:rPr>
          <w:b/>
          <w:position w:val="4"/>
          <w:sz w:val="12"/>
        </w:rPr>
        <w:t>21</w:t>
      </w:r>
      <w:r>
        <w:rPr>
          <w:b/>
          <w:position w:val="4"/>
          <w:sz w:val="12"/>
        </w:rPr>
        <w:fldChar w:fldCharType="end"/>
      </w:r>
      <w:r>
        <w:rPr>
          <w:b/>
        </w:rPr>
        <w:t xml:space="preserve">: </w:t>
      </w:r>
      <w:r>
        <w:t>aquella que se realiza bajo el control de autoproductores y autoconstructores que operan sin fines de lucro y que se orienta prioritariamente a atender las necesidades habitacionales de la población de bajos ingresos, incluye aquella que se realiza por pro</w:t>
      </w:r>
      <w:r>
        <w:t>cedimientos autogestivos y solidarios que dan prioridad al valor de uso de la vivienda por sobre la definición mercantil, mezclando recursos, procedimientos constructivos y tecnologías con base en sus propias necesidades y su capacidad de gestión y toma de</w:t>
      </w:r>
      <w:r>
        <w:t xml:space="preserve"> decisiones.</w:t>
      </w:r>
    </w:p>
    <w:p w:rsidR="00A63476" w:rsidRDefault="00D22874">
      <w:pPr>
        <w:pStyle w:val="Textoindependiente"/>
        <w:spacing w:before="95" w:line="302" w:lineRule="auto"/>
      </w:pPr>
      <w:r>
        <w:rPr>
          <w:b/>
        </w:rPr>
        <w:t xml:space="preserve">Producción social de vivienda asistida: </w:t>
      </w:r>
      <w:r>
        <w:t>acciones de producción social de vivienda realizadas con apoyo de asistencia técnica integral. Comprende aspectos técnicos, financieros, organizativos, ambientales, de capacitación y de gestión adecuados</w:t>
      </w:r>
      <w:r>
        <w:t xml:space="preserve"> a las características del proceso y de los beneficiarios. La asistencia es parcial, cuando sólo atiende alguno(s) aspecto(s) e integral cuando los atiende todos.</w:t>
      </w:r>
    </w:p>
    <w:p w:rsidR="00A63476" w:rsidRDefault="00D22874">
      <w:pPr>
        <w:pStyle w:val="Textoindependiente"/>
        <w:spacing w:before="97" w:line="295" w:lineRule="auto"/>
      </w:pPr>
      <w:r>
        <w:rPr>
          <w:b/>
        </w:rPr>
        <w:t xml:space="preserve">Proyectos estratégicos: </w:t>
      </w:r>
      <w:r>
        <w:t>intervención habitacional en zonas específicas destinadas al desarrol</w:t>
      </w:r>
      <w:r>
        <w:t>lo de proyectos estratégicos, de alto impacto social y económico, propuestos por el gobierno federal, que tendrán como consecuencia la demanda de vivienda y satisfactores urbanos en las localidades involucradas en dichos proyectos, ya sea de población asen</w:t>
      </w:r>
      <w:r>
        <w:t>tada en los sitios impactados o por la población que arribará producto de la oferta de empleos de la inversión económica que en ellas tendrán lugar.</w:t>
      </w:r>
    </w:p>
    <w:p w:rsidR="00A63476" w:rsidRDefault="00D22874">
      <w:pPr>
        <w:pStyle w:val="Textoindependiente"/>
        <w:spacing w:before="107" w:line="302" w:lineRule="auto"/>
      </w:pPr>
      <w:r>
        <w:rPr>
          <w:b/>
        </w:rPr>
        <w:t xml:space="preserve">Reconstrucción: </w:t>
      </w:r>
      <w:r>
        <w:t xml:space="preserve">se refiere a la intervención con acciones de vivienda en las zonas afectadas por fenómenos </w:t>
      </w:r>
      <w:r>
        <w:t>naturales, tanto en el ámbito urbano como rural, que puede incluir acciones de mejoramiento, ampliación, sustitución o reubicación de vivienda.</w:t>
      </w:r>
    </w:p>
    <w:p w:rsidR="00A63476" w:rsidRDefault="00FF0FB3">
      <w:pPr>
        <w:pStyle w:val="Textoindependiente"/>
        <w:spacing w:before="1"/>
        <w:ind w:left="0" w:right="0" w:firstLine="0"/>
        <w:jc w:val="left"/>
        <w:rPr>
          <w:sz w:val="22"/>
        </w:rPr>
      </w:pPr>
      <w:r>
        <w:rPr>
          <w:noProof/>
        </w:rPr>
        <mc:AlternateContent>
          <mc:Choice Requires="wps">
            <w:drawing>
              <wp:anchor distT="0" distB="0" distL="0" distR="0" simplePos="0" relativeHeight="487592960" behindDoc="1" locked="0" layoutInCell="1" allowOverlap="1">
                <wp:simplePos x="0" y="0"/>
                <wp:positionH relativeFrom="page">
                  <wp:posOffset>822960</wp:posOffset>
                </wp:positionH>
                <wp:positionV relativeFrom="paragraph">
                  <wp:posOffset>186055</wp:posOffset>
                </wp:positionV>
                <wp:extent cx="1270000" cy="6350"/>
                <wp:effectExtent l="0" t="0" r="0" b="0"/>
                <wp:wrapTopAndBottom/>
                <wp:docPr id="85" name="Rectangle 6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270000" cy="6350"/>
                        </a:xfrm>
                        <a:prstGeom prst="rect">
                          <a:avLst/>
                        </a:prstGeom>
                        <a:solidFill>
                          <a:srgbClr val="60606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7893B117" id="Rectangle 62" o:spid="_x0000_s1026" style="position:absolute;margin-left:64.8pt;margin-top:14.65pt;width:100pt;height:.5pt;z-index:-15723520;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" fillcolor="#606060" stroked="f">
                <w10:wrap type="topAndBottom" anchorx="page"/>
              </v:rect>
            </w:pict>
          </mc:Fallback>
        </mc:AlternateContent>
      </w:r>
    </w:p>
    <w:p w:rsidR="00A63476" w:rsidRDefault="00A63476">
      <w:pPr>
        <w:pStyle w:val="Textoindependiente"/>
        <w:spacing w:before="2"/>
        <w:ind w:left="0" w:right="0" w:firstLine="0"/>
        <w:jc w:val="left"/>
        <w:rPr>
          <w:sz w:val="6"/>
        </w:rPr>
      </w:pPr>
    </w:p>
    <w:p w:rsidR="00A63476" w:rsidRDefault="00D22874">
      <w:pPr>
        <w:pStyle w:val="Prrafodelista"/>
        <w:numPr>
          <w:ilvl w:val="0"/>
          <w:numId w:val="58"/>
        </w:numPr>
        <w:tabs>
          <w:tab w:val="left" w:pos="312"/>
        </w:tabs>
        <w:spacing w:before="94"/>
        <w:ind w:left="311" w:hanging="192"/>
        <w:rPr>
          <w:rFonts w:ascii="Times New Roman" w:hAnsi="Times New Roman"/>
          <w:sz w:val="16"/>
        </w:rPr>
      </w:pPr>
      <w:bookmarkStart w:id="39" w:name="_bookmark39"/>
      <w:bookmarkEnd w:id="39"/>
      <w:r>
        <w:rPr>
          <w:sz w:val="14"/>
        </w:rPr>
        <w:t>Ar</w:t>
      </w:r>
      <w:r>
        <w:rPr>
          <w:sz w:val="14"/>
        </w:rPr>
        <w:t>tículo 3ro, parágrafo I de la Ley de los Derechos de las Personas Adultas</w:t>
      </w:r>
      <w:r>
        <w:rPr>
          <w:spacing w:val="-9"/>
          <w:sz w:val="14"/>
        </w:rPr>
        <w:t xml:space="preserve"> </w:t>
      </w:r>
      <w:r>
        <w:rPr>
          <w:sz w:val="14"/>
        </w:rPr>
        <w:t>Mayores</w:t>
      </w:r>
    </w:p>
    <w:p w:rsidR="00A63476" w:rsidRDefault="00A63476">
      <w:pPr>
        <w:pStyle w:val="Textoindependiente"/>
        <w:spacing w:before="6"/>
        <w:ind w:left="0" w:right="0" w:firstLine="0"/>
        <w:jc w:val="left"/>
        <w:rPr>
          <w:sz w:val="14"/>
        </w:rPr>
      </w:pPr>
    </w:p>
    <w:p w:rsidR="00A63476" w:rsidRDefault="00D22874">
      <w:pPr>
        <w:pStyle w:val="Prrafodelista"/>
        <w:numPr>
          <w:ilvl w:val="0"/>
          <w:numId w:val="58"/>
        </w:numPr>
        <w:tabs>
          <w:tab w:val="left" w:pos="326"/>
        </w:tabs>
        <w:spacing w:before="94"/>
        <w:ind w:left="120" w:right="105" w:firstLine="0"/>
        <w:rPr>
          <w:rFonts w:ascii="Times New Roman" w:hAnsi="Times New Roman"/>
          <w:sz w:val="16"/>
        </w:rPr>
      </w:pPr>
      <w:bookmarkStart w:id="40" w:name="_bookmark40"/>
      <w:bookmarkEnd w:id="40"/>
      <w:r>
        <w:rPr>
          <w:sz w:val="14"/>
        </w:rPr>
        <w:t xml:space="preserve">Artículo. 5to, parágrafo I de la Ley General de Desarrollo Social. H. Cámara de Diputados. Disponible en </w:t>
      </w:r>
      <w:hyperlink r:id="rId16">
        <w:r>
          <w:rPr>
            <w:sz w:val="14"/>
          </w:rPr>
          <w:t>http</w:t>
        </w:r>
        <w:r>
          <w:rPr>
            <w:sz w:val="14"/>
          </w:rPr>
          <w:t>://www.diputados.gob.mx/LeyesBiblio/pdf/</w:t>
        </w:r>
      </w:hyperlink>
      <w:r>
        <w:rPr>
          <w:sz w:val="14"/>
        </w:rPr>
        <w:t xml:space="preserve"> 264_250618.pdf</w:t>
      </w:r>
    </w:p>
    <w:p w:rsidR="00A63476" w:rsidRDefault="00A63476">
      <w:pPr>
        <w:pStyle w:val="Textoindependiente"/>
        <w:ind w:left="0" w:right="0" w:firstLine="0"/>
        <w:jc w:val="left"/>
        <w:rPr>
          <w:sz w:val="19"/>
        </w:rPr>
      </w:pPr>
    </w:p>
    <w:p w:rsidR="00A63476" w:rsidRDefault="00D22874">
      <w:pPr>
        <w:pStyle w:val="Prrafodelista"/>
        <w:numPr>
          <w:ilvl w:val="0"/>
          <w:numId w:val="58"/>
        </w:numPr>
        <w:tabs>
          <w:tab w:val="left" w:pos="330"/>
        </w:tabs>
        <w:spacing w:before="0"/>
        <w:ind w:left="329" w:hanging="210"/>
        <w:rPr>
          <w:sz w:val="16"/>
        </w:rPr>
      </w:pPr>
      <w:bookmarkStart w:id="41" w:name="_bookmark41"/>
      <w:bookmarkEnd w:id="41"/>
      <w:r>
        <w:rPr>
          <w:sz w:val="14"/>
        </w:rPr>
        <w:t xml:space="preserve">Artículo 4to, parágrafo X de la Ley de Vivienda. </w:t>
      </w:r>
      <w:r>
        <w:rPr>
          <w:i/>
          <w:sz w:val="14"/>
        </w:rPr>
        <w:t>Op</w:t>
      </w:r>
      <w:r>
        <w:rPr>
          <w:i/>
          <w:spacing w:val="-2"/>
          <w:sz w:val="14"/>
        </w:rPr>
        <w:t xml:space="preserve"> </w:t>
      </w:r>
      <w:r>
        <w:rPr>
          <w:i/>
          <w:sz w:val="14"/>
        </w:rPr>
        <w:t>cit</w:t>
      </w:r>
      <w:r>
        <w:rPr>
          <w:sz w:val="14"/>
        </w:rPr>
        <w:t>.</w:t>
      </w:r>
    </w:p>
    <w:p w:rsidR="00A63476" w:rsidRDefault="00A63476">
      <w:pPr>
        <w:rPr>
          <w:sz w:val="16"/>
        </w:rPr>
        <w:sectPr w:rsidR="00A63476">
          <w:pgSz w:w="12240" w:h="15840"/>
          <w:pgMar w:top="920" w:right="1040" w:bottom="280" w:left="1180" w:header="700" w:footer="0" w:gutter="0"/>
          <w:cols w:space="720"/>
        </w:sectPr>
      </w:pPr>
    </w:p>
    <w:p w:rsidR="00A63476" w:rsidRDefault="00A63476">
      <w:pPr>
        <w:pStyle w:val="Textoindependiente"/>
        <w:spacing w:before="2"/>
        <w:ind w:left="0" w:right="0" w:firstLine="0"/>
        <w:jc w:val="left"/>
        <w:rPr>
          <w:sz w:val="14"/>
        </w:rPr>
      </w:pPr>
    </w:p>
    <w:p w:rsidR="00A63476" w:rsidRDefault="00D22874">
      <w:pPr>
        <w:pStyle w:val="Textoindependiente"/>
        <w:spacing w:before="95" w:line="302" w:lineRule="auto"/>
      </w:pPr>
      <w:r>
        <w:rPr>
          <w:b/>
        </w:rPr>
        <w:t xml:space="preserve">Registro Nacional de Reservas Territoriales: </w:t>
      </w:r>
      <w:r>
        <w:t>(RENARET) instrumento construido por la Comisión para apoyar el objetivo de la Pol</w:t>
      </w:r>
      <w:r>
        <w:t>ítica Nacional de Vivienda de ordenar la expansión descontrolada de las ciudades. Su objetivo es conocer y calificar el grado de desarrollo y la ubicación de las reservas territoriales de propiedad privada adquirida con fines habitacionales.</w:t>
      </w:r>
    </w:p>
    <w:p w:rsidR="00A63476" w:rsidRDefault="00D22874">
      <w:pPr>
        <w:pStyle w:val="Textoindependiente"/>
        <w:spacing w:before="76"/>
        <w:ind w:left="800" w:right="0" w:firstLine="0"/>
      </w:pPr>
      <w:r>
        <w:rPr>
          <w:b/>
        </w:rPr>
        <w:t xml:space="preserve">Reglas: </w:t>
      </w:r>
      <w:r>
        <w:t>Reglas</w:t>
      </w:r>
      <w:r>
        <w:t xml:space="preserve"> de Operación del Programa de Vivienda Social.</w:t>
      </w:r>
    </w:p>
    <w:p w:rsidR="00A63476" w:rsidRDefault="00D22874">
      <w:pPr>
        <w:pStyle w:val="Textoindependiente"/>
        <w:spacing w:before="133" w:line="302" w:lineRule="auto"/>
        <w:ind w:right="656"/>
        <w:jc w:val="left"/>
      </w:pPr>
      <w:r>
        <w:rPr>
          <w:b/>
          <w:spacing w:val="-5"/>
        </w:rPr>
        <w:t xml:space="preserve">Reservas: </w:t>
      </w:r>
      <w:r>
        <w:rPr>
          <w:spacing w:val="-4"/>
        </w:rPr>
        <w:t xml:space="preserve">las </w:t>
      </w:r>
      <w:r>
        <w:rPr>
          <w:spacing w:val="-5"/>
        </w:rPr>
        <w:t xml:space="preserve">áreas </w:t>
      </w:r>
      <w:r>
        <w:rPr>
          <w:spacing w:val="-3"/>
        </w:rPr>
        <w:t xml:space="preserve">de un </w:t>
      </w:r>
      <w:r>
        <w:rPr>
          <w:spacing w:val="-5"/>
        </w:rPr>
        <w:t xml:space="preserve">centro </w:t>
      </w:r>
      <w:r>
        <w:rPr>
          <w:spacing w:val="-3"/>
        </w:rPr>
        <w:t xml:space="preserve">de </w:t>
      </w:r>
      <w:r>
        <w:rPr>
          <w:spacing w:val="-6"/>
        </w:rPr>
        <w:t xml:space="preserve">población </w:t>
      </w:r>
      <w:r>
        <w:rPr>
          <w:spacing w:val="-4"/>
        </w:rPr>
        <w:t xml:space="preserve">que </w:t>
      </w:r>
      <w:r>
        <w:rPr>
          <w:spacing w:val="-5"/>
        </w:rPr>
        <w:t xml:space="preserve">serán </w:t>
      </w:r>
      <w:r>
        <w:rPr>
          <w:spacing w:val="-6"/>
        </w:rPr>
        <w:t xml:space="preserve">utilizadas </w:t>
      </w:r>
      <w:r>
        <w:rPr>
          <w:spacing w:val="-5"/>
        </w:rPr>
        <w:t xml:space="preserve">para </w:t>
      </w:r>
      <w:r>
        <w:rPr>
          <w:spacing w:val="-3"/>
        </w:rPr>
        <w:t xml:space="preserve">su </w:t>
      </w:r>
      <w:r>
        <w:rPr>
          <w:spacing w:val="-6"/>
        </w:rPr>
        <w:t xml:space="preserve">crecimiento. </w:t>
      </w:r>
      <w:r>
        <w:rPr>
          <w:spacing w:val="-3"/>
        </w:rPr>
        <w:t xml:space="preserve">En </w:t>
      </w:r>
      <w:r>
        <w:rPr>
          <w:spacing w:val="-4"/>
        </w:rPr>
        <w:t xml:space="preserve">este caso </w:t>
      </w:r>
      <w:r>
        <w:rPr>
          <w:spacing w:val="-3"/>
        </w:rPr>
        <w:t xml:space="preserve">se </w:t>
      </w:r>
      <w:r>
        <w:rPr>
          <w:spacing w:val="-5"/>
        </w:rPr>
        <w:t xml:space="preserve">trata </w:t>
      </w:r>
      <w:r>
        <w:rPr>
          <w:spacing w:val="-3"/>
        </w:rPr>
        <w:t xml:space="preserve">de </w:t>
      </w:r>
      <w:r>
        <w:rPr>
          <w:spacing w:val="-5"/>
        </w:rPr>
        <w:t xml:space="preserve">reservas territoriales </w:t>
      </w:r>
      <w:r>
        <w:rPr>
          <w:spacing w:val="-6"/>
        </w:rPr>
        <w:t xml:space="preserve">dirigidas </w:t>
      </w:r>
      <w:r>
        <w:rPr>
          <w:spacing w:val="-3"/>
        </w:rPr>
        <w:t xml:space="preserve">al </w:t>
      </w:r>
      <w:r>
        <w:rPr>
          <w:spacing w:val="-6"/>
        </w:rPr>
        <w:t xml:space="preserve">desarrollo </w:t>
      </w:r>
      <w:r>
        <w:rPr>
          <w:spacing w:val="-3"/>
        </w:rPr>
        <w:t xml:space="preserve">de </w:t>
      </w:r>
      <w:r>
        <w:rPr>
          <w:spacing w:val="-5"/>
        </w:rPr>
        <w:t xml:space="preserve">vivienda, </w:t>
      </w:r>
      <w:r>
        <w:rPr>
          <w:spacing w:val="-6"/>
        </w:rPr>
        <w:t xml:space="preserve">inscritas </w:t>
      </w:r>
      <w:r>
        <w:rPr>
          <w:spacing w:val="-3"/>
        </w:rPr>
        <w:t xml:space="preserve">en el </w:t>
      </w:r>
      <w:r>
        <w:rPr>
          <w:spacing w:val="-6"/>
        </w:rPr>
        <w:t xml:space="preserve">Registro Nacional </w:t>
      </w:r>
      <w:r>
        <w:rPr>
          <w:spacing w:val="-3"/>
        </w:rPr>
        <w:t xml:space="preserve">de </w:t>
      </w:r>
      <w:r>
        <w:rPr>
          <w:spacing w:val="-6"/>
        </w:rPr>
        <w:t xml:space="preserve">Reservas </w:t>
      </w:r>
      <w:r>
        <w:rPr>
          <w:spacing w:val="-7"/>
        </w:rPr>
        <w:t>Territoriales.</w:t>
      </w:r>
    </w:p>
    <w:p w:rsidR="00A63476" w:rsidRDefault="00D22874">
      <w:pPr>
        <w:pStyle w:val="Textoindependiente"/>
        <w:spacing w:before="79" w:line="302" w:lineRule="auto"/>
        <w:ind w:right="656"/>
        <w:jc w:val="left"/>
      </w:pPr>
      <w:r>
        <w:rPr>
          <w:b/>
        </w:rPr>
        <w:t xml:space="preserve">Rezago habitacional: </w:t>
      </w:r>
      <w:r>
        <w:t>Es el número de viviendas con materiales precarios en pisos, techos y muros, que no cuentan con excusado o aquellas cuyos residentes habitan en hacinamiento.</w:t>
      </w:r>
    </w:p>
    <w:p w:rsidR="00A63476" w:rsidRDefault="00D22874">
      <w:pPr>
        <w:pStyle w:val="Textoindependiente"/>
        <w:spacing w:before="98"/>
        <w:ind w:left="800" w:right="0" w:firstLine="0"/>
        <w:jc w:val="left"/>
      </w:pPr>
      <w:r>
        <w:rPr>
          <w:b/>
        </w:rPr>
        <w:t xml:space="preserve">RIF: </w:t>
      </w:r>
      <w:r>
        <w:t>Régimen de Incorporación Fiscal, previsto en la Ley del Impuesto Sobre la Renta.</w:t>
      </w:r>
    </w:p>
    <w:p w:rsidR="00A63476" w:rsidRDefault="00D22874">
      <w:pPr>
        <w:pStyle w:val="Textoindependiente"/>
        <w:spacing w:before="133" w:line="302" w:lineRule="auto"/>
      </w:pPr>
      <w:r>
        <w:rPr>
          <w:b/>
        </w:rPr>
        <w:t xml:space="preserve">RISS: </w:t>
      </w:r>
      <w:r>
        <w:t>Régime</w:t>
      </w:r>
      <w:r>
        <w:t>n de Incorporación a la Seguridad Social, considerado en el Decreto del Ejecutivo Federal por el que se otorgan estímulos para promover la incorporación a la seguridad social publicado en el Diario  Oficial de la Federación el día 8 de abril de 2014.</w:t>
      </w:r>
    </w:p>
    <w:p w:rsidR="00A63476" w:rsidRDefault="00D22874">
      <w:pPr>
        <w:pStyle w:val="Textoindependiente"/>
        <w:spacing w:before="78"/>
        <w:ind w:left="800" w:right="0" w:firstLine="0"/>
      </w:pPr>
      <w:r>
        <w:rPr>
          <w:b/>
        </w:rPr>
        <w:t xml:space="preserve">RUV: </w:t>
      </w:r>
      <w:r>
        <w:t>Registro Único de Vivienda o la plataforma tecnológica que determine la Comisión.</w:t>
      </w:r>
    </w:p>
    <w:p w:rsidR="00A63476" w:rsidRDefault="00D22874">
      <w:pPr>
        <w:pStyle w:val="Textoindependiente"/>
        <w:spacing w:before="133" w:line="302" w:lineRule="auto"/>
        <w:ind w:right="656"/>
        <w:jc w:val="left"/>
      </w:pPr>
      <w:r>
        <w:rPr>
          <w:b/>
        </w:rPr>
        <w:t xml:space="preserve">SAAVII: </w:t>
      </w:r>
      <w:r>
        <w:t>Simulador de Ahorro de Agua en la Vivienda; que permite evaluar el ahorro de agua que se traduce en beneficios para el usuario de la vivienda.</w:t>
      </w:r>
    </w:p>
    <w:p w:rsidR="00A63476" w:rsidRDefault="00D22874">
      <w:pPr>
        <w:pStyle w:val="Textoindependiente"/>
        <w:spacing w:before="98"/>
        <w:ind w:left="800" w:right="0" w:firstLine="0"/>
        <w:jc w:val="left"/>
      </w:pPr>
      <w:r>
        <w:rPr>
          <w:b/>
        </w:rPr>
        <w:t xml:space="preserve">SEDATU: </w:t>
      </w:r>
      <w:r>
        <w:t>Secretaría de D</w:t>
      </w:r>
      <w:r>
        <w:t>esarrollo Agrario, Territorial y Urbano.</w:t>
      </w:r>
    </w:p>
    <w:p w:rsidR="00A63476" w:rsidRDefault="00D22874">
      <w:pPr>
        <w:pStyle w:val="Textoindependiente"/>
        <w:spacing w:before="133" w:line="302" w:lineRule="auto"/>
        <w:ind w:right="663"/>
      </w:pPr>
      <w:r>
        <w:rPr>
          <w:b/>
        </w:rPr>
        <w:t xml:space="preserve">Seguridad Pública Federal: </w:t>
      </w:r>
      <w:r>
        <w:t>miembros en activo o en retiro de la Policía Federal o de otra corporación de seguridad pública que dependa estructuralmente de una Dependencia de la Administración Pública Federal.</w:t>
      </w:r>
    </w:p>
    <w:p w:rsidR="00A63476" w:rsidRDefault="00D22874">
      <w:pPr>
        <w:pStyle w:val="Textoindependiente"/>
        <w:spacing w:before="79"/>
        <w:ind w:left="800" w:right="0" w:firstLine="0"/>
      </w:pPr>
      <w:r>
        <w:rPr>
          <w:b/>
        </w:rPr>
        <w:t xml:space="preserve">SHF: </w:t>
      </w:r>
      <w:r>
        <w:t>S</w:t>
      </w:r>
      <w:r>
        <w:t>ociedad Hipotecaria Federal, Sociedad Nacional de Crédito, Institución de Banca de Desarrollo.</w:t>
      </w:r>
    </w:p>
    <w:p w:rsidR="00A63476" w:rsidRDefault="00D22874">
      <w:pPr>
        <w:pStyle w:val="Textoindependiente"/>
        <w:spacing w:before="113" w:line="302" w:lineRule="auto"/>
        <w:ind w:right="663"/>
      </w:pPr>
      <w:r>
        <w:rPr>
          <w:b/>
        </w:rPr>
        <w:t xml:space="preserve">SISEVIVE: </w:t>
      </w:r>
      <w:r>
        <w:t xml:space="preserve">Sistema de Evaluación de la Vivienda Verde, que integra los cálculos de ahorro en energía eléctrica, gas y agua; evaluando el potencial de ahorro para </w:t>
      </w:r>
      <w:r>
        <w:t>el usuario de la vivienda.</w:t>
      </w:r>
    </w:p>
    <w:p w:rsidR="00A63476" w:rsidRDefault="00D22874">
      <w:pPr>
        <w:pStyle w:val="Textoindependiente"/>
        <w:spacing w:before="58" w:line="285" w:lineRule="auto"/>
      </w:pPr>
      <w:r>
        <w:rPr>
          <w:b/>
        </w:rPr>
        <w:t>Sistema de Información</w:t>
      </w:r>
      <w:r>
        <w:t>: el Sistema Nacional de Información e Indicadores de Vivienda, como el conjunto de datos producidos por los sectores público, social y privado, organizados bajo una estructura conceptual predeterminada, que</w:t>
      </w:r>
      <w:r>
        <w:t xml:space="preserve"> permita mostrar la situación de la vivienda y el mercado habitacional, así como los efectos de las políticas públicas en la materi</w:t>
      </w:r>
      <w:bookmarkStart w:id="42" w:name="_bookmark42"/>
      <w:bookmarkEnd w:id="42"/>
      <w:r>
        <w:t>a</w:t>
      </w:r>
      <w:hyperlink w:anchor="_bookmark45" w:history="1">
        <w:r>
          <w:rPr>
            <w:position w:val="4"/>
            <w:sz w:val="12"/>
          </w:rPr>
          <w:t>22</w:t>
        </w:r>
      </w:hyperlink>
      <w:r>
        <w:t>.</w:t>
      </w:r>
    </w:p>
    <w:p w:rsidR="00A63476" w:rsidRDefault="00D22874">
      <w:pPr>
        <w:pStyle w:val="Textoindependiente"/>
        <w:spacing w:before="95" w:line="283" w:lineRule="auto"/>
      </w:pPr>
      <w:r>
        <w:rPr>
          <w:b/>
        </w:rPr>
        <w:t xml:space="preserve">Sistema Urbano Nacional: </w:t>
      </w:r>
      <w:r>
        <w:t>integra información geo estadística básica que representa el pun</w:t>
      </w:r>
      <w:r>
        <w:t>to de partida para el conocimiento sobre las ciudades del país, está contenido en un catálogo elaborado por la Secretaría de Desarrollo Social, la Secretaría de Gobernación y el Consejo Nacional de Población y constituye una herramienta para la planeación,</w:t>
      </w:r>
      <w:r>
        <w:t xml:space="preserve"> la toma de decisiones y el análisis de la dinámica urbana de México en los tres órdenes de gobierno, la academia y el sector</w:t>
      </w:r>
      <w:r>
        <w:rPr>
          <w:spacing w:val="-2"/>
        </w:rPr>
        <w:t xml:space="preserve"> </w:t>
      </w:r>
      <w:r>
        <w:t>privado.</w:t>
      </w:r>
    </w:p>
    <w:p w:rsidR="00A63476" w:rsidRDefault="00D22874">
      <w:pPr>
        <w:pStyle w:val="Textoindependiente"/>
        <w:spacing w:before="99" w:line="285" w:lineRule="auto"/>
      </w:pPr>
      <w:r>
        <w:rPr>
          <w:b/>
        </w:rPr>
        <w:t>Subsidios</w:t>
      </w:r>
      <w:r>
        <w:t>: las asignaciones de recursos federales previstas en el Presupuesto de Egresos que, a través de las dependencia</w:t>
      </w:r>
      <w:r>
        <w:t>s y entidades, se otorgan a los diferentes sectores de la sociedad, a las entidades federativas o municipios para fomentar el desarrollo de actividades sociales o económicas prioritarias de interés genera</w:t>
      </w:r>
      <w:bookmarkStart w:id="43" w:name="_bookmark43"/>
      <w:bookmarkEnd w:id="43"/>
      <w:r>
        <w:t>l</w:t>
      </w:r>
      <w:hyperlink w:anchor="_bookmark46" w:history="1">
        <w:r>
          <w:rPr>
            <w:position w:val="6"/>
            <w:sz w:val="12"/>
          </w:rPr>
          <w:t xml:space="preserve">23 </w:t>
        </w:r>
      </w:hyperlink>
      <w:r>
        <w:t>.</w:t>
      </w:r>
    </w:p>
    <w:p w:rsidR="00A63476" w:rsidRDefault="00D22874">
      <w:pPr>
        <w:pStyle w:val="Textoindependiente"/>
        <w:spacing w:before="71" w:line="285" w:lineRule="auto"/>
      </w:pPr>
      <w:r>
        <w:rPr>
          <w:b/>
        </w:rPr>
        <w:t>Subsidio federa</w:t>
      </w:r>
      <w:r>
        <w:rPr>
          <w:b/>
        </w:rPr>
        <w:t xml:space="preserve">l para vivienda: </w:t>
      </w:r>
      <w:r>
        <w:t>monto del apoyo económico no recuperable que otorga el gobierno federal a través de La Comisión a la persona beneficiaria del Programa, de acuerdo con los criterios de objetividad, equidad, transparencia, publicidad y temporalidad, así com</w:t>
      </w:r>
      <w:r>
        <w:t>o con lo dispuesto en el artículo 75 de la Ley Federal de Presupuesto y Responsabilidad</w:t>
      </w:r>
      <w:r>
        <w:rPr>
          <w:spacing w:val="-1"/>
        </w:rPr>
        <w:t xml:space="preserve"> </w:t>
      </w:r>
      <w:r>
        <w:t>Hacendaria.</w:t>
      </w:r>
    </w:p>
    <w:p w:rsidR="00A63476" w:rsidRDefault="00D22874">
      <w:pPr>
        <w:pStyle w:val="Textoindependiente"/>
        <w:spacing w:before="94" w:line="278" w:lineRule="auto"/>
        <w:ind w:right="663"/>
      </w:pPr>
      <w:r>
        <w:rPr>
          <w:b/>
        </w:rPr>
        <w:t>Suelo</w:t>
      </w:r>
      <w:r>
        <w:t>: los terrenos física y legalmente susceptibles de ser destinados predominantemente al uso habitacional conforme a las disposiciones aplicable</w:t>
      </w:r>
      <w:bookmarkStart w:id="44" w:name="_bookmark44"/>
      <w:bookmarkEnd w:id="44"/>
      <w:r>
        <w:t>s</w:t>
      </w:r>
      <w:hyperlink w:anchor="_bookmark47" w:history="1">
        <w:r>
          <w:rPr>
            <w:position w:val="4"/>
            <w:sz w:val="12"/>
          </w:rPr>
          <w:t>24</w:t>
        </w:r>
      </w:hyperlink>
      <w:r>
        <w:t>.</w:t>
      </w:r>
    </w:p>
    <w:p w:rsidR="00A63476" w:rsidRDefault="00FF0FB3">
      <w:pPr>
        <w:pStyle w:val="Textoindependiente"/>
        <w:ind w:left="0" w:right="0" w:firstLine="0"/>
        <w:jc w:val="left"/>
        <w:rPr>
          <w:sz w:val="16"/>
        </w:rPr>
      </w:pPr>
      <w:r>
        <w:rPr>
          <w:noProof/>
        </w:rPr>
        <mc:AlternateContent>
          <mc:Choice Requires="wps">
            <w:drawing>
              <wp:anchor distT="0" distB="0" distL="0" distR="0" simplePos="0" relativeHeight="487593472" behindDoc="1" locked="0" layoutInCell="1" allowOverlap="1">
                <wp:simplePos x="0" y="0"/>
                <wp:positionH relativeFrom="page">
                  <wp:posOffset>822960</wp:posOffset>
                </wp:positionH>
                <wp:positionV relativeFrom="paragraph">
                  <wp:posOffset>142240</wp:posOffset>
                </wp:positionV>
                <wp:extent cx="1270000" cy="6350"/>
                <wp:effectExtent l="0" t="0" r="0" b="0"/>
                <wp:wrapTopAndBottom/>
                <wp:docPr id="84" name="Rectangle 6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270000" cy="6350"/>
                        </a:xfrm>
                        <a:prstGeom prst="rect">
                          <a:avLst/>
                        </a:prstGeom>
                        <a:solidFill>
                          <a:srgbClr val="60606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60B4818B" id="Rectangle 61" o:spid="_x0000_s1026" style="position:absolute;margin-left:64.8pt;margin-top:11.2pt;width:100pt;height:.5pt;z-index:-15723008;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" fillcolor="#606060" stroked="f">
                <w10:wrap type="topAndBottom" anchorx="page"/>
              </v:rect>
            </w:pict>
          </mc:Fallback>
        </mc:AlternateContent>
      </w:r>
    </w:p>
    <w:p w:rsidR="00A63476" w:rsidRDefault="00D22874">
      <w:pPr>
        <w:pStyle w:val="Prrafodelista"/>
        <w:numPr>
          <w:ilvl w:val="0"/>
          <w:numId w:val="58"/>
        </w:numPr>
        <w:tabs>
          <w:tab w:val="left" w:pos="312"/>
        </w:tabs>
        <w:spacing w:before="157"/>
        <w:ind w:left="311" w:hanging="192"/>
        <w:rPr>
          <w:rFonts w:ascii="Times New Roman" w:hAnsi="Times New Roman"/>
          <w:sz w:val="16"/>
        </w:rPr>
      </w:pPr>
      <w:bookmarkStart w:id="45" w:name="_bookmark45"/>
      <w:bookmarkEnd w:id="45"/>
      <w:r>
        <w:rPr>
          <w:sz w:val="14"/>
        </w:rPr>
        <w:t>Ar</w:t>
      </w:r>
      <w:r>
        <w:rPr>
          <w:sz w:val="14"/>
        </w:rPr>
        <w:t xml:space="preserve">tículo 4to, parágrafo XIII de la Ley de Vivienda. </w:t>
      </w:r>
      <w:r>
        <w:rPr>
          <w:i/>
          <w:sz w:val="14"/>
        </w:rPr>
        <w:t>Op</w:t>
      </w:r>
      <w:r>
        <w:rPr>
          <w:i/>
          <w:spacing w:val="-2"/>
          <w:sz w:val="14"/>
        </w:rPr>
        <w:t xml:space="preserve"> </w:t>
      </w:r>
      <w:r>
        <w:rPr>
          <w:i/>
          <w:sz w:val="14"/>
        </w:rPr>
        <w:t>cit</w:t>
      </w:r>
      <w:r>
        <w:rPr>
          <w:sz w:val="14"/>
        </w:rPr>
        <w:t>.</w:t>
      </w:r>
    </w:p>
    <w:p w:rsidR="00A63476" w:rsidRDefault="00A63476">
      <w:pPr>
        <w:pStyle w:val="Textoindependiente"/>
        <w:spacing w:before="9"/>
        <w:ind w:left="0" w:right="0" w:firstLine="0"/>
        <w:jc w:val="left"/>
        <w:rPr>
          <w:sz w:val="12"/>
        </w:rPr>
      </w:pPr>
    </w:p>
    <w:p w:rsidR="00A63476" w:rsidRDefault="00D22874">
      <w:pPr>
        <w:pStyle w:val="Prrafodelista"/>
        <w:numPr>
          <w:ilvl w:val="0"/>
          <w:numId w:val="58"/>
        </w:numPr>
        <w:tabs>
          <w:tab w:val="left" w:pos="312"/>
        </w:tabs>
        <w:spacing w:before="94"/>
        <w:ind w:left="311" w:hanging="192"/>
        <w:rPr>
          <w:rFonts w:ascii="Times New Roman" w:hAnsi="Times New Roman"/>
          <w:sz w:val="16"/>
        </w:rPr>
      </w:pPr>
      <w:bookmarkStart w:id="46" w:name="_bookmark46"/>
      <w:bookmarkEnd w:id="46"/>
      <w:r>
        <w:rPr>
          <w:sz w:val="14"/>
        </w:rPr>
        <w:t>Artículo 2do. Parágrafo LIII de la Ley Federal de Presupuesto y Responsabilidad</w:t>
      </w:r>
      <w:r>
        <w:rPr>
          <w:spacing w:val="-1"/>
          <w:sz w:val="14"/>
        </w:rPr>
        <w:t xml:space="preserve"> </w:t>
      </w:r>
      <w:r>
        <w:rPr>
          <w:sz w:val="14"/>
        </w:rPr>
        <w:t>Hacendaria</w:t>
      </w:r>
    </w:p>
    <w:p w:rsidR="00A63476" w:rsidRDefault="00A63476">
      <w:pPr>
        <w:pStyle w:val="Textoindependiente"/>
        <w:spacing w:before="6"/>
        <w:ind w:left="0" w:right="0" w:firstLine="0"/>
        <w:jc w:val="left"/>
        <w:rPr>
          <w:sz w:val="14"/>
        </w:rPr>
      </w:pPr>
    </w:p>
    <w:p w:rsidR="00A63476" w:rsidRDefault="00D22874">
      <w:pPr>
        <w:pStyle w:val="Prrafodelista"/>
        <w:numPr>
          <w:ilvl w:val="0"/>
          <w:numId w:val="58"/>
        </w:numPr>
        <w:tabs>
          <w:tab w:val="left" w:pos="312"/>
        </w:tabs>
        <w:spacing w:before="94"/>
        <w:ind w:left="311" w:hanging="192"/>
        <w:rPr>
          <w:rFonts w:ascii="Times New Roman" w:hAnsi="Times New Roman"/>
          <w:sz w:val="16"/>
        </w:rPr>
      </w:pPr>
      <w:bookmarkStart w:id="47" w:name="_bookmark47"/>
      <w:bookmarkEnd w:id="47"/>
      <w:r>
        <w:rPr>
          <w:sz w:val="14"/>
        </w:rPr>
        <w:t xml:space="preserve">Artículo 4to, parágrafo XIV de la Ley de Vivienda. </w:t>
      </w:r>
      <w:r>
        <w:rPr>
          <w:i/>
          <w:sz w:val="14"/>
        </w:rPr>
        <w:t>Op</w:t>
      </w:r>
      <w:r>
        <w:rPr>
          <w:i/>
          <w:spacing w:val="-2"/>
          <w:sz w:val="14"/>
        </w:rPr>
        <w:t xml:space="preserve"> </w:t>
      </w:r>
      <w:r>
        <w:rPr>
          <w:i/>
          <w:sz w:val="14"/>
        </w:rPr>
        <w:t>cit</w:t>
      </w:r>
      <w:r>
        <w:rPr>
          <w:sz w:val="14"/>
        </w:rPr>
        <w:t>.</w:t>
      </w:r>
    </w:p>
    <w:p w:rsidR="00A63476" w:rsidRDefault="00A63476">
      <w:pPr>
        <w:rPr>
          <w:rFonts w:ascii="Times New Roman" w:hAnsi="Times New Roman"/>
          <w:sz w:val="16"/>
        </w:rPr>
        <w:sectPr w:rsidR="00A63476">
          <w:pgSz w:w="12240" w:h="15840"/>
          <w:pgMar w:top="920" w:right="1040" w:bottom="280" w:left="1180" w:header="700" w:footer="0" w:gutter="0"/>
          <w:cols w:space="720"/>
        </w:sectPr>
      </w:pPr>
    </w:p>
    <w:p w:rsidR="00A63476" w:rsidRDefault="00A63476">
      <w:pPr>
        <w:pStyle w:val="Textoindependiente"/>
        <w:spacing w:before="5"/>
        <w:ind w:left="0" w:right="0" w:firstLine="0"/>
        <w:jc w:val="left"/>
        <w:rPr>
          <w:sz w:val="12"/>
        </w:rPr>
      </w:pPr>
    </w:p>
    <w:p w:rsidR="00A63476" w:rsidRDefault="00D22874">
      <w:pPr>
        <w:pStyle w:val="Textoindependiente"/>
        <w:spacing w:before="95" w:line="285" w:lineRule="auto"/>
      </w:pPr>
      <w:r>
        <w:rPr>
          <w:b/>
        </w:rPr>
        <w:t>Supervisor</w:t>
      </w:r>
      <w:r>
        <w:t>: Persona Física o Mo</w:t>
      </w:r>
      <w:r>
        <w:t xml:space="preserve">ral inscrita en el padrón de Prestadores de Servicios de la Comisión, que tiene como funciones principales; observar, orientar, vigilar el cumplimiento de los procesos previstos en las diferentes vertientes del Programa de Vivienda Social, así como emitir </w:t>
      </w:r>
      <w:r>
        <w:t>los reportes preventivos y de seguimiento establecidos, con el fin de incidir en la mayor eficiencia de los resultados programados.</w:t>
      </w:r>
    </w:p>
    <w:p w:rsidR="00A63476" w:rsidRDefault="00D22874">
      <w:pPr>
        <w:pStyle w:val="Textoindependiente"/>
        <w:spacing w:before="94" w:line="285" w:lineRule="auto"/>
        <w:rPr>
          <w:sz w:val="12"/>
        </w:rPr>
      </w:pPr>
      <w:r>
        <w:rPr>
          <w:b/>
        </w:rPr>
        <w:t xml:space="preserve">UMA: </w:t>
      </w:r>
      <w:r>
        <w:t>Es la Unidad de Medida y Actualización que constituye la referencia económica mensual en pesos para determinar la cuant</w:t>
      </w:r>
      <w:r>
        <w:t>ía del pago de las obligaciones y supuestos previstos en las leyes federales, de las entidades federativas y de la Ciudad de México, así como en las disposiciones jurídicas que emanen de todas las anteriore</w:t>
      </w:r>
      <w:bookmarkStart w:id="48" w:name="_bookmark48"/>
      <w:bookmarkEnd w:id="48"/>
      <w:r>
        <w:t>s.</w:t>
      </w:r>
      <w:hyperlink w:anchor="_bookmark49" w:history="1">
        <w:r>
          <w:rPr>
            <w:position w:val="4"/>
            <w:sz w:val="12"/>
          </w:rPr>
          <w:t>25</w:t>
        </w:r>
      </w:hyperlink>
    </w:p>
    <w:p w:rsidR="00A63476" w:rsidRDefault="00D22874">
      <w:pPr>
        <w:pStyle w:val="Textoindependiente"/>
        <w:spacing w:before="95" w:line="302" w:lineRule="auto"/>
        <w:ind w:right="663"/>
      </w:pPr>
      <w:r>
        <w:rPr>
          <w:b/>
        </w:rPr>
        <w:t>Usos del suelo</w:t>
      </w:r>
      <w:r>
        <w:rPr>
          <w:b/>
        </w:rPr>
        <w:t xml:space="preserve">: </w:t>
      </w:r>
      <w:r>
        <w:t>los fines particulares a que podrán dedicarse determinadas zonas o predios de un Centro de Población o Asentamiento Humano;</w:t>
      </w:r>
    </w:p>
    <w:p w:rsidR="00A63476" w:rsidRDefault="00D22874">
      <w:pPr>
        <w:spacing w:before="78" w:line="278" w:lineRule="auto"/>
        <w:ind w:left="520" w:right="663" w:firstLine="280"/>
        <w:jc w:val="both"/>
        <w:rPr>
          <w:sz w:val="18"/>
        </w:rPr>
      </w:pPr>
      <w:r>
        <w:rPr>
          <w:b/>
          <w:sz w:val="18"/>
        </w:rPr>
        <w:t xml:space="preserve">Verificador de ejecución del programa: </w:t>
      </w:r>
      <w:r>
        <w:rPr>
          <w:sz w:val="18"/>
        </w:rPr>
        <w:t>persona física o moral autorizada por la Comisión para verificar la aplicación de los subsidios.</w:t>
      </w:r>
    </w:p>
    <w:p w:rsidR="00A63476" w:rsidRDefault="00D22874">
      <w:pPr>
        <w:pStyle w:val="Textoindependiente"/>
        <w:spacing w:before="120" w:line="278" w:lineRule="auto"/>
        <w:ind w:right="663"/>
      </w:pPr>
      <w:r>
        <w:rPr>
          <w:b/>
        </w:rPr>
        <w:t xml:space="preserve">Vivienda: </w:t>
      </w:r>
      <w:r>
        <w:t>Es el ámbito físico espacial construido para ser habitado, es decir, que presta el servicio para que las personas desarrollen sus funciones vitales b</w:t>
      </w:r>
      <w:r>
        <w:t>ásicas.</w:t>
      </w:r>
    </w:p>
    <w:p w:rsidR="00A63476" w:rsidRDefault="00D22874">
      <w:pPr>
        <w:pStyle w:val="Textoindependiente"/>
        <w:spacing w:before="100" w:line="288" w:lineRule="auto"/>
      </w:pPr>
      <w:r>
        <w:rPr>
          <w:b/>
        </w:rPr>
        <w:t xml:space="preserve">Vivienda adecuada: </w:t>
      </w:r>
      <w:r>
        <w:t xml:space="preserve">La vivienda adecuada fue reconocida como parte del derecho a un nivel de vida adecuado en la Declaración Universal de Derechos Humanos de 1948 y en el Pacto Internacional </w:t>
      </w:r>
      <w:r>
        <w:rPr>
          <w:spacing w:val="-8"/>
        </w:rPr>
        <w:t xml:space="preserve">de  </w:t>
      </w:r>
      <w:r>
        <w:t>Derechos Económicos, Sociales y Culturales de 1966. De</w:t>
      </w:r>
      <w:r>
        <w:t xml:space="preserve">be considerarse como el derecho a vivir </w:t>
      </w:r>
      <w:r>
        <w:rPr>
          <w:spacing w:val="-8"/>
        </w:rPr>
        <w:t xml:space="preserve">en </w:t>
      </w:r>
      <w:r>
        <w:t>seguridad, paz y dignidad en alguna parte. Las características del derecho a una vivienda adecuada están definidas principalmente en la Observación general No 4 del Comité (1991) sobre el derecho a una vivienda ad</w:t>
      </w:r>
      <w:r>
        <w:t xml:space="preserve">ecuada y en la Observación general No 7 (1997) sobre desalojos forzosos. Para que la vivienda </w:t>
      </w:r>
      <w:r>
        <w:rPr>
          <w:spacing w:val="-4"/>
        </w:rPr>
        <w:t xml:space="preserve">sea </w:t>
      </w:r>
      <w:r>
        <w:t xml:space="preserve">adecuada, debe reunir como mínimo los siguientes criterios: la seguridad de la tenencia, disponibilidad </w:t>
      </w:r>
      <w:r>
        <w:rPr>
          <w:spacing w:val="-6"/>
        </w:rPr>
        <w:t xml:space="preserve">de </w:t>
      </w:r>
      <w:r>
        <w:t>servicios, materiales, instalaciones e infraestruct</w:t>
      </w:r>
      <w:r>
        <w:t xml:space="preserve">ura, asequibilidad, habitabilidad, accesibilidad, ubicación </w:t>
      </w:r>
      <w:r>
        <w:rPr>
          <w:spacing w:val="-11"/>
        </w:rPr>
        <w:t xml:space="preserve">y </w:t>
      </w:r>
      <w:r>
        <w:t>adecuación cultural.</w:t>
      </w:r>
    </w:p>
    <w:p w:rsidR="00A63476" w:rsidRDefault="00D22874">
      <w:pPr>
        <w:pStyle w:val="Textoindependiente"/>
        <w:spacing w:before="85" w:line="302" w:lineRule="auto"/>
        <w:ind w:right="663"/>
      </w:pPr>
      <w:r>
        <w:rPr>
          <w:b/>
        </w:rPr>
        <w:t xml:space="preserve">Vivienda nueva: </w:t>
      </w:r>
      <w:r>
        <w:t>es la vivienda por iniciar, en proceso o terminada que nunca ha sido habitada y que cumple con los criterios de vivienda adecuada establecidos por la Comisió</w:t>
      </w:r>
      <w:r>
        <w:t>n.</w:t>
      </w:r>
    </w:p>
    <w:p w:rsidR="00A63476" w:rsidRDefault="00D22874">
      <w:pPr>
        <w:pStyle w:val="Textoindependiente"/>
        <w:spacing w:before="98" w:line="302" w:lineRule="auto"/>
      </w:pPr>
      <w:r>
        <w:rPr>
          <w:b/>
        </w:rPr>
        <w:t xml:space="preserve">Vivienda sustentable: </w:t>
      </w:r>
      <w:r>
        <w:t>El desarrollo sustentable considera tres pilares principales: el económico, el social y el ambiental. Con base en estos tres pilares, se define la vivienda sustentable como el espacio habitable que desde su diseño arquitectónico co</w:t>
      </w:r>
      <w:r>
        <w:t>nsidera las necesidades fundamentales del ser humano y su contexto urbano, comunitario y natural, Proporcionando un bienestar general a sus habitantes con un ahorro económico familiar, mitigando las emisiones de Gases Efecto Invernadero y considerando sist</w:t>
      </w:r>
      <w:r>
        <w:t>emas eficientes de agua y energía que contribuyen a la reducción del impacto ambiental</w:t>
      </w:r>
      <w:r>
        <w:rPr>
          <w:b/>
        </w:rPr>
        <w:t xml:space="preserve">. </w:t>
      </w:r>
      <w:r>
        <w:t xml:space="preserve">Se integran las viviendas de los programas NAMA, Ecocasa, </w:t>
      </w:r>
      <w:r>
        <w:rPr>
          <w:i/>
        </w:rPr>
        <w:t>Laif</w:t>
      </w:r>
      <w:r>
        <w:t xml:space="preserve">, NAMA </w:t>
      </w:r>
      <w:r>
        <w:rPr>
          <w:i/>
        </w:rPr>
        <w:t>Facility</w:t>
      </w:r>
      <w:r>
        <w:t>, entre</w:t>
      </w:r>
      <w:r>
        <w:rPr>
          <w:spacing w:val="-15"/>
        </w:rPr>
        <w:t xml:space="preserve"> </w:t>
      </w:r>
      <w:r>
        <w:t>otros.</w:t>
      </w:r>
    </w:p>
    <w:p w:rsidR="00A63476" w:rsidRDefault="00D22874">
      <w:pPr>
        <w:pStyle w:val="Textoindependiente"/>
        <w:spacing w:before="94" w:line="302" w:lineRule="auto"/>
        <w:ind w:right="663"/>
      </w:pPr>
      <w:r>
        <w:rPr>
          <w:b/>
        </w:rPr>
        <w:t xml:space="preserve">Vivienda usada: </w:t>
      </w:r>
      <w:r>
        <w:t>vivienda adquirida en segunda o posterior transmisión y que cumple con los lineamientos, criterios, y parámetros de sustentabilidad, establecidos por la</w:t>
      </w:r>
      <w:r>
        <w:rPr>
          <w:spacing w:val="-4"/>
        </w:rPr>
        <w:t xml:space="preserve"> </w:t>
      </w:r>
      <w:r>
        <w:t>Comisión.</w:t>
      </w:r>
    </w:p>
    <w:p w:rsidR="00A63476" w:rsidRDefault="00D22874">
      <w:pPr>
        <w:pStyle w:val="Textoindependiente"/>
        <w:spacing w:before="99" w:line="292" w:lineRule="auto"/>
      </w:pPr>
      <w:r>
        <w:rPr>
          <w:b/>
        </w:rPr>
        <w:t xml:space="preserve">Vivienda en Conjunto Habitacional: </w:t>
      </w:r>
      <w:r>
        <w:t>Edificaciones construidas, en desarrollos horizontales o v</w:t>
      </w:r>
      <w:r>
        <w:t xml:space="preserve">erticales, en las que habitan tres o más hogares, previstas a constituir en régimen de propiedad en condominio </w:t>
      </w:r>
      <w:r>
        <w:rPr>
          <w:spacing w:val="-11"/>
        </w:rPr>
        <w:t xml:space="preserve">o </w:t>
      </w:r>
      <w:r>
        <w:t>copropiedad y que cumplen con los lineamientos, criterios y parámetros de sustentabilidad, establecidos por La Comisión.</w:t>
      </w:r>
    </w:p>
    <w:p w:rsidR="00A63476" w:rsidRDefault="00D22874">
      <w:pPr>
        <w:pStyle w:val="Textoindependiente"/>
        <w:spacing w:before="110" w:line="302" w:lineRule="auto"/>
        <w:ind w:right="663"/>
      </w:pPr>
      <w:r>
        <w:rPr>
          <w:b/>
        </w:rPr>
        <w:t xml:space="preserve">Zona en transición: </w:t>
      </w:r>
      <w:r>
        <w:t>lo</w:t>
      </w:r>
      <w:r>
        <w:t>calidades cuya población es mayor o igual a 2,500 habitantes y menor a 15,000 habitantes, y que no estén incluidas en el Sistema Urbano Nacional.</w:t>
      </w:r>
    </w:p>
    <w:p w:rsidR="00A63476" w:rsidRDefault="00D22874">
      <w:pPr>
        <w:pStyle w:val="Textoindependiente"/>
        <w:spacing w:before="98" w:line="302" w:lineRule="auto"/>
        <w:ind w:right="662"/>
      </w:pPr>
      <w:r>
        <w:rPr>
          <w:b/>
          <w:spacing w:val="-4"/>
        </w:rPr>
        <w:t xml:space="preserve">Zona </w:t>
      </w:r>
      <w:r>
        <w:rPr>
          <w:b/>
          <w:spacing w:val="-5"/>
        </w:rPr>
        <w:t xml:space="preserve">rural: </w:t>
      </w:r>
      <w:r>
        <w:rPr>
          <w:spacing w:val="-6"/>
        </w:rPr>
        <w:t xml:space="preserve">localidades menores </w:t>
      </w:r>
      <w:r>
        <w:t xml:space="preserve">a </w:t>
      </w:r>
      <w:r>
        <w:rPr>
          <w:spacing w:val="-5"/>
        </w:rPr>
        <w:t xml:space="preserve">2,500 </w:t>
      </w:r>
      <w:r>
        <w:rPr>
          <w:spacing w:val="-6"/>
        </w:rPr>
        <w:t xml:space="preserve">habitantes </w:t>
      </w:r>
      <w:r>
        <w:rPr>
          <w:spacing w:val="-4"/>
        </w:rPr>
        <w:t xml:space="preserve">que </w:t>
      </w:r>
      <w:r>
        <w:rPr>
          <w:spacing w:val="-3"/>
        </w:rPr>
        <w:t xml:space="preserve">no </w:t>
      </w:r>
      <w:r>
        <w:rPr>
          <w:spacing w:val="-5"/>
        </w:rPr>
        <w:t xml:space="preserve">estén </w:t>
      </w:r>
      <w:r>
        <w:rPr>
          <w:spacing w:val="-6"/>
        </w:rPr>
        <w:t xml:space="preserve">consideradas </w:t>
      </w:r>
      <w:r>
        <w:rPr>
          <w:spacing w:val="-5"/>
        </w:rPr>
        <w:t xml:space="preserve">dentro </w:t>
      </w:r>
      <w:r>
        <w:rPr>
          <w:spacing w:val="-4"/>
        </w:rPr>
        <w:t xml:space="preserve">del </w:t>
      </w:r>
      <w:r>
        <w:rPr>
          <w:spacing w:val="-5"/>
        </w:rPr>
        <w:t xml:space="preserve">Sistema Urbano </w:t>
      </w:r>
      <w:r>
        <w:rPr>
          <w:spacing w:val="-6"/>
        </w:rPr>
        <w:t>Naciona</w:t>
      </w:r>
      <w:r>
        <w:rPr>
          <w:spacing w:val="-6"/>
        </w:rPr>
        <w:t>l.</w:t>
      </w:r>
    </w:p>
    <w:p w:rsidR="00A63476" w:rsidRDefault="00D22874">
      <w:pPr>
        <w:pStyle w:val="Textoindependiente"/>
        <w:spacing w:before="99" w:line="302" w:lineRule="auto"/>
        <w:ind w:right="663"/>
      </w:pPr>
      <w:r>
        <w:rPr>
          <w:b/>
        </w:rPr>
        <w:t xml:space="preserve">Zona urbana: </w:t>
      </w:r>
      <w:r>
        <w:t>ciudades que componen el Sistema Urbano Nacional, integradas por zonas metropolitanas, conurbaciones y localidades independientes con más de 15,000 habitantes.</w:t>
      </w:r>
    </w:p>
    <w:p w:rsidR="00A63476" w:rsidRDefault="00D22874">
      <w:pPr>
        <w:pStyle w:val="Ttulo1"/>
        <w:numPr>
          <w:ilvl w:val="0"/>
          <w:numId w:val="57"/>
        </w:numPr>
        <w:tabs>
          <w:tab w:val="left" w:pos="1232"/>
        </w:tabs>
        <w:spacing w:before="98" w:after="15"/>
        <w:ind w:left="1232" w:hanging="432"/>
        <w:jc w:val="both"/>
      </w:pPr>
      <w:r>
        <w:t>Objetivos</w:t>
      </w:r>
    </w:p>
    <w:p w:rsidR="00A63476" w:rsidRDefault="00FF0FB3">
      <w:pPr>
        <w:pStyle w:val="Textoindependiente"/>
        <w:spacing w:line="20" w:lineRule="exact"/>
        <w:ind w:left="802" w:right="0" w:firstLine="0"/>
        <w:jc w:val="left"/>
        <w:rPr>
          <w:sz w:val="2"/>
        </w:rPr>
      </w:pPr>
      <w:r>
        <w:rPr>
          <w:noProof/>
          <w:sz w:val="2"/>
        </w:rPr>
        <mc:AlternateContent>
          <mc:Choice Requires="wpg">
            <w:drawing>
              <wp:inline distT="0" distB="0" distL="0" distR="0">
                <wp:extent cx="5431790" cy="6350"/>
                <wp:effectExtent l="10795" t="6985" r="5715" b="5715"/>
                <wp:docPr id="82" name="Group 59"/>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5431790" cy="6350"/>
                          <a:chOff x="0" y="0"/>
                          <a:chExt cx="8554" cy="10"/>
                        </a:xfrm>
                      </wpg:grpSpPr>
                      <wps:wsp>
                        <wps:cNvPr id="83" name="Line 60"/>
                        <wps:cNvCnPr>
                          <a:cxnSpLocks noChangeShapeType="1"/>
                        </wps:cNvCnPr>
                        <wps:spPr bwMode="auto">
                          <a:xfrm>
                            <a:off x="0" y="5"/>
                            <a:ext cx="8554" cy="0"/>
                          </a:xfrm>
                          <a:prstGeom prst="line">
                            <a:avLst/>
                          </a:prstGeom>
                          <a:noFill/>
                          <a:ln w="6350">
                            <a:solidFill>
                              <a:srgbClr val="000000"/>
                            </a:solidFill>
                            <a:prstDash val="solid"/>
                            <a:round/>
                            <a:headEnd/>
                            <a:tailEnd/>
                          </a:ln>
                          <a:extLst>
                            <a:ext uri="{909E8E84-426E-40DD-AFC4-6F175D3DCCD1}">
                              <a14:hiddenFill xmlns:a14="http://schemas.microsoft.com/office/drawing/2010/main">
                                <a:noFill/>
                              </a14:hiddenFill>
                            </a:ext>
                          </a:extLst>
                        </wps:spPr>
                        <wps:bodyPr/>
                      </wps:wsp>
                    </wpg:wgp>
                  </a:graphicData>
                </a:graphic>
              </wp:inline>
            </w:drawing>
          </mc:Choice>
          <mc:Fallback>
            <w:pict>
              <v:group w14:anchorId="64A478AB" id="Group 59" o:spid="_x0000_s1026" style="width:427.7pt;height:.5pt;mso-position-horizontal-relative:char;mso-position-vertical-relative:line" coordsize="8554,1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">
                <v:line id="Line 60" o:spid="_x0000_s1027" style="position:absolute;visibility:visible;mso-wrap-style:square" from="0,5" to="8554,5"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" strokeweight=".5pt"/>
                <w10:anchorlock/>
              </v:group>
            </w:pict>
          </mc:Fallback>
        </mc:AlternateContent>
      </w:r>
    </w:p>
    <w:p w:rsidR="00A63476" w:rsidRDefault="00FF0FB3">
      <w:pPr>
        <w:pStyle w:val="Textoindependiente"/>
        <w:spacing w:before="4"/>
        <w:ind w:left="0" w:right="0" w:firstLine="0"/>
        <w:jc w:val="left"/>
        <w:rPr>
          <w:b/>
          <w:sz w:val="25"/>
        </w:rPr>
      </w:pPr>
      <w:r>
        <w:rPr>
          <w:noProof/>
        </w:rPr>
        <mc:AlternateContent>
          <mc:Choice Requires="wps">
            <w:drawing>
              <wp:anchor distT="0" distB="0" distL="0" distR="0" simplePos="0" relativeHeight="487594496" behindDoc="1" locked="0" layoutInCell="1" allowOverlap="1">
                <wp:simplePos x="0" y="0"/>
                <wp:positionH relativeFrom="page">
                  <wp:posOffset>822960</wp:posOffset>
                </wp:positionH>
                <wp:positionV relativeFrom="paragraph">
                  <wp:posOffset>210185</wp:posOffset>
                </wp:positionV>
                <wp:extent cx="1270000" cy="6350"/>
                <wp:effectExtent l="0" t="0" r="0" b="0"/>
                <wp:wrapTopAndBottom/>
                <wp:docPr id="81" name="Rectangle 58"/>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270000" cy="6350"/>
                        </a:xfrm>
                        <a:prstGeom prst="rect">
                          <a:avLst/>
                        </a:prstGeom>
                        <a:solidFill>
                          <a:srgbClr val="60606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4CDA8B4A" id="Rectangle 58" o:spid="_x0000_s1026" style="position:absolute;margin-left:64.8pt;margin-top:16.55pt;width:100pt;height:.5pt;z-index:-15721984;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" fillcolor="#606060" stroked="f">
                <w10:wrap type="topAndBottom" anchorx="page"/>
              </v:rect>
            </w:pict>
          </mc:Fallback>
        </mc:AlternateContent>
      </w:r>
    </w:p>
    <w:p w:rsidR="00A63476" w:rsidRDefault="00A63476">
      <w:pPr>
        <w:pStyle w:val="Textoindependiente"/>
        <w:spacing w:before="5"/>
        <w:ind w:left="0" w:right="0" w:firstLine="0"/>
        <w:jc w:val="left"/>
        <w:rPr>
          <w:b/>
          <w:sz w:val="6"/>
        </w:rPr>
      </w:pPr>
    </w:p>
    <w:p w:rsidR="00A63476" w:rsidRDefault="00D22874">
      <w:pPr>
        <w:pStyle w:val="Prrafodelista"/>
        <w:numPr>
          <w:ilvl w:val="0"/>
          <w:numId w:val="58"/>
        </w:numPr>
        <w:tabs>
          <w:tab w:val="left" w:pos="308"/>
        </w:tabs>
        <w:spacing w:before="81"/>
        <w:ind w:left="307" w:hanging="188"/>
        <w:rPr>
          <w:sz w:val="13"/>
        </w:rPr>
      </w:pPr>
      <w:bookmarkStart w:id="49" w:name="_bookmark49"/>
      <w:bookmarkEnd w:id="49"/>
      <w:r>
        <w:rPr>
          <w:spacing w:val="-3"/>
          <w:sz w:val="14"/>
        </w:rPr>
        <w:t>Ver</w:t>
      </w:r>
      <w:r>
        <w:rPr>
          <w:spacing w:val="-1"/>
          <w:sz w:val="14"/>
        </w:rPr>
        <w:t xml:space="preserve"> </w:t>
      </w:r>
      <w:r>
        <w:rPr>
          <w:sz w:val="14"/>
        </w:rPr>
        <w:t>https://</w:t>
      </w:r>
      <w:hyperlink r:id="rId17">
        <w:r>
          <w:rPr>
            <w:sz w:val="14"/>
          </w:rPr>
          <w:t>www.inegi.org.mx/temas/uma/</w:t>
        </w:r>
      </w:hyperlink>
    </w:p>
    <w:p w:rsidR="00A63476" w:rsidRDefault="00A63476">
      <w:pPr>
        <w:rPr>
          <w:sz w:val="13"/>
        </w:rPr>
        <w:sectPr w:rsidR="00A63476">
          <w:pgSz w:w="12240" w:h="15840"/>
          <w:pgMar w:top="920" w:right="1040" w:bottom="280" w:left="1180" w:header="700" w:footer="0" w:gutter="0"/>
          <w:cols w:space="720"/>
        </w:sectPr>
      </w:pPr>
    </w:p>
    <w:p w:rsidR="00A63476" w:rsidRDefault="00A63476">
      <w:pPr>
        <w:pStyle w:val="Textoindependiente"/>
        <w:spacing w:before="2"/>
        <w:ind w:left="0" w:right="0" w:firstLine="0"/>
        <w:jc w:val="left"/>
        <w:rPr>
          <w:sz w:val="14"/>
        </w:rPr>
      </w:pPr>
    </w:p>
    <w:p w:rsidR="00A63476" w:rsidRDefault="00D22874">
      <w:pPr>
        <w:pStyle w:val="Ttulo1"/>
        <w:numPr>
          <w:ilvl w:val="1"/>
          <w:numId w:val="57"/>
        </w:numPr>
        <w:tabs>
          <w:tab w:val="left" w:pos="1101"/>
        </w:tabs>
        <w:spacing w:before="95"/>
      </w:pPr>
      <w:r>
        <w:t>General</w:t>
      </w:r>
    </w:p>
    <w:p w:rsidR="00A63476" w:rsidRDefault="00D22874">
      <w:pPr>
        <w:pStyle w:val="Textoindependiente"/>
        <w:spacing w:before="153" w:line="302" w:lineRule="auto"/>
        <w:ind w:right="663"/>
      </w:pPr>
      <w:r>
        <w:t>Contribuir a garantizar que la población de bajos ingresos acceda a una vivienda adecuada, por medio del otorgamiento de subsidios federales.</w:t>
      </w:r>
    </w:p>
    <w:p w:rsidR="00A63476" w:rsidRDefault="00D22874">
      <w:pPr>
        <w:pStyle w:val="Ttulo1"/>
        <w:numPr>
          <w:ilvl w:val="1"/>
          <w:numId w:val="57"/>
        </w:numPr>
        <w:tabs>
          <w:tab w:val="left" w:pos="1101"/>
        </w:tabs>
        <w:spacing w:before="98"/>
      </w:pPr>
      <w:r>
        <w:t>Específicos</w:t>
      </w:r>
    </w:p>
    <w:p w:rsidR="00A63476" w:rsidRDefault="00D22874">
      <w:pPr>
        <w:pStyle w:val="Prrafodelista"/>
        <w:numPr>
          <w:ilvl w:val="2"/>
          <w:numId w:val="57"/>
        </w:numPr>
        <w:tabs>
          <w:tab w:val="left" w:pos="1402"/>
        </w:tabs>
        <w:spacing w:before="153" w:line="302" w:lineRule="auto"/>
        <w:ind w:right="663" w:hanging="8"/>
        <w:rPr>
          <w:sz w:val="18"/>
        </w:rPr>
      </w:pPr>
      <w:r>
        <w:rPr>
          <w:sz w:val="18"/>
        </w:rPr>
        <w:t>Contribuir a abatir el rezago habitacional, atender los problemas de hacinamiento y mejorar las condic</w:t>
      </w:r>
      <w:r>
        <w:rPr>
          <w:sz w:val="18"/>
        </w:rPr>
        <w:t>iones de habitabilidad de las viviendas de la población de bajos ingresos.</w:t>
      </w:r>
    </w:p>
    <w:p w:rsidR="00A63476" w:rsidRDefault="00D22874">
      <w:pPr>
        <w:pStyle w:val="Prrafodelista"/>
        <w:numPr>
          <w:ilvl w:val="2"/>
          <w:numId w:val="57"/>
        </w:numPr>
        <w:tabs>
          <w:tab w:val="left" w:pos="1404"/>
        </w:tabs>
        <w:spacing w:before="98" w:line="278" w:lineRule="auto"/>
        <w:ind w:right="663" w:hanging="8"/>
        <w:rPr>
          <w:sz w:val="18"/>
        </w:rPr>
      </w:pPr>
      <w:r>
        <w:rPr>
          <w:sz w:val="18"/>
        </w:rPr>
        <w:t xml:space="preserve">Atender a la población afectada por fenómenos naturales con la reconstrucción parcial o total de </w:t>
      </w:r>
      <w:r>
        <w:rPr>
          <w:spacing w:val="-7"/>
          <w:sz w:val="18"/>
        </w:rPr>
        <w:t xml:space="preserve">su </w:t>
      </w:r>
      <w:r>
        <w:rPr>
          <w:sz w:val="18"/>
        </w:rPr>
        <w:t>vivienda o con su reubicación en zonas seguras.</w:t>
      </w:r>
    </w:p>
    <w:p w:rsidR="00A63476" w:rsidRDefault="00D22874">
      <w:pPr>
        <w:pStyle w:val="Prrafodelista"/>
        <w:numPr>
          <w:ilvl w:val="2"/>
          <w:numId w:val="57"/>
        </w:numPr>
        <w:tabs>
          <w:tab w:val="left" w:pos="1460"/>
        </w:tabs>
        <w:spacing w:before="120" w:line="302" w:lineRule="auto"/>
        <w:ind w:right="663" w:hanging="8"/>
        <w:rPr>
          <w:sz w:val="18"/>
        </w:rPr>
      </w:pPr>
      <w:r>
        <w:rPr>
          <w:sz w:val="18"/>
        </w:rPr>
        <w:t xml:space="preserve">Contribuir al crecimiento ordenado y compacto de las ciudades y zonas de proyectos estratégicos a través de </w:t>
      </w:r>
      <w:r>
        <w:rPr>
          <w:sz w:val="18"/>
        </w:rPr>
        <w:t>la vivienda.</w:t>
      </w:r>
    </w:p>
    <w:p w:rsidR="00A63476" w:rsidRDefault="00D22874">
      <w:pPr>
        <w:pStyle w:val="Prrafodelista"/>
        <w:numPr>
          <w:ilvl w:val="2"/>
          <w:numId w:val="57"/>
        </w:numPr>
        <w:tabs>
          <w:tab w:val="left" w:pos="1467"/>
        </w:tabs>
        <w:spacing w:before="99" w:line="302" w:lineRule="auto"/>
        <w:ind w:right="663" w:hanging="8"/>
        <w:rPr>
          <w:sz w:val="18"/>
        </w:rPr>
      </w:pPr>
      <w:r>
        <w:rPr>
          <w:sz w:val="18"/>
        </w:rPr>
        <w:t xml:space="preserve">Contribuir al mejoramiento de zonas con altos índices de marginalidad a través de la dotación </w:t>
      </w:r>
      <w:r>
        <w:rPr>
          <w:spacing w:val="-14"/>
          <w:sz w:val="18"/>
        </w:rPr>
        <w:t xml:space="preserve">y </w:t>
      </w:r>
      <w:r>
        <w:rPr>
          <w:sz w:val="18"/>
        </w:rPr>
        <w:t>mejoramiento de vivienda unifamiliar y en unidades habitacionales.</w:t>
      </w:r>
    </w:p>
    <w:p w:rsidR="00A63476" w:rsidRDefault="00D22874">
      <w:pPr>
        <w:pStyle w:val="Prrafodelista"/>
        <w:numPr>
          <w:ilvl w:val="2"/>
          <w:numId w:val="57"/>
        </w:numPr>
        <w:tabs>
          <w:tab w:val="left" w:pos="1412"/>
        </w:tabs>
        <w:spacing w:before="98" w:line="302" w:lineRule="auto"/>
        <w:ind w:right="663" w:hanging="8"/>
        <w:rPr>
          <w:sz w:val="18"/>
        </w:rPr>
      </w:pPr>
      <w:r>
        <w:rPr>
          <w:sz w:val="18"/>
        </w:rPr>
        <w:t>Fomentar la sustentabilidad de la vivienda procurando la incorporación de atribu</w:t>
      </w:r>
      <w:r>
        <w:rPr>
          <w:sz w:val="18"/>
        </w:rPr>
        <w:t xml:space="preserve">tos ambientales </w:t>
      </w:r>
      <w:r>
        <w:rPr>
          <w:spacing w:val="-7"/>
          <w:sz w:val="18"/>
        </w:rPr>
        <w:t xml:space="preserve">en </w:t>
      </w:r>
      <w:r>
        <w:rPr>
          <w:sz w:val="18"/>
        </w:rPr>
        <w:t>la vivienda y su entorno.</w:t>
      </w:r>
    </w:p>
    <w:p w:rsidR="00A63476" w:rsidRDefault="00D22874">
      <w:pPr>
        <w:pStyle w:val="Textoindependiente"/>
        <w:spacing w:before="98" w:line="297" w:lineRule="auto"/>
      </w:pPr>
      <w:r>
        <w:t xml:space="preserve">Para el logro tales objetivos, la Junta de Gobierno cuenta con dos instancias colegiadas: a) un Comité de Financiamiento que autoriza las modalidades de aplicación del subsidio, las líneas y los montos de apoyo </w:t>
      </w:r>
      <w:r>
        <w:t>para cada uno de los beneficiarios según la forma de intervención habitacional, conforme a los lineamientos generales y específicos establecidos en las Reglas de Operación del Programa de Vivienda Social, así como resolver los asuntos que por su naturaleza</w:t>
      </w:r>
      <w:r>
        <w:t xml:space="preserve"> le competan a este Comité; y, b) un Comité de Evaluación Técnica que tiene la facultad de integrar el padrón de profesionales y empresas que participan en todas las obras y proyectos de los diferentes programas que desarrolla la CONAVI.</w:t>
      </w:r>
    </w:p>
    <w:p w:rsidR="00A63476" w:rsidRDefault="00D22874">
      <w:pPr>
        <w:pStyle w:val="Textoindependiente"/>
        <w:spacing w:before="104" w:line="302" w:lineRule="auto"/>
        <w:ind w:right="663"/>
      </w:pPr>
      <w:r>
        <w:t>Tanto el Comité de</w:t>
      </w:r>
      <w:r>
        <w:t xml:space="preserve"> Financiamiento como el Comité de Evaluación Técnica se regirán por sus propios lineamientos normativos internos y por las directrices establecidas en estas Reglas.</w:t>
      </w:r>
    </w:p>
    <w:p w:rsidR="00A63476" w:rsidRDefault="00D22874">
      <w:pPr>
        <w:pStyle w:val="Ttulo1"/>
        <w:numPr>
          <w:ilvl w:val="0"/>
          <w:numId w:val="57"/>
        </w:numPr>
        <w:tabs>
          <w:tab w:val="left" w:pos="1232"/>
        </w:tabs>
        <w:spacing w:before="78" w:after="21"/>
        <w:ind w:left="1232" w:hanging="432"/>
        <w:jc w:val="both"/>
      </w:pPr>
      <w:r>
        <w:t>Lineamientos generales</w:t>
      </w:r>
    </w:p>
    <w:p w:rsidR="00A63476" w:rsidRDefault="00FF0FB3">
      <w:pPr>
        <w:pStyle w:val="Textoindependiente"/>
        <w:spacing w:line="20" w:lineRule="exact"/>
        <w:ind w:left="802" w:right="0" w:firstLine="0"/>
        <w:jc w:val="left"/>
        <w:rPr>
          <w:sz w:val="2"/>
        </w:rPr>
      </w:pPr>
      <w:r>
        <w:rPr>
          <w:noProof/>
          <w:sz w:val="2"/>
        </w:rPr>
        <mc:AlternateContent>
          <mc:Choice Requires="wpg">
            <w:drawing>
              <wp:inline distT="0" distB="0" distL="0" distR="0">
                <wp:extent cx="5431790" cy="6350"/>
                <wp:effectExtent l="10795" t="5080" r="5715" b="7620"/>
                <wp:docPr id="79" name="Group 56"/>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5431790" cy="6350"/>
                          <a:chOff x="0" y="0"/>
                          <a:chExt cx="8554" cy="10"/>
                        </a:xfrm>
                      </wpg:grpSpPr>
                      <wps:wsp>
                        <wps:cNvPr id="80" name="Line 57"/>
                        <wps:cNvCnPr>
                          <a:cxnSpLocks noChangeShapeType="1"/>
                        </wps:cNvCnPr>
                        <wps:spPr bwMode="auto">
                          <a:xfrm>
                            <a:off x="0" y="5"/>
                            <a:ext cx="8554" cy="0"/>
                          </a:xfrm>
                          <a:prstGeom prst="line">
                            <a:avLst/>
                          </a:prstGeom>
                          <a:noFill/>
                          <a:ln w="6350">
                            <a:solidFill>
                              <a:srgbClr val="000000"/>
                            </a:solidFill>
                            <a:prstDash val="solid"/>
                            <a:round/>
                            <a:headEnd/>
                            <a:tailEnd/>
                          </a:ln>
                          <a:extLst>
                            <a:ext uri="{909E8E84-426E-40DD-AFC4-6F175D3DCCD1}">
                              <a14:hiddenFill xmlns:a14="http://schemas.microsoft.com/office/drawing/2010/main">
                                <a:noFill/>
                              </a14:hiddenFill>
                            </a:ext>
                          </a:extLst>
                        </wps:spPr>
                        <wps:bodyPr/>
                      </wps:wsp>
                    </wpg:wgp>
                  </a:graphicData>
                </a:graphic>
              </wp:inline>
            </w:drawing>
          </mc:Choice>
          <mc:Fallback>
            <w:pict>
              <v:group w14:anchorId="60F550E0" id="Group 56" o:spid="_x0000_s1026" style="width:427.7pt;height:.5pt;mso-position-horizontal-relative:char;mso-position-vertical-relative:line" coordsize="8554,1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">
                <v:line id="Line 57" o:spid="_x0000_s1027" style="position:absolute;visibility:visible;mso-wrap-style:square" from="0,5" to="8554,5"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" strokeweight=".5pt"/>
                <w10:anchorlock/>
              </v:group>
            </w:pict>
          </mc:Fallback>
        </mc:AlternateContent>
      </w:r>
    </w:p>
    <w:p w:rsidR="00A63476" w:rsidRDefault="00D22874">
      <w:pPr>
        <w:pStyle w:val="Prrafodelista"/>
        <w:numPr>
          <w:ilvl w:val="1"/>
          <w:numId w:val="57"/>
        </w:numPr>
        <w:tabs>
          <w:tab w:val="left" w:pos="1101"/>
        </w:tabs>
        <w:spacing w:before="112"/>
        <w:jc w:val="both"/>
        <w:rPr>
          <w:b/>
          <w:sz w:val="18"/>
        </w:rPr>
      </w:pPr>
      <w:r>
        <w:rPr>
          <w:b/>
          <w:sz w:val="18"/>
        </w:rPr>
        <w:t>Co</w:t>
      </w:r>
      <w:r>
        <w:rPr>
          <w:b/>
          <w:sz w:val="18"/>
        </w:rPr>
        <w:t>bertura</w:t>
      </w:r>
    </w:p>
    <w:p w:rsidR="00A63476" w:rsidRDefault="00D22874">
      <w:pPr>
        <w:pStyle w:val="Textoindependiente"/>
        <w:spacing w:before="133"/>
        <w:ind w:left="800" w:right="0" w:firstLine="0"/>
        <w:jc w:val="left"/>
      </w:pPr>
      <w:r>
        <w:t>El programa tiene cobertura a nivel nacional.</w:t>
      </w:r>
    </w:p>
    <w:p w:rsidR="00A63476" w:rsidRDefault="00D22874">
      <w:pPr>
        <w:pStyle w:val="Ttulo1"/>
        <w:numPr>
          <w:ilvl w:val="1"/>
          <w:numId w:val="57"/>
        </w:numPr>
        <w:tabs>
          <w:tab w:val="left" w:pos="1101"/>
        </w:tabs>
        <w:spacing w:before="113"/>
      </w:pPr>
      <w:r>
        <w:t>Población potencial, población objetivo y personas</w:t>
      </w:r>
      <w:r>
        <w:rPr>
          <w:spacing w:val="-5"/>
        </w:rPr>
        <w:t xml:space="preserve"> </w:t>
      </w:r>
      <w:r>
        <w:t>beneficiarias</w:t>
      </w:r>
    </w:p>
    <w:p w:rsidR="00A63476" w:rsidRDefault="00D22874">
      <w:pPr>
        <w:pStyle w:val="Prrafodelista"/>
        <w:numPr>
          <w:ilvl w:val="2"/>
          <w:numId w:val="56"/>
        </w:numPr>
        <w:tabs>
          <w:tab w:val="left" w:pos="1251"/>
        </w:tabs>
        <w:spacing w:before="133"/>
        <w:jc w:val="both"/>
        <w:rPr>
          <w:b/>
          <w:sz w:val="18"/>
        </w:rPr>
      </w:pPr>
      <w:r>
        <w:rPr>
          <w:b/>
          <w:sz w:val="18"/>
        </w:rPr>
        <w:t>Población</w:t>
      </w:r>
      <w:r>
        <w:rPr>
          <w:b/>
          <w:spacing w:val="-1"/>
          <w:sz w:val="18"/>
        </w:rPr>
        <w:t xml:space="preserve"> </w:t>
      </w:r>
      <w:r>
        <w:rPr>
          <w:b/>
          <w:sz w:val="18"/>
        </w:rPr>
        <w:t>potencial</w:t>
      </w:r>
    </w:p>
    <w:p w:rsidR="00A63476" w:rsidRDefault="00D22874">
      <w:pPr>
        <w:pStyle w:val="Textoindependiente"/>
        <w:spacing w:before="133" w:line="254" w:lineRule="auto"/>
        <w:ind w:right="662"/>
      </w:pPr>
      <w:r>
        <w:t>Población que se encuentre en una condición de rezago habitacional o sin recursos ni financiamiento para cubrir su necesidad de vivienda.</w:t>
      </w:r>
    </w:p>
    <w:p w:rsidR="00A63476" w:rsidRDefault="00D22874">
      <w:pPr>
        <w:pStyle w:val="Ttulo1"/>
        <w:numPr>
          <w:ilvl w:val="2"/>
          <w:numId w:val="56"/>
        </w:numPr>
        <w:tabs>
          <w:tab w:val="left" w:pos="1251"/>
        </w:tabs>
        <w:spacing w:before="121"/>
      </w:pPr>
      <w:r>
        <w:t>Población</w:t>
      </w:r>
      <w:r>
        <w:rPr>
          <w:spacing w:val="-2"/>
        </w:rPr>
        <w:t xml:space="preserve"> </w:t>
      </w:r>
      <w:r>
        <w:t>objetivo</w:t>
      </w:r>
    </w:p>
    <w:p w:rsidR="00A63476" w:rsidRDefault="00D22874">
      <w:pPr>
        <w:pStyle w:val="Textoindependiente"/>
        <w:spacing w:before="113" w:line="278" w:lineRule="auto"/>
        <w:ind w:right="656"/>
        <w:jc w:val="left"/>
      </w:pPr>
      <w:r>
        <w:t>Población de bajos ingresos que se encuentra en rezago habitacional o con necesidad de vivienda y s</w:t>
      </w:r>
      <w:r>
        <w:t>in acceso a recursos o financiamiento suficiente para obtener una vivienda adecuada.</w:t>
      </w:r>
    </w:p>
    <w:p w:rsidR="00A63476" w:rsidRDefault="00D22874">
      <w:pPr>
        <w:pStyle w:val="Ttulo1"/>
        <w:numPr>
          <w:ilvl w:val="1"/>
          <w:numId w:val="55"/>
        </w:numPr>
        <w:tabs>
          <w:tab w:val="left" w:pos="1151"/>
        </w:tabs>
        <w:spacing w:before="80"/>
      </w:pPr>
      <w:r>
        <w:t>Características de los apoyos (esquemas de</w:t>
      </w:r>
      <w:r>
        <w:rPr>
          <w:spacing w:val="-1"/>
        </w:rPr>
        <w:t xml:space="preserve"> </w:t>
      </w:r>
      <w:r>
        <w:t>operación)</w:t>
      </w:r>
    </w:p>
    <w:p w:rsidR="00A63476" w:rsidRDefault="00D22874">
      <w:pPr>
        <w:pStyle w:val="Textoindependiente"/>
        <w:spacing w:before="133" w:line="278" w:lineRule="auto"/>
        <w:ind w:right="656"/>
        <w:jc w:val="left"/>
      </w:pPr>
      <w:r>
        <w:t>El esquema de operación del programa articula tres componentes: ahorro, crédito y subsidio y funciona de manera disti</w:t>
      </w:r>
      <w:r>
        <w:t>nta según se trate de procesos de producción social de vivienda asistida o cofinanciamiento.</w:t>
      </w:r>
    </w:p>
    <w:p w:rsidR="00A63476" w:rsidRDefault="00D22874">
      <w:pPr>
        <w:pStyle w:val="Textoindependiente"/>
        <w:spacing w:before="80"/>
        <w:ind w:left="800" w:right="0" w:firstLine="0"/>
        <w:jc w:val="left"/>
      </w:pPr>
      <w:r>
        <w:t>Su ejecución es una combinación de cualesquiera de las tres opciones (Tabla 5):</w:t>
      </w:r>
    </w:p>
    <w:p w:rsidR="00A63476" w:rsidRDefault="00D22874">
      <w:pPr>
        <w:pStyle w:val="Prrafodelista"/>
        <w:numPr>
          <w:ilvl w:val="0"/>
          <w:numId w:val="54"/>
        </w:numPr>
        <w:tabs>
          <w:tab w:val="left" w:pos="1231"/>
          <w:tab w:val="left" w:pos="1232"/>
        </w:tabs>
        <w:spacing w:before="133" w:line="254" w:lineRule="auto"/>
        <w:ind w:right="663" w:hanging="440"/>
        <w:rPr>
          <w:sz w:val="18"/>
        </w:rPr>
      </w:pPr>
      <w:r>
        <w:rPr>
          <w:sz w:val="18"/>
        </w:rPr>
        <w:t xml:space="preserve">Subsidio proveniente de los gobiernos de las Entidades Federativas a través de los Organismos Estatales de Vivienda, más subsidio </w:t>
      </w:r>
      <w:r>
        <w:rPr>
          <w:spacing w:val="-3"/>
          <w:sz w:val="18"/>
        </w:rPr>
        <w:t xml:space="preserve">CONAVI, </w:t>
      </w:r>
      <w:r>
        <w:rPr>
          <w:sz w:val="18"/>
        </w:rPr>
        <w:t>más ahorro previo de la persona</w:t>
      </w:r>
      <w:r>
        <w:rPr>
          <w:spacing w:val="1"/>
          <w:sz w:val="18"/>
        </w:rPr>
        <w:t xml:space="preserve"> </w:t>
      </w:r>
      <w:r>
        <w:rPr>
          <w:sz w:val="18"/>
        </w:rPr>
        <w:t>beneficiaria.</w:t>
      </w:r>
    </w:p>
    <w:p w:rsidR="00A63476" w:rsidRDefault="00D22874">
      <w:pPr>
        <w:pStyle w:val="Prrafodelista"/>
        <w:numPr>
          <w:ilvl w:val="0"/>
          <w:numId w:val="54"/>
        </w:numPr>
        <w:tabs>
          <w:tab w:val="left" w:pos="1231"/>
          <w:tab w:val="left" w:pos="1232"/>
        </w:tabs>
        <w:spacing w:before="121" w:line="254" w:lineRule="auto"/>
        <w:ind w:right="663" w:hanging="440"/>
        <w:rPr>
          <w:sz w:val="18"/>
        </w:rPr>
      </w:pPr>
      <w:r>
        <w:rPr>
          <w:sz w:val="18"/>
        </w:rPr>
        <w:t xml:space="preserve">Crédito otorgado por una entidad ejecutora, más subsidio </w:t>
      </w:r>
      <w:r>
        <w:rPr>
          <w:spacing w:val="-3"/>
          <w:sz w:val="18"/>
        </w:rPr>
        <w:t xml:space="preserve">CONAVI, </w:t>
      </w:r>
      <w:r>
        <w:rPr>
          <w:sz w:val="18"/>
        </w:rPr>
        <w:t>más ahorro previo de la persona beneficiaria;</w:t>
      </w:r>
      <w:r>
        <w:rPr>
          <w:spacing w:val="-1"/>
          <w:sz w:val="18"/>
        </w:rPr>
        <w:t xml:space="preserve"> </w:t>
      </w:r>
      <w:r>
        <w:rPr>
          <w:spacing w:val="-7"/>
          <w:sz w:val="18"/>
        </w:rPr>
        <w:t>y,</w:t>
      </w:r>
    </w:p>
    <w:p w:rsidR="00A63476" w:rsidRDefault="00D22874">
      <w:pPr>
        <w:pStyle w:val="Prrafodelista"/>
        <w:numPr>
          <w:ilvl w:val="0"/>
          <w:numId w:val="54"/>
        </w:numPr>
        <w:tabs>
          <w:tab w:val="left" w:pos="1232"/>
        </w:tabs>
        <w:spacing w:before="121"/>
        <w:ind w:left="1232"/>
        <w:jc w:val="both"/>
        <w:rPr>
          <w:sz w:val="18"/>
        </w:rPr>
      </w:pPr>
      <w:r>
        <w:rPr>
          <w:sz w:val="18"/>
        </w:rPr>
        <w:t xml:space="preserve">Subsidio </w:t>
      </w:r>
      <w:r>
        <w:rPr>
          <w:spacing w:val="-3"/>
          <w:sz w:val="18"/>
        </w:rPr>
        <w:t>CONAVI</w:t>
      </w:r>
      <w:r>
        <w:rPr>
          <w:spacing w:val="-1"/>
          <w:sz w:val="18"/>
        </w:rPr>
        <w:t xml:space="preserve"> </w:t>
      </w:r>
      <w:r>
        <w:rPr>
          <w:sz w:val="18"/>
        </w:rPr>
        <w:t>100%.</w:t>
      </w:r>
    </w:p>
    <w:p w:rsidR="00A63476" w:rsidRDefault="00D22874">
      <w:pPr>
        <w:pStyle w:val="Ttulo1"/>
        <w:numPr>
          <w:ilvl w:val="0"/>
          <w:numId w:val="53"/>
        </w:numPr>
        <w:tabs>
          <w:tab w:val="left" w:pos="1009"/>
        </w:tabs>
        <w:spacing w:before="133" w:line="254" w:lineRule="auto"/>
        <w:ind w:right="664" w:firstLine="280"/>
      </w:pPr>
      <w:r>
        <w:t>Subsidio proveniente de los gobiernos de las Entidades Federativas a través de los Organismos Estatales de Vivienda, más</w:t>
      </w:r>
      <w:r>
        <w:t xml:space="preserve"> subsidio </w:t>
      </w:r>
      <w:r>
        <w:rPr>
          <w:spacing w:val="-3"/>
        </w:rPr>
        <w:t xml:space="preserve">CONAVI, </w:t>
      </w:r>
      <w:r>
        <w:t>más ahorro previo de la persona</w:t>
      </w:r>
      <w:r>
        <w:rPr>
          <w:spacing w:val="-2"/>
        </w:rPr>
        <w:t xml:space="preserve"> </w:t>
      </w:r>
      <w:r>
        <w:t>beneficiaria</w:t>
      </w:r>
    </w:p>
    <w:p w:rsidR="00A63476" w:rsidRDefault="00A63476">
      <w:pPr>
        <w:spacing w:line="254" w:lineRule="auto"/>
        <w:sectPr w:rsidR="00A63476">
          <w:pgSz w:w="12240" w:h="15840"/>
          <w:pgMar w:top="920" w:right="1040" w:bottom="280" w:left="1180" w:header="700" w:footer="0" w:gutter="0"/>
          <w:cols w:space="720"/>
        </w:sectPr>
      </w:pPr>
    </w:p>
    <w:p w:rsidR="00A63476" w:rsidRDefault="00A63476">
      <w:pPr>
        <w:pStyle w:val="Textoindependiente"/>
        <w:spacing w:before="5"/>
        <w:ind w:left="0" w:right="0" w:firstLine="0"/>
        <w:jc w:val="left"/>
        <w:rPr>
          <w:b/>
          <w:sz w:val="12"/>
        </w:rPr>
      </w:pPr>
    </w:p>
    <w:p w:rsidR="00A63476" w:rsidRDefault="00D22874">
      <w:pPr>
        <w:spacing w:before="95"/>
        <w:ind w:left="800"/>
        <w:jc w:val="both"/>
        <w:rPr>
          <w:i/>
          <w:sz w:val="18"/>
        </w:rPr>
      </w:pPr>
      <w:r>
        <w:rPr>
          <w:sz w:val="18"/>
        </w:rPr>
        <w:t xml:space="preserve">Aplica particularmente en los procesos de </w:t>
      </w:r>
      <w:r>
        <w:rPr>
          <w:i/>
          <w:sz w:val="18"/>
        </w:rPr>
        <w:t>producción social de vivienda asistida.</w:t>
      </w:r>
    </w:p>
    <w:p w:rsidR="00A63476" w:rsidRDefault="00D22874">
      <w:pPr>
        <w:pStyle w:val="Textoindependiente"/>
        <w:spacing w:before="113" w:line="278" w:lineRule="auto"/>
        <w:ind w:right="663"/>
      </w:pPr>
      <w:r>
        <w:t xml:space="preserve">El </w:t>
      </w:r>
      <w:r>
        <w:rPr>
          <w:i/>
        </w:rPr>
        <w:t xml:space="preserve">subsidio </w:t>
      </w:r>
      <w:r>
        <w:t>otorgado por las entidades federativas a través de los OREVIS podrá ser con recursos</w:t>
      </w:r>
      <w:r>
        <w:t xml:space="preserve"> económicos y/o sociales y/o en especie.</w:t>
      </w:r>
    </w:p>
    <w:p w:rsidR="00A63476" w:rsidRDefault="00D22874">
      <w:pPr>
        <w:pStyle w:val="Textoindependiente"/>
        <w:spacing w:before="99" w:line="266" w:lineRule="auto"/>
      </w:pPr>
      <w:r>
        <w:t xml:space="preserve">Los </w:t>
      </w:r>
      <w:r>
        <w:rPr>
          <w:i/>
        </w:rPr>
        <w:t xml:space="preserve">subsidios </w:t>
      </w:r>
      <w:r>
        <w:t>CONAVI son un complemento a los subsidios de los OREVIS y tienen como objetivo contribuir a revertir las condiciones de rezago habitacional, altos grados de marginación o afectaciones a la vivienda gen</w:t>
      </w:r>
      <w:r>
        <w:t>eradas por fenómenos naturales.</w:t>
      </w:r>
    </w:p>
    <w:p w:rsidR="00A63476" w:rsidRDefault="00D22874">
      <w:pPr>
        <w:pStyle w:val="Textoindependiente"/>
        <w:spacing w:before="91" w:line="266" w:lineRule="auto"/>
      </w:pPr>
      <w:r>
        <w:t>Se podrá aprobar subsidio para uno o varios esquemas de operación, siempre que, a dictamen de la Comisión, se identifique que resulta indispensable su aprobación para responder a las condiciones de habitabilidad de la vivien</w:t>
      </w:r>
      <w:r>
        <w:t>da intervenida o por intervenir.</w:t>
      </w:r>
    </w:p>
    <w:p w:rsidR="00A63476" w:rsidRDefault="00D22874">
      <w:pPr>
        <w:pStyle w:val="Textoindependiente"/>
        <w:spacing w:before="111" w:line="266" w:lineRule="auto"/>
      </w:pPr>
      <w:r>
        <w:t xml:space="preserve">El </w:t>
      </w:r>
      <w:r>
        <w:rPr>
          <w:i/>
        </w:rPr>
        <w:t xml:space="preserve">ahorro previo </w:t>
      </w:r>
      <w:r>
        <w:t xml:space="preserve">es la aportación de los beneficiarios para que, sumado a los subsidios antes señalados, sea aplicado a la intervención habitacional. La mano de obra y la aportación de materiales para la construcción podrá </w:t>
      </w:r>
      <w:r>
        <w:t>ser considerada como ahorro previo, en todos las modalidades y líneas de</w:t>
      </w:r>
      <w:r>
        <w:rPr>
          <w:spacing w:val="-2"/>
        </w:rPr>
        <w:t xml:space="preserve"> </w:t>
      </w:r>
      <w:r>
        <w:t>apoyo.</w:t>
      </w:r>
    </w:p>
    <w:p w:rsidR="00A63476" w:rsidRDefault="00D22874">
      <w:pPr>
        <w:pStyle w:val="Ttulo1"/>
        <w:numPr>
          <w:ilvl w:val="0"/>
          <w:numId w:val="53"/>
        </w:numPr>
        <w:tabs>
          <w:tab w:val="left" w:pos="1036"/>
        </w:tabs>
        <w:spacing w:before="111" w:line="254" w:lineRule="auto"/>
        <w:ind w:right="664" w:firstLine="280"/>
        <w:jc w:val="both"/>
      </w:pPr>
      <w:r>
        <w:t xml:space="preserve">Crédito otorgado por una entidad ejecutora, subsidio </w:t>
      </w:r>
      <w:r>
        <w:rPr>
          <w:spacing w:val="-3"/>
        </w:rPr>
        <w:t xml:space="preserve">CONAVI </w:t>
      </w:r>
      <w:r>
        <w:t>y ahorro previo de la persona beneficiaria</w:t>
      </w:r>
    </w:p>
    <w:p w:rsidR="00A63476" w:rsidRDefault="00D22874">
      <w:pPr>
        <w:pStyle w:val="Textoindependiente"/>
        <w:spacing w:before="121" w:line="254" w:lineRule="auto"/>
        <w:ind w:right="663"/>
      </w:pPr>
      <w:r>
        <w:t xml:space="preserve">Corresponde al esquema de </w:t>
      </w:r>
      <w:r>
        <w:rPr>
          <w:i/>
        </w:rPr>
        <w:t>Cofinanciamiento</w:t>
      </w:r>
      <w:r>
        <w:t>, en el que el ahorro, crédito y subsidio funcionan de la siguiente forma:</w:t>
      </w:r>
    </w:p>
    <w:p w:rsidR="00A63476" w:rsidRDefault="00D22874">
      <w:pPr>
        <w:pStyle w:val="Prrafodelista"/>
        <w:numPr>
          <w:ilvl w:val="1"/>
          <w:numId w:val="58"/>
        </w:numPr>
        <w:tabs>
          <w:tab w:val="left" w:pos="1220"/>
        </w:tabs>
        <w:spacing w:before="89" w:line="266" w:lineRule="auto"/>
        <w:ind w:left="1240" w:right="655" w:hanging="440"/>
        <w:rPr>
          <w:sz w:val="18"/>
        </w:rPr>
      </w:pPr>
      <w:r>
        <w:rPr>
          <w:sz w:val="18"/>
        </w:rPr>
        <w:t xml:space="preserve">El crédito para vivienda a otorgar por una Entidad Ejecutora, como </w:t>
      </w:r>
      <w:r>
        <w:rPr>
          <w:spacing w:val="-4"/>
          <w:sz w:val="18"/>
        </w:rPr>
        <w:t xml:space="preserve">INFONAVIT, </w:t>
      </w:r>
      <w:r>
        <w:rPr>
          <w:sz w:val="18"/>
        </w:rPr>
        <w:t>FOVISSSTE, la banca social u otro organismo de seguridad social municipal, estatal o federal o por otro</w:t>
      </w:r>
      <w:r>
        <w:rPr>
          <w:sz w:val="18"/>
        </w:rPr>
        <w:t>s organismos financieros.</w:t>
      </w:r>
    </w:p>
    <w:p w:rsidR="00A63476" w:rsidRDefault="00D22874">
      <w:pPr>
        <w:pStyle w:val="Prrafodelista"/>
        <w:numPr>
          <w:ilvl w:val="1"/>
          <w:numId w:val="58"/>
        </w:numPr>
        <w:tabs>
          <w:tab w:val="left" w:pos="1220"/>
        </w:tabs>
        <w:spacing w:before="77" w:line="266" w:lineRule="auto"/>
        <w:ind w:left="1240" w:right="655" w:hanging="440"/>
        <w:rPr>
          <w:sz w:val="18"/>
        </w:rPr>
      </w:pPr>
      <w:r>
        <w:rPr>
          <w:sz w:val="18"/>
        </w:rPr>
        <w:t xml:space="preserve">El subsidio es el recurso público no recuperable otorgado por la </w:t>
      </w:r>
      <w:r>
        <w:rPr>
          <w:spacing w:val="-3"/>
          <w:sz w:val="18"/>
        </w:rPr>
        <w:t xml:space="preserve">CONAVI </w:t>
      </w:r>
      <w:r>
        <w:rPr>
          <w:sz w:val="18"/>
        </w:rPr>
        <w:t xml:space="preserve">o por Organismos Estatales o Municipales de Vivienda o asociaciones civiles, de conformidad con las condiciones </w:t>
      </w:r>
      <w:r>
        <w:rPr>
          <w:spacing w:val="-3"/>
          <w:sz w:val="18"/>
        </w:rPr>
        <w:t xml:space="preserve">establecidas  </w:t>
      </w:r>
      <w:r>
        <w:rPr>
          <w:sz w:val="18"/>
        </w:rPr>
        <w:t>en estas Reglas para cada vertie</w:t>
      </w:r>
      <w:r>
        <w:rPr>
          <w:sz w:val="18"/>
        </w:rPr>
        <w:t>nte y modalidad del Programa de</w:t>
      </w:r>
      <w:r>
        <w:rPr>
          <w:spacing w:val="-2"/>
          <w:sz w:val="18"/>
        </w:rPr>
        <w:t xml:space="preserve"> </w:t>
      </w:r>
      <w:r>
        <w:rPr>
          <w:sz w:val="18"/>
        </w:rPr>
        <w:t>Vivienda.</w:t>
      </w:r>
    </w:p>
    <w:p w:rsidR="00A63476" w:rsidRDefault="00D22874">
      <w:pPr>
        <w:pStyle w:val="Prrafodelista"/>
        <w:numPr>
          <w:ilvl w:val="1"/>
          <w:numId w:val="58"/>
        </w:numPr>
        <w:tabs>
          <w:tab w:val="left" w:pos="1220"/>
        </w:tabs>
        <w:spacing w:before="37" w:line="276" w:lineRule="auto"/>
        <w:ind w:left="1240" w:right="661" w:hanging="440"/>
        <w:rPr>
          <w:sz w:val="18"/>
        </w:rPr>
      </w:pPr>
      <w:r>
        <w:rPr>
          <w:sz w:val="18"/>
        </w:rPr>
        <w:t xml:space="preserve">El ahorro previo, que la población derechohabiente del </w:t>
      </w:r>
      <w:r>
        <w:rPr>
          <w:spacing w:val="-4"/>
          <w:sz w:val="18"/>
        </w:rPr>
        <w:t xml:space="preserve">INFONAVIT, </w:t>
      </w:r>
      <w:r>
        <w:rPr>
          <w:sz w:val="18"/>
        </w:rPr>
        <w:t>del FOVISSSTE y otros podrá acreditar con sus aportaciones como ahorro para la</w:t>
      </w:r>
      <w:r>
        <w:rPr>
          <w:spacing w:val="-1"/>
          <w:sz w:val="18"/>
        </w:rPr>
        <w:t xml:space="preserve"> </w:t>
      </w:r>
      <w:r>
        <w:rPr>
          <w:sz w:val="18"/>
        </w:rPr>
        <w:t>vivienda.</w:t>
      </w:r>
    </w:p>
    <w:p w:rsidR="00A63476" w:rsidRDefault="00D22874">
      <w:pPr>
        <w:pStyle w:val="Prrafodelista"/>
        <w:numPr>
          <w:ilvl w:val="1"/>
          <w:numId w:val="58"/>
        </w:numPr>
        <w:tabs>
          <w:tab w:val="left" w:pos="1220"/>
        </w:tabs>
        <w:spacing w:before="30" w:line="276" w:lineRule="auto"/>
        <w:ind w:left="1240" w:right="661" w:hanging="440"/>
        <w:rPr>
          <w:sz w:val="18"/>
        </w:rPr>
      </w:pPr>
      <w:r>
        <w:rPr>
          <w:sz w:val="18"/>
        </w:rPr>
        <w:t xml:space="preserve">La unidad de medida del financiamiento que se otorgue será </w:t>
      </w:r>
      <w:r>
        <w:rPr>
          <w:sz w:val="18"/>
        </w:rPr>
        <w:t xml:space="preserve">la Unidad de Medida y </w:t>
      </w:r>
      <w:r>
        <w:rPr>
          <w:spacing w:val="-3"/>
          <w:sz w:val="18"/>
        </w:rPr>
        <w:t xml:space="preserve">Actualización </w:t>
      </w:r>
      <w:r>
        <w:rPr>
          <w:sz w:val="18"/>
        </w:rPr>
        <w:t>(UMA) vigente.</w:t>
      </w:r>
    </w:p>
    <w:p w:rsidR="00A63476" w:rsidRDefault="00D22874">
      <w:pPr>
        <w:pStyle w:val="Ttulo1"/>
        <w:numPr>
          <w:ilvl w:val="0"/>
          <w:numId w:val="53"/>
        </w:numPr>
        <w:tabs>
          <w:tab w:val="left" w:pos="1001"/>
        </w:tabs>
        <w:spacing w:before="102"/>
        <w:ind w:left="1000" w:hanging="201"/>
        <w:jc w:val="both"/>
      </w:pPr>
      <w:r>
        <w:t xml:space="preserve">Subsidio </w:t>
      </w:r>
      <w:r>
        <w:rPr>
          <w:spacing w:val="-3"/>
        </w:rPr>
        <w:t>CONAVI</w:t>
      </w:r>
      <w:r>
        <w:rPr>
          <w:spacing w:val="-2"/>
        </w:rPr>
        <w:t xml:space="preserve"> </w:t>
      </w:r>
      <w:r>
        <w:t>100%</w:t>
      </w:r>
    </w:p>
    <w:p w:rsidR="00A63476" w:rsidRDefault="00D22874">
      <w:pPr>
        <w:pStyle w:val="Textoindependiente"/>
        <w:spacing w:before="113" w:line="295" w:lineRule="auto"/>
      </w:pPr>
      <w:r>
        <w:t xml:space="preserve">Son subsidios otorgados directamente al beneficiario, no asociados a crédito y a subsidio de otra entidad, y serán utilizados para cubrir necesidades de la población prioritaria (personas que habiten en zonas </w:t>
      </w:r>
      <w:r>
        <w:rPr>
          <w:spacing w:val="-6"/>
        </w:rPr>
        <w:t xml:space="preserve">de </w:t>
      </w:r>
      <w:r>
        <w:t>población mayoritariamente indígena, zonas c</w:t>
      </w:r>
      <w:r>
        <w:t>on mayor grado de marginación o zonas con altos índices de violencia; población afectada por fenómenos naturales o en condiciones de vulnerabilidad por condición de salud, socioeconómica o situaciones sociales de</w:t>
      </w:r>
      <w:r>
        <w:rPr>
          <w:spacing w:val="-1"/>
        </w:rPr>
        <w:t xml:space="preserve"> </w:t>
      </w:r>
      <w:r>
        <w:t>contingencia).</w:t>
      </w:r>
    </w:p>
    <w:p w:rsidR="00A63476" w:rsidRDefault="00D22874">
      <w:pPr>
        <w:pStyle w:val="Textoindependiente"/>
        <w:spacing w:before="87" w:line="302" w:lineRule="auto"/>
      </w:pPr>
      <w:r>
        <w:t>Para la operación del Progra</w:t>
      </w:r>
      <w:r>
        <w:t>ma de Vivienda Social, se consideran los siguientes tipos de apoyo los cuales serán aplicados con sus especificidades en las diferentes vertientes, formas de intervención, modalidades y líneas de apoyo.</w:t>
      </w:r>
    </w:p>
    <w:p w:rsidR="00A63476" w:rsidRDefault="00D22874">
      <w:pPr>
        <w:pStyle w:val="Ttulo1"/>
        <w:numPr>
          <w:ilvl w:val="2"/>
          <w:numId w:val="55"/>
        </w:numPr>
        <w:tabs>
          <w:tab w:val="left" w:pos="1251"/>
        </w:tabs>
        <w:spacing w:before="57" w:line="393" w:lineRule="auto"/>
        <w:ind w:right="7450" w:firstLine="0"/>
        <w:jc w:val="both"/>
      </w:pPr>
      <w:r>
        <w:t>Tipos de</w:t>
      </w:r>
      <w:r>
        <w:rPr>
          <w:spacing w:val="-9"/>
        </w:rPr>
        <w:t xml:space="preserve"> </w:t>
      </w:r>
      <w:r>
        <w:t>apoyo Vertientes</w:t>
      </w:r>
    </w:p>
    <w:p w:rsidR="00A63476" w:rsidRDefault="00D22874">
      <w:pPr>
        <w:pStyle w:val="Textoindependiente"/>
        <w:spacing w:before="2" w:line="302" w:lineRule="auto"/>
        <w:ind w:right="663"/>
      </w:pPr>
      <w:r>
        <w:t>Las presentes Reglas de Operación consideran dos vertientes: 1) Producción Social de Vivienda Asistida; y, 2) Cofinanciamiento</w:t>
      </w:r>
    </w:p>
    <w:p w:rsidR="00A63476" w:rsidRDefault="00D22874">
      <w:pPr>
        <w:pStyle w:val="Ttulo1"/>
        <w:numPr>
          <w:ilvl w:val="0"/>
          <w:numId w:val="52"/>
        </w:numPr>
        <w:tabs>
          <w:tab w:val="left" w:pos="1001"/>
        </w:tabs>
        <w:spacing w:before="58"/>
        <w:jc w:val="both"/>
      </w:pPr>
      <w:r>
        <w:t>PRODUCCIÓN SOCIAL DE VIVIENDA</w:t>
      </w:r>
      <w:r>
        <w:rPr>
          <w:spacing w:val="-19"/>
        </w:rPr>
        <w:t xml:space="preserve"> </w:t>
      </w:r>
      <w:r>
        <w:t>ASISTIDA</w:t>
      </w:r>
    </w:p>
    <w:p w:rsidR="00A63476" w:rsidRDefault="00D22874">
      <w:pPr>
        <w:pStyle w:val="Textoindependiente"/>
        <w:spacing w:before="133" w:line="302" w:lineRule="auto"/>
      </w:pPr>
      <w:r>
        <w:t>Se refiere a las acciones de producción social de vivienda realizadas con apoyo de asisten</w:t>
      </w:r>
      <w:r>
        <w:t>cia técnica integral. Comprende aspectos técnicos, financieros, organizativos, ambientales, de capacitación y de gestión adecuados a las características del proceso y de los beneficiarios.</w:t>
      </w:r>
    </w:p>
    <w:p w:rsidR="00A63476" w:rsidRDefault="00D22874">
      <w:pPr>
        <w:pStyle w:val="Textoindependiente"/>
        <w:spacing w:before="58" w:line="302" w:lineRule="auto"/>
      </w:pPr>
      <w:r>
        <w:t>Opera a través de cuatro formas de intervención: i. Vivienda en Zon</w:t>
      </w:r>
      <w:r>
        <w:t>as Rurales y Urbanas; ii. Vivienda en Zonas Urbanas Marginadas; iii. Vivienda Afectada por Fenómenos Naturales; iv. Vivienda ubicada en Proyectos Estratégicos; cuatro modalidades de aplicación del subsidio, así como 19 líneas de apoyo que se refieren a los</w:t>
      </w:r>
      <w:r>
        <w:t xml:space="preserve"> componentes específicos que aportan el recurso de manera única o progresiva.</w:t>
      </w:r>
    </w:p>
    <w:p w:rsidR="00A63476" w:rsidRDefault="00D22874">
      <w:pPr>
        <w:pStyle w:val="Ttulo1"/>
        <w:numPr>
          <w:ilvl w:val="1"/>
          <w:numId w:val="52"/>
        </w:numPr>
        <w:tabs>
          <w:tab w:val="left" w:pos="1151"/>
        </w:tabs>
        <w:spacing w:before="56"/>
        <w:jc w:val="both"/>
      </w:pPr>
      <w:r>
        <w:t>Formas de intervención</w:t>
      </w:r>
    </w:p>
    <w:p w:rsidR="00A63476" w:rsidRDefault="00A63476">
      <w:pPr>
        <w:jc w:val="both"/>
        <w:sectPr w:rsidR="00A63476">
          <w:pgSz w:w="12240" w:h="15840"/>
          <w:pgMar w:top="920" w:right="1040" w:bottom="280" w:left="1180" w:header="700" w:footer="0" w:gutter="0"/>
          <w:cols w:space="720"/>
        </w:sectPr>
      </w:pPr>
    </w:p>
    <w:p w:rsidR="00A63476" w:rsidRDefault="00A63476">
      <w:pPr>
        <w:pStyle w:val="Textoindependiente"/>
        <w:spacing w:before="2"/>
        <w:ind w:left="0" w:right="0" w:firstLine="0"/>
        <w:jc w:val="left"/>
        <w:rPr>
          <w:b/>
          <w:sz w:val="14"/>
        </w:rPr>
      </w:pPr>
    </w:p>
    <w:p w:rsidR="00A63476" w:rsidRDefault="00D22874">
      <w:pPr>
        <w:pStyle w:val="Textoindependiente"/>
        <w:spacing w:before="95" w:line="292" w:lineRule="auto"/>
      </w:pPr>
      <w:r>
        <w:t>Se refieren a las formas de intervención para la producción social de vivienda asistida, que orientan una distribución y atención equilibrad</w:t>
      </w:r>
      <w:r>
        <w:t>a de las acciones de vivienda en todo el territorio nacional, considerando las necesidades y condiciones locales y regionales, así como la focalización de prioridades para distribuir el subsidio que otorga la Comisión a través de las modalidades y líneas d</w:t>
      </w:r>
      <w:r>
        <w:t>e apoyo.</w:t>
      </w:r>
    </w:p>
    <w:p w:rsidR="00A63476" w:rsidRDefault="00D22874">
      <w:pPr>
        <w:pStyle w:val="Ttulo1"/>
        <w:numPr>
          <w:ilvl w:val="2"/>
          <w:numId w:val="52"/>
        </w:numPr>
        <w:tabs>
          <w:tab w:val="left" w:pos="1251"/>
        </w:tabs>
        <w:spacing w:before="89"/>
        <w:jc w:val="both"/>
      </w:pPr>
      <w:r>
        <w:t>Vivienda en zonas rurales y</w:t>
      </w:r>
      <w:r>
        <w:rPr>
          <w:spacing w:val="-2"/>
        </w:rPr>
        <w:t xml:space="preserve"> </w:t>
      </w:r>
      <w:r>
        <w:t>urbanas</w:t>
      </w:r>
    </w:p>
    <w:p w:rsidR="00A63476" w:rsidRDefault="00D22874">
      <w:pPr>
        <w:spacing w:before="133"/>
        <w:ind w:left="800"/>
        <w:rPr>
          <w:sz w:val="14"/>
        </w:rPr>
      </w:pPr>
      <w:r>
        <w:rPr>
          <w:w w:val="105"/>
          <w:sz w:val="18"/>
        </w:rPr>
        <w:t>O</w:t>
      </w:r>
      <w:r>
        <w:rPr>
          <w:w w:val="105"/>
          <w:sz w:val="14"/>
        </w:rPr>
        <w:t>BJETO DE LA FORMA DE INTERVENCIÓN</w:t>
      </w:r>
    </w:p>
    <w:p w:rsidR="00A63476" w:rsidRDefault="00D22874">
      <w:pPr>
        <w:pStyle w:val="Textoindependiente"/>
        <w:spacing w:before="113" w:line="302" w:lineRule="auto"/>
      </w:pPr>
      <w:r>
        <w:t>Esta forma de intervención prioriza la participación de los solicitantes en un proceso de producción social de vivienda asistida, con apoyo y acompañamiento de una asistencia t</w:t>
      </w:r>
      <w:r>
        <w:t>écnica calificada que comprende aspectos técnicos, financieros, organizativos, legales y de gestión, adecuados a las características de las familias beneficiarias del programa.</w:t>
      </w:r>
    </w:p>
    <w:p w:rsidR="00A63476" w:rsidRDefault="00D22874">
      <w:pPr>
        <w:pStyle w:val="Textoindependiente"/>
        <w:spacing w:before="57" w:line="302" w:lineRule="auto"/>
      </w:pPr>
      <w:r>
        <w:t>Los esquemas de operación aplicables son: Subsidio proveniente de los gobiernos</w:t>
      </w:r>
      <w:r>
        <w:t xml:space="preserve"> de las Entidades Federativas a través de los Organismos Estatales de Vivienda, más subsidio </w:t>
      </w:r>
      <w:r>
        <w:rPr>
          <w:spacing w:val="-3"/>
        </w:rPr>
        <w:t xml:space="preserve">CONAVI, </w:t>
      </w:r>
      <w:r>
        <w:t xml:space="preserve">más ahorro previo de la persona beneficiaria.; Crédito otorgado por una entidad ejecutora, más subsidio </w:t>
      </w:r>
      <w:r>
        <w:rPr>
          <w:spacing w:val="-3"/>
        </w:rPr>
        <w:t xml:space="preserve">CONAVI, </w:t>
      </w:r>
      <w:r>
        <w:t xml:space="preserve">más ahorro </w:t>
      </w:r>
      <w:r>
        <w:rPr>
          <w:spacing w:val="-3"/>
        </w:rPr>
        <w:t xml:space="preserve">previo </w:t>
      </w:r>
      <w:r>
        <w:t>de la persona beneficiari</w:t>
      </w:r>
      <w:r>
        <w:t xml:space="preserve">a; </w:t>
      </w:r>
      <w:r>
        <w:rPr>
          <w:spacing w:val="-7"/>
        </w:rPr>
        <w:t xml:space="preserve">y, </w:t>
      </w:r>
      <w:r>
        <w:t xml:space="preserve">Subsidio </w:t>
      </w:r>
      <w:r>
        <w:rPr>
          <w:spacing w:val="-3"/>
        </w:rPr>
        <w:t>CONAVI</w:t>
      </w:r>
      <w:r>
        <w:rPr>
          <w:spacing w:val="4"/>
        </w:rPr>
        <w:t xml:space="preserve"> </w:t>
      </w:r>
      <w:r>
        <w:t>100%.</w:t>
      </w:r>
    </w:p>
    <w:p w:rsidR="00A63476" w:rsidRDefault="00D22874">
      <w:pPr>
        <w:spacing w:before="57"/>
        <w:ind w:left="800"/>
        <w:rPr>
          <w:sz w:val="14"/>
        </w:rPr>
      </w:pPr>
      <w:r>
        <w:rPr>
          <w:w w:val="105"/>
          <w:sz w:val="18"/>
        </w:rPr>
        <w:t>P</w:t>
      </w:r>
      <w:r>
        <w:rPr>
          <w:w w:val="105"/>
          <w:sz w:val="14"/>
        </w:rPr>
        <w:t>OBLACIÓN BENEFICIARIA</w:t>
      </w:r>
    </w:p>
    <w:p w:rsidR="00A63476" w:rsidRDefault="00D22874">
      <w:pPr>
        <w:pStyle w:val="Textoindependiente"/>
        <w:spacing w:before="133" w:line="302" w:lineRule="auto"/>
      </w:pPr>
      <w:r>
        <w:t>La población beneficiaria en esta vertiente es aquella no derechohabiente con ingreso individual o familiar de hasta cinco (5) veces el valor de la UMA, que habita en localidades rurales y urbanas en el te</w:t>
      </w:r>
      <w:r>
        <w:t>rritorio nacional.</w:t>
      </w:r>
    </w:p>
    <w:p w:rsidR="00A63476" w:rsidRDefault="00D22874">
      <w:pPr>
        <w:pStyle w:val="Textoindependiente"/>
        <w:spacing w:before="58" w:line="302" w:lineRule="auto"/>
      </w:pPr>
      <w:r>
        <w:t>Además de verificar el cumplimiento de los requisitos o condiciones de elegibilidad que se definen en las Reglas de Operación para cada una de las modalidades, el área responsable, buscará en todo momento que los proyectos:</w:t>
      </w:r>
    </w:p>
    <w:p w:rsidR="00A63476" w:rsidRDefault="00D22874">
      <w:pPr>
        <w:pStyle w:val="Prrafodelista"/>
        <w:numPr>
          <w:ilvl w:val="0"/>
          <w:numId w:val="51"/>
        </w:numPr>
        <w:tabs>
          <w:tab w:val="left" w:pos="1232"/>
        </w:tabs>
        <w:spacing w:before="77"/>
        <w:jc w:val="both"/>
        <w:rPr>
          <w:sz w:val="18"/>
        </w:rPr>
      </w:pPr>
      <w:r>
        <w:rPr>
          <w:sz w:val="18"/>
        </w:rPr>
        <w:t xml:space="preserve">Con su ejecución sea posible la </w:t>
      </w:r>
      <w:r>
        <w:rPr>
          <w:sz w:val="18"/>
        </w:rPr>
        <w:t>mitigación de algún riesgo para la población solicitante.</w:t>
      </w:r>
    </w:p>
    <w:p w:rsidR="00A63476" w:rsidRDefault="00D22874">
      <w:pPr>
        <w:pStyle w:val="Prrafodelista"/>
        <w:numPr>
          <w:ilvl w:val="0"/>
          <w:numId w:val="51"/>
        </w:numPr>
        <w:tabs>
          <w:tab w:val="left" w:pos="1232"/>
        </w:tabs>
        <w:spacing w:before="113"/>
        <w:jc w:val="both"/>
        <w:rPr>
          <w:sz w:val="18"/>
        </w:rPr>
      </w:pPr>
      <w:r>
        <w:rPr>
          <w:sz w:val="18"/>
        </w:rPr>
        <w:t>Consideren aportación</w:t>
      </w:r>
      <w:r>
        <w:rPr>
          <w:spacing w:val="-1"/>
          <w:sz w:val="18"/>
        </w:rPr>
        <w:t xml:space="preserve"> </w:t>
      </w:r>
      <w:r>
        <w:rPr>
          <w:sz w:val="18"/>
        </w:rPr>
        <w:t>local;</w:t>
      </w:r>
    </w:p>
    <w:p w:rsidR="00A63476" w:rsidRDefault="00D22874">
      <w:pPr>
        <w:pStyle w:val="Prrafodelista"/>
        <w:numPr>
          <w:ilvl w:val="0"/>
          <w:numId w:val="51"/>
        </w:numPr>
        <w:tabs>
          <w:tab w:val="left" w:pos="1232"/>
        </w:tabs>
        <w:spacing w:before="153"/>
        <w:jc w:val="both"/>
        <w:rPr>
          <w:sz w:val="18"/>
        </w:rPr>
      </w:pPr>
      <w:r>
        <w:rPr>
          <w:sz w:val="18"/>
        </w:rPr>
        <w:t>Incluyan mano de obra de la comunidad;</w:t>
      </w:r>
    </w:p>
    <w:p w:rsidR="00A63476" w:rsidRDefault="00D22874">
      <w:pPr>
        <w:pStyle w:val="Prrafodelista"/>
        <w:numPr>
          <w:ilvl w:val="0"/>
          <w:numId w:val="51"/>
        </w:numPr>
        <w:tabs>
          <w:tab w:val="left" w:pos="1231"/>
          <w:tab w:val="left" w:pos="1232"/>
        </w:tabs>
        <w:spacing w:before="153" w:line="278" w:lineRule="auto"/>
        <w:ind w:left="1240" w:right="663" w:hanging="440"/>
        <w:rPr>
          <w:sz w:val="18"/>
        </w:rPr>
      </w:pPr>
      <w:r>
        <w:rPr>
          <w:sz w:val="18"/>
        </w:rPr>
        <w:t xml:space="preserve">Habiendo sido aprobados en ejercicios fiscales anteriores, no hubiesen sido ejecutados en todo o </w:t>
      </w:r>
      <w:r>
        <w:rPr>
          <w:spacing w:val="-7"/>
          <w:sz w:val="18"/>
        </w:rPr>
        <w:t xml:space="preserve">en </w:t>
      </w:r>
      <w:r>
        <w:rPr>
          <w:sz w:val="18"/>
        </w:rPr>
        <w:t>parte por razones de índole</w:t>
      </w:r>
      <w:r>
        <w:rPr>
          <w:spacing w:val="-1"/>
          <w:sz w:val="18"/>
        </w:rPr>
        <w:t xml:space="preserve"> </w:t>
      </w:r>
      <w:r>
        <w:rPr>
          <w:sz w:val="18"/>
        </w:rPr>
        <w:t>presupuestaria;</w:t>
      </w:r>
    </w:p>
    <w:p w:rsidR="00A63476" w:rsidRDefault="00D22874">
      <w:pPr>
        <w:pStyle w:val="Prrafodelista"/>
        <w:numPr>
          <w:ilvl w:val="0"/>
          <w:numId w:val="51"/>
        </w:numPr>
        <w:tabs>
          <w:tab w:val="left" w:pos="1231"/>
          <w:tab w:val="left" w:pos="1232"/>
        </w:tabs>
        <w:spacing w:before="120" w:line="278" w:lineRule="auto"/>
        <w:ind w:left="1240" w:right="663" w:hanging="440"/>
        <w:rPr>
          <w:sz w:val="18"/>
        </w:rPr>
      </w:pPr>
      <w:r>
        <w:rPr>
          <w:sz w:val="18"/>
        </w:rPr>
        <w:t>Promuevan la continuidad e integralidad de las acciones del Programa en las localidades atendidas en ejercicios fiscales anteriores.</w:t>
      </w:r>
    </w:p>
    <w:p w:rsidR="00A63476" w:rsidRDefault="00D22874">
      <w:pPr>
        <w:spacing w:before="120"/>
        <w:ind w:left="800"/>
        <w:rPr>
          <w:sz w:val="14"/>
        </w:rPr>
      </w:pPr>
      <w:r>
        <w:rPr>
          <w:w w:val="105"/>
          <w:sz w:val="18"/>
        </w:rPr>
        <w:t>P</w:t>
      </w:r>
      <w:r>
        <w:rPr>
          <w:w w:val="105"/>
          <w:sz w:val="14"/>
        </w:rPr>
        <w:t>OBLACIÓN PRIORITARIA</w:t>
      </w:r>
    </w:p>
    <w:p w:rsidR="00A63476" w:rsidRDefault="00D22874">
      <w:pPr>
        <w:pStyle w:val="Textoindependiente"/>
        <w:spacing w:before="133" w:line="290" w:lineRule="auto"/>
      </w:pPr>
      <w:r>
        <w:t>En esta forma de intervención tendrán como prioridad para ser beneficiarias las perso</w:t>
      </w:r>
      <w:r>
        <w:t>nas que habiten en zonas de población mayoritariamente indígena, zonas con mayor grado de marginación o zonas con altos índices de violencia, según los mecanismos establecidos por la Secretaría de Bienestar.</w:t>
      </w:r>
    </w:p>
    <w:p w:rsidR="00A63476" w:rsidRDefault="00D22874">
      <w:pPr>
        <w:spacing w:before="109"/>
        <w:ind w:left="800"/>
        <w:rPr>
          <w:sz w:val="14"/>
        </w:rPr>
      </w:pPr>
      <w:r>
        <w:rPr>
          <w:w w:val="105"/>
          <w:sz w:val="18"/>
        </w:rPr>
        <w:t>M</w:t>
      </w:r>
      <w:r>
        <w:rPr>
          <w:w w:val="105"/>
          <w:sz w:val="14"/>
        </w:rPr>
        <w:t>ODALIDADES PARA LA APLICACIÓN DEL SUBSIDIO Y LÍ</w:t>
      </w:r>
      <w:r>
        <w:rPr>
          <w:w w:val="105"/>
          <w:sz w:val="14"/>
        </w:rPr>
        <w:t>NEAS DE APOYO</w:t>
      </w:r>
    </w:p>
    <w:p w:rsidR="00A63476" w:rsidRDefault="00D22874">
      <w:pPr>
        <w:pStyle w:val="Textoindependiente"/>
        <w:spacing w:before="133" w:line="292" w:lineRule="auto"/>
      </w:pPr>
      <w:r>
        <w:t>Las modalidades para la aplicación del subsidio en esta forma de intervención son: Vivienda en Conjunto Habitacional; Vivienda en Espacio Edificable Rural o Urbano; Adquisición de Vivienda; y, Mejoramiento en Unidades Habitacionales con sus r</w:t>
      </w:r>
      <w:r>
        <w:t>espectivas líneas de apoyo; aplican procesos de autoadministración o autoproducción con asistencia técnica. Así mismo se podrá optar por la contratación directa de empresas constructoras u Organismos Ejecutores de Obra, preferentemente locales, previamente</w:t>
      </w:r>
      <w:r>
        <w:t xml:space="preserve"> acreditados ante CONAVI.</w:t>
      </w:r>
    </w:p>
    <w:p w:rsidR="00A63476" w:rsidRDefault="00D22874">
      <w:pPr>
        <w:pStyle w:val="Ttulo2"/>
        <w:numPr>
          <w:ilvl w:val="0"/>
          <w:numId w:val="50"/>
        </w:numPr>
        <w:tabs>
          <w:tab w:val="left" w:pos="1219"/>
        </w:tabs>
        <w:jc w:val="both"/>
      </w:pPr>
      <w:r>
        <w:t>Vivienda en Conjunto</w:t>
      </w:r>
      <w:r>
        <w:rPr>
          <w:spacing w:val="-3"/>
        </w:rPr>
        <w:t xml:space="preserve"> </w:t>
      </w:r>
      <w:r>
        <w:t>Habitacional</w:t>
      </w:r>
    </w:p>
    <w:p w:rsidR="00A63476" w:rsidRDefault="00D22874">
      <w:pPr>
        <w:pStyle w:val="Textoindependiente"/>
        <w:spacing w:before="133" w:line="290" w:lineRule="auto"/>
      </w:pPr>
      <w:r>
        <w:t>Esta modalidad corresponde a la construcción de conjuntos habitacionales de vivienda nueva en desarrollos verticales u horizontales, priorizando los verticales, preferentemente con procesos partic</w:t>
      </w:r>
      <w:r>
        <w:t>ipativos en el diseño y construcción de la vivienda.</w:t>
      </w:r>
    </w:p>
    <w:p w:rsidR="00A63476" w:rsidRDefault="00D22874">
      <w:pPr>
        <w:pStyle w:val="Textoindependiente"/>
        <w:spacing w:before="108" w:line="290" w:lineRule="auto"/>
      </w:pPr>
      <w:r>
        <w:t xml:space="preserve">El desarrollo de Vivienda en Conjunto Habitacional está orientado a optimizar el uso del suelo habitacional en zonas urbanas que cuentan con servicios y equipamiento urbano disponible, constituye una estrategia </w:t>
      </w:r>
      <w:r>
        <w:rPr>
          <w:spacing w:val="-6"/>
        </w:rPr>
        <w:t xml:space="preserve">de </w:t>
      </w:r>
      <w:r>
        <w:t>redensificación habitacional al interior d</w:t>
      </w:r>
      <w:r>
        <w:t xml:space="preserve">e las ciudades. Se ubica en predios con uso habitacional y </w:t>
      </w:r>
      <w:r>
        <w:rPr>
          <w:spacing w:val="-6"/>
        </w:rPr>
        <w:t>con</w:t>
      </w:r>
    </w:p>
    <w:p w:rsidR="00A63476" w:rsidRDefault="00A63476">
      <w:pPr>
        <w:spacing w:line="290" w:lineRule="auto"/>
        <w:sectPr w:rsidR="00A63476">
          <w:pgSz w:w="12240" w:h="15840"/>
          <w:pgMar w:top="920" w:right="1040" w:bottom="280" w:left="1180" w:header="700" w:footer="0" w:gutter="0"/>
          <w:cols w:space="720"/>
        </w:sectPr>
      </w:pPr>
    </w:p>
    <w:p w:rsidR="00A63476" w:rsidRDefault="00A63476">
      <w:pPr>
        <w:pStyle w:val="Textoindependiente"/>
        <w:spacing w:before="2"/>
        <w:ind w:left="0" w:right="0" w:firstLine="0"/>
        <w:jc w:val="left"/>
        <w:rPr>
          <w:sz w:val="14"/>
        </w:rPr>
      </w:pPr>
    </w:p>
    <w:p w:rsidR="00A63476" w:rsidRDefault="00D22874">
      <w:pPr>
        <w:pStyle w:val="Textoindependiente"/>
        <w:spacing w:before="95" w:line="290" w:lineRule="auto"/>
        <w:ind w:firstLine="0"/>
      </w:pPr>
      <w:r>
        <w:t>factibilidad de servicios, en un proceso único de edificación que cumpla con las regulaciones de densidad, superficie construida, seguridad estructural, instalaciones, servicios,</w:t>
      </w:r>
      <w:r>
        <w:t xml:space="preserve"> áreas de uso común entre otros, establecidos por la reglamentación local correspondiente.</w:t>
      </w:r>
    </w:p>
    <w:p w:rsidR="00A63476" w:rsidRDefault="00D22874">
      <w:pPr>
        <w:pStyle w:val="Textoindependiente"/>
        <w:spacing w:before="88" w:line="302" w:lineRule="auto"/>
        <w:ind w:right="663"/>
      </w:pPr>
      <w:r>
        <w:t>Las líneas de apoyo aplicables son: Adquisición de suelo; Estudios y proyectos; Demolición; Edificación; Gastos complementarios; Obra de Alcance Mayor; Sustentabilid</w:t>
      </w:r>
      <w:r>
        <w:t>ad; Espacio Auxiliar Comunitario.</w:t>
      </w:r>
    </w:p>
    <w:p w:rsidR="00A63476" w:rsidRDefault="00D22874">
      <w:pPr>
        <w:pStyle w:val="Prrafodelista"/>
        <w:numPr>
          <w:ilvl w:val="0"/>
          <w:numId w:val="49"/>
        </w:numPr>
        <w:tabs>
          <w:tab w:val="left" w:pos="1232"/>
        </w:tabs>
        <w:spacing w:before="79" w:line="290" w:lineRule="auto"/>
        <w:ind w:right="654" w:hanging="440"/>
        <w:rPr>
          <w:sz w:val="18"/>
        </w:rPr>
      </w:pPr>
      <w:r>
        <w:rPr>
          <w:sz w:val="18"/>
          <w:u w:val="single"/>
        </w:rPr>
        <w:t>Adquisición de suelo.</w:t>
      </w:r>
      <w:r>
        <w:rPr>
          <w:sz w:val="18"/>
        </w:rPr>
        <w:t xml:space="preserve"> La </w:t>
      </w:r>
      <w:r>
        <w:rPr>
          <w:spacing w:val="-3"/>
          <w:sz w:val="18"/>
        </w:rPr>
        <w:t xml:space="preserve">CONAVI </w:t>
      </w:r>
      <w:r>
        <w:rPr>
          <w:sz w:val="18"/>
        </w:rPr>
        <w:t>podrá otorgar subsidio de hasta por la cantidad equivalente a 45 veces el valor de la UMA por unidad de vivienda, para la adquisición de suelo urbano, para incorporarlo al desarrollo de un p</w:t>
      </w:r>
      <w:r>
        <w:rPr>
          <w:sz w:val="18"/>
        </w:rPr>
        <w:t xml:space="preserve">rograma de vivienda en la modalidad de Vivienda en Conjunto Habitacional. En la adquisición de suelo para vivienda se tomará siempre en cuenta la variable </w:t>
      </w:r>
      <w:r>
        <w:rPr>
          <w:spacing w:val="-7"/>
          <w:sz w:val="18"/>
        </w:rPr>
        <w:t xml:space="preserve">de </w:t>
      </w:r>
      <w:r>
        <w:rPr>
          <w:sz w:val="18"/>
        </w:rPr>
        <w:t>riesgo de</w:t>
      </w:r>
      <w:r>
        <w:rPr>
          <w:spacing w:val="-1"/>
          <w:sz w:val="18"/>
        </w:rPr>
        <w:t xml:space="preserve"> </w:t>
      </w:r>
      <w:r>
        <w:rPr>
          <w:sz w:val="18"/>
        </w:rPr>
        <w:t>desastres.</w:t>
      </w:r>
    </w:p>
    <w:p w:rsidR="00A63476" w:rsidRDefault="00D22874">
      <w:pPr>
        <w:pStyle w:val="Prrafodelista"/>
        <w:numPr>
          <w:ilvl w:val="0"/>
          <w:numId w:val="49"/>
        </w:numPr>
        <w:tabs>
          <w:tab w:val="left" w:pos="1232"/>
        </w:tabs>
        <w:spacing w:before="107" w:line="290" w:lineRule="auto"/>
        <w:ind w:right="655" w:hanging="440"/>
        <w:rPr>
          <w:sz w:val="18"/>
        </w:rPr>
      </w:pPr>
      <w:r>
        <w:rPr>
          <w:sz w:val="18"/>
          <w:u w:val="single"/>
        </w:rPr>
        <w:t>Estudios y proyectos.</w:t>
      </w:r>
      <w:r>
        <w:rPr>
          <w:sz w:val="18"/>
        </w:rPr>
        <w:t xml:space="preserve"> Como parte integral de la construcción de vivienda en c</w:t>
      </w:r>
      <w:r>
        <w:rPr>
          <w:sz w:val="18"/>
        </w:rPr>
        <w:t xml:space="preserve">onjunto habitacional, la </w:t>
      </w:r>
      <w:r>
        <w:rPr>
          <w:spacing w:val="-3"/>
          <w:sz w:val="18"/>
        </w:rPr>
        <w:t xml:space="preserve">CONAVI </w:t>
      </w:r>
      <w:r>
        <w:rPr>
          <w:sz w:val="18"/>
        </w:rPr>
        <w:t>podrá otorgar subsidio para desarrollar e integrar la documentación de carácter técnico, social, financiero, jurídico y administrativo que permita sustentar los proyectos propuestos para recibir el apoyo por la cantidad de h</w:t>
      </w:r>
      <w:r>
        <w:rPr>
          <w:sz w:val="18"/>
        </w:rPr>
        <w:t>asta 2.5% del monto de la obra, por la totalidad de viviendas contempladas en el Conjunto Habitacional.</w:t>
      </w:r>
    </w:p>
    <w:p w:rsidR="00A63476" w:rsidRDefault="00D22874">
      <w:pPr>
        <w:pStyle w:val="Prrafodelista"/>
        <w:numPr>
          <w:ilvl w:val="0"/>
          <w:numId w:val="49"/>
        </w:numPr>
        <w:tabs>
          <w:tab w:val="left" w:pos="1232"/>
        </w:tabs>
        <w:spacing w:before="88" w:line="292" w:lineRule="auto"/>
        <w:ind w:right="655" w:hanging="440"/>
        <w:rPr>
          <w:sz w:val="18"/>
        </w:rPr>
      </w:pPr>
      <w:r>
        <w:rPr>
          <w:sz w:val="18"/>
          <w:u w:val="single"/>
        </w:rPr>
        <w:t>Edificación.</w:t>
      </w:r>
      <w:r>
        <w:rPr>
          <w:sz w:val="18"/>
        </w:rPr>
        <w:t xml:space="preserve"> Como parte integral de la construcción de vivienda en conjunto habitacional, la </w:t>
      </w:r>
      <w:r>
        <w:rPr>
          <w:spacing w:val="-3"/>
          <w:sz w:val="18"/>
        </w:rPr>
        <w:t xml:space="preserve">CONAVI </w:t>
      </w:r>
      <w:r>
        <w:rPr>
          <w:sz w:val="18"/>
        </w:rPr>
        <w:t>podrá otorgar subsidio de hasta por la cantidad equi</w:t>
      </w:r>
      <w:r>
        <w:rPr>
          <w:sz w:val="18"/>
        </w:rPr>
        <w:t xml:space="preserve">valente a </w:t>
      </w:r>
      <w:r>
        <w:rPr>
          <w:spacing w:val="-5"/>
          <w:sz w:val="18"/>
        </w:rPr>
        <w:t xml:space="preserve">113 </w:t>
      </w:r>
      <w:r>
        <w:rPr>
          <w:sz w:val="18"/>
        </w:rPr>
        <w:t xml:space="preserve">veces el valor de la UMA, por unidad de vivienda, para los trabajos de construcción de vivienda nueva mediante la contratación </w:t>
      </w:r>
      <w:r>
        <w:rPr>
          <w:spacing w:val="-6"/>
          <w:sz w:val="18"/>
        </w:rPr>
        <w:t xml:space="preserve">de </w:t>
      </w:r>
      <w:r>
        <w:rPr>
          <w:sz w:val="18"/>
        </w:rPr>
        <w:t>empresas constructoras, previamente registradas ante la Comisión, que apliquen procesos industrializados o a tra</w:t>
      </w:r>
      <w:r>
        <w:rPr>
          <w:sz w:val="18"/>
        </w:rPr>
        <w:t xml:space="preserve">vés de procesos de autoadministración, en los que participan directamente </w:t>
      </w:r>
      <w:r>
        <w:rPr>
          <w:spacing w:val="-4"/>
          <w:sz w:val="18"/>
        </w:rPr>
        <w:t xml:space="preserve">las </w:t>
      </w:r>
      <w:r>
        <w:rPr>
          <w:sz w:val="18"/>
        </w:rPr>
        <w:t xml:space="preserve">personas beneficiarias y su equipo técnico, validado por la propia </w:t>
      </w:r>
      <w:r>
        <w:rPr>
          <w:spacing w:val="-3"/>
          <w:sz w:val="18"/>
        </w:rPr>
        <w:t>CONAVI.</w:t>
      </w:r>
    </w:p>
    <w:p w:rsidR="00A63476" w:rsidRDefault="00D22874">
      <w:pPr>
        <w:pStyle w:val="Prrafodelista"/>
        <w:numPr>
          <w:ilvl w:val="0"/>
          <w:numId w:val="49"/>
        </w:numPr>
        <w:tabs>
          <w:tab w:val="left" w:pos="1232"/>
        </w:tabs>
        <w:spacing w:before="85" w:line="290" w:lineRule="auto"/>
        <w:ind w:right="655" w:hanging="440"/>
        <w:rPr>
          <w:sz w:val="18"/>
        </w:rPr>
      </w:pPr>
      <w:r>
        <w:rPr>
          <w:sz w:val="18"/>
          <w:u w:val="single"/>
        </w:rPr>
        <w:t>Espacio Auxiliar Comunitario.</w:t>
      </w:r>
      <w:r>
        <w:rPr>
          <w:sz w:val="18"/>
        </w:rPr>
        <w:t xml:space="preserve"> Con la finalidad de contribuir al desarrollo de actividades culturales o </w:t>
      </w:r>
      <w:r>
        <w:rPr>
          <w:sz w:val="18"/>
        </w:rPr>
        <w:t xml:space="preserve">productivas, de las comunidades y como parte integral de la construcción de vivienda en conjunto habitacional, la </w:t>
      </w:r>
      <w:r>
        <w:rPr>
          <w:spacing w:val="-3"/>
          <w:sz w:val="18"/>
        </w:rPr>
        <w:t xml:space="preserve">CONAVI </w:t>
      </w:r>
      <w:r>
        <w:rPr>
          <w:sz w:val="18"/>
        </w:rPr>
        <w:t>podrá otorgar subsidio comunitario equivalente, hasta por la cantidad equivalente a 172 veces el valor de la UMA y que corresponde al s</w:t>
      </w:r>
      <w:r>
        <w:rPr>
          <w:sz w:val="18"/>
        </w:rPr>
        <w:t xml:space="preserve">ubsidio total de una vivienda, </w:t>
      </w:r>
      <w:r>
        <w:rPr>
          <w:spacing w:val="-6"/>
          <w:sz w:val="18"/>
        </w:rPr>
        <w:t xml:space="preserve">que </w:t>
      </w:r>
      <w:r>
        <w:rPr>
          <w:sz w:val="18"/>
        </w:rPr>
        <w:t>se distribuirá entre todos los beneficiarios del</w:t>
      </w:r>
      <w:r>
        <w:rPr>
          <w:spacing w:val="-1"/>
          <w:sz w:val="18"/>
        </w:rPr>
        <w:t xml:space="preserve"> </w:t>
      </w:r>
      <w:r>
        <w:rPr>
          <w:sz w:val="18"/>
        </w:rPr>
        <w:t>proyecto.</w:t>
      </w:r>
    </w:p>
    <w:p w:rsidR="00A63476" w:rsidRDefault="00D22874">
      <w:pPr>
        <w:pStyle w:val="Prrafodelista"/>
        <w:numPr>
          <w:ilvl w:val="0"/>
          <w:numId w:val="49"/>
        </w:numPr>
        <w:tabs>
          <w:tab w:val="left" w:pos="1232"/>
        </w:tabs>
        <w:spacing w:before="108" w:line="309" w:lineRule="auto"/>
        <w:ind w:right="655" w:hanging="440"/>
        <w:rPr>
          <w:sz w:val="18"/>
        </w:rPr>
      </w:pPr>
      <w:r>
        <w:rPr>
          <w:sz w:val="18"/>
          <w:u w:val="single"/>
        </w:rPr>
        <w:t>Demolición.</w:t>
      </w:r>
      <w:r>
        <w:rPr>
          <w:sz w:val="18"/>
        </w:rPr>
        <w:t xml:space="preserve"> Como parte integral de la construcción de vivienda en conjunto habitacional, la </w:t>
      </w:r>
      <w:r>
        <w:rPr>
          <w:spacing w:val="-3"/>
          <w:sz w:val="18"/>
        </w:rPr>
        <w:t xml:space="preserve">CONAVI </w:t>
      </w:r>
      <w:r>
        <w:rPr>
          <w:sz w:val="18"/>
        </w:rPr>
        <w:t>podrá otorgar subsidio hasta por la cantidad equivalente a 6 ve</w:t>
      </w:r>
      <w:r>
        <w:rPr>
          <w:sz w:val="18"/>
        </w:rPr>
        <w:t>ces el valor de la UMA, por unidad de vivienda para demoler las construcciones existentes en un terreno donde se desarrollarán viviendas nuevas.</w:t>
      </w:r>
    </w:p>
    <w:p w:rsidR="00A63476" w:rsidRDefault="00D22874">
      <w:pPr>
        <w:pStyle w:val="Prrafodelista"/>
        <w:numPr>
          <w:ilvl w:val="0"/>
          <w:numId w:val="49"/>
        </w:numPr>
        <w:tabs>
          <w:tab w:val="left" w:pos="1232"/>
        </w:tabs>
        <w:spacing w:before="112" w:line="302" w:lineRule="auto"/>
        <w:ind w:right="655" w:hanging="440"/>
        <w:rPr>
          <w:sz w:val="18"/>
        </w:rPr>
      </w:pPr>
      <w:r>
        <w:rPr>
          <w:sz w:val="18"/>
          <w:u w:val="single"/>
        </w:rPr>
        <w:t>Gastos complementarios.</w:t>
      </w:r>
      <w:r>
        <w:rPr>
          <w:sz w:val="18"/>
        </w:rPr>
        <w:t xml:space="preserve"> Como parte integral de la construcción de vivienda en conjunto habitacional, la </w:t>
      </w:r>
      <w:r>
        <w:rPr>
          <w:spacing w:val="-3"/>
          <w:sz w:val="18"/>
        </w:rPr>
        <w:t xml:space="preserve">CONAVI </w:t>
      </w:r>
      <w:r>
        <w:rPr>
          <w:sz w:val="18"/>
        </w:rPr>
        <w:t>podrá otorgar Subsidio destinado a cubrir los gastos relacionados con supervisión externa, laboratorio de control, Director Responsable de Obra, electrificación y escri</w:t>
      </w:r>
      <w:r>
        <w:rPr>
          <w:sz w:val="18"/>
        </w:rPr>
        <w:t>turación hasta por la cantidad equivalente a 13 veces el valor de la UMA, por unidad de</w:t>
      </w:r>
      <w:r>
        <w:rPr>
          <w:spacing w:val="-2"/>
          <w:sz w:val="18"/>
        </w:rPr>
        <w:t xml:space="preserve"> </w:t>
      </w:r>
      <w:r>
        <w:rPr>
          <w:sz w:val="18"/>
        </w:rPr>
        <w:t>vivienda.</w:t>
      </w:r>
    </w:p>
    <w:p w:rsidR="00A63476" w:rsidRDefault="00D22874">
      <w:pPr>
        <w:pStyle w:val="Prrafodelista"/>
        <w:numPr>
          <w:ilvl w:val="0"/>
          <w:numId w:val="49"/>
        </w:numPr>
        <w:tabs>
          <w:tab w:val="left" w:pos="1232"/>
        </w:tabs>
        <w:spacing w:before="117" w:line="307" w:lineRule="auto"/>
        <w:ind w:right="655" w:hanging="440"/>
        <w:rPr>
          <w:sz w:val="18"/>
        </w:rPr>
      </w:pPr>
      <w:r>
        <w:rPr>
          <w:sz w:val="18"/>
          <w:u w:val="single"/>
        </w:rPr>
        <w:t>Obra de Alcance Mayor.</w:t>
      </w:r>
      <w:r>
        <w:rPr>
          <w:sz w:val="18"/>
        </w:rPr>
        <w:t xml:space="preserve"> Como parte integral de la construcción de vivienda en conjunto habitacional, la </w:t>
      </w:r>
      <w:r>
        <w:rPr>
          <w:spacing w:val="-3"/>
          <w:sz w:val="18"/>
        </w:rPr>
        <w:t xml:space="preserve">CONAVI </w:t>
      </w:r>
      <w:r>
        <w:rPr>
          <w:sz w:val="18"/>
        </w:rPr>
        <w:t>podrá otorgar subsidio que se aplica en los pred</w:t>
      </w:r>
      <w:r>
        <w:rPr>
          <w:sz w:val="18"/>
        </w:rPr>
        <w:t>ios cuyo número de acciones de vivienda y capacidad de servicios de las instalaciones domésticas, así como por su disposición en el terreno y su diseño de conjunto, requieren obras de mayor alcance, en cuanto al suministro de servicios básicos (agua potabl</w:t>
      </w:r>
      <w:r>
        <w:rPr>
          <w:sz w:val="18"/>
        </w:rPr>
        <w:t xml:space="preserve">e, drenaje, energía eléctrica y alumbrado exterior), así como para el </w:t>
      </w:r>
      <w:r>
        <w:rPr>
          <w:spacing w:val="-3"/>
          <w:sz w:val="18"/>
        </w:rPr>
        <w:t xml:space="preserve">óptimo </w:t>
      </w:r>
      <w:r>
        <w:rPr>
          <w:sz w:val="18"/>
        </w:rPr>
        <w:t>funcionamiento interior de los conjuntos (áreas de circulación peatonal o vehicular). Tiene como finalidad reducir el costo que arrojan tales instalaciones, en virtud de la magnit</w:t>
      </w:r>
      <w:r>
        <w:rPr>
          <w:sz w:val="18"/>
        </w:rPr>
        <w:t>ud y complejidad de éstas y del proyecto de vivienda, hasta por la cantidad equivalente de 13 veces el valor de la UMA, por unidad de vivienda.</w:t>
      </w:r>
    </w:p>
    <w:p w:rsidR="00A63476" w:rsidRDefault="00D22874">
      <w:pPr>
        <w:pStyle w:val="Prrafodelista"/>
        <w:numPr>
          <w:ilvl w:val="0"/>
          <w:numId w:val="49"/>
        </w:numPr>
        <w:tabs>
          <w:tab w:val="left" w:pos="1232"/>
        </w:tabs>
        <w:spacing w:before="95" w:line="309" w:lineRule="auto"/>
        <w:ind w:right="655" w:hanging="440"/>
        <w:rPr>
          <w:sz w:val="18"/>
        </w:rPr>
      </w:pPr>
      <w:r>
        <w:rPr>
          <w:sz w:val="18"/>
          <w:u w:val="single"/>
        </w:rPr>
        <w:t>Sustentabilidad</w:t>
      </w:r>
      <w:r>
        <w:rPr>
          <w:sz w:val="18"/>
        </w:rPr>
        <w:t xml:space="preserve">. La </w:t>
      </w:r>
      <w:r>
        <w:rPr>
          <w:spacing w:val="-3"/>
          <w:sz w:val="18"/>
        </w:rPr>
        <w:t xml:space="preserve">CONAVI </w:t>
      </w:r>
      <w:r>
        <w:rPr>
          <w:sz w:val="18"/>
        </w:rPr>
        <w:t>podrá otorgar subsidio hasta por la cantidad equivalente a 13 veces el valor de la UM</w:t>
      </w:r>
      <w:r>
        <w:rPr>
          <w:sz w:val="18"/>
        </w:rPr>
        <w:t xml:space="preserve">A, por unidad de vivienda, para la aplicación de diseños e instalación de tecnologías que permitan la disminución de emisiones de bióxido de carbono, el ahorro de energía y el ahorro </w:t>
      </w:r>
      <w:r>
        <w:rPr>
          <w:spacing w:val="-17"/>
          <w:sz w:val="18"/>
        </w:rPr>
        <w:t>y</w:t>
      </w:r>
      <w:r>
        <w:rPr>
          <w:spacing w:val="16"/>
          <w:sz w:val="18"/>
        </w:rPr>
        <w:t xml:space="preserve"> </w:t>
      </w:r>
      <w:r>
        <w:rPr>
          <w:sz w:val="18"/>
        </w:rPr>
        <w:t>manejo</w:t>
      </w:r>
      <w:r>
        <w:rPr>
          <w:spacing w:val="26"/>
          <w:sz w:val="18"/>
        </w:rPr>
        <w:t xml:space="preserve"> </w:t>
      </w:r>
      <w:r>
        <w:rPr>
          <w:sz w:val="18"/>
        </w:rPr>
        <w:t>adecuado</w:t>
      </w:r>
      <w:r>
        <w:rPr>
          <w:spacing w:val="26"/>
          <w:sz w:val="18"/>
        </w:rPr>
        <w:t xml:space="preserve"> </w:t>
      </w:r>
      <w:r>
        <w:rPr>
          <w:sz w:val="18"/>
        </w:rPr>
        <w:t>del</w:t>
      </w:r>
      <w:r>
        <w:rPr>
          <w:spacing w:val="26"/>
          <w:sz w:val="18"/>
        </w:rPr>
        <w:t xml:space="preserve"> </w:t>
      </w:r>
      <w:r>
        <w:rPr>
          <w:sz w:val="18"/>
        </w:rPr>
        <w:t>agua</w:t>
      </w:r>
      <w:r>
        <w:rPr>
          <w:spacing w:val="26"/>
          <w:sz w:val="18"/>
        </w:rPr>
        <w:t xml:space="preserve"> </w:t>
      </w:r>
      <w:r>
        <w:rPr>
          <w:sz w:val="18"/>
        </w:rPr>
        <w:t>en</w:t>
      </w:r>
      <w:r>
        <w:rPr>
          <w:spacing w:val="26"/>
          <w:sz w:val="18"/>
        </w:rPr>
        <w:t xml:space="preserve"> </w:t>
      </w:r>
      <w:r>
        <w:rPr>
          <w:sz w:val="18"/>
        </w:rPr>
        <w:t>la</w:t>
      </w:r>
      <w:r>
        <w:rPr>
          <w:spacing w:val="26"/>
          <w:sz w:val="18"/>
        </w:rPr>
        <w:t xml:space="preserve"> </w:t>
      </w:r>
      <w:r>
        <w:rPr>
          <w:sz w:val="18"/>
        </w:rPr>
        <w:t>vivienda,</w:t>
      </w:r>
      <w:r>
        <w:rPr>
          <w:spacing w:val="26"/>
          <w:sz w:val="18"/>
        </w:rPr>
        <w:t xml:space="preserve"> </w:t>
      </w:r>
      <w:r>
        <w:rPr>
          <w:sz w:val="18"/>
        </w:rPr>
        <w:t>así</w:t>
      </w:r>
      <w:r>
        <w:rPr>
          <w:spacing w:val="26"/>
          <w:sz w:val="18"/>
        </w:rPr>
        <w:t xml:space="preserve"> </w:t>
      </w:r>
      <w:r>
        <w:rPr>
          <w:sz w:val="18"/>
        </w:rPr>
        <w:t>como</w:t>
      </w:r>
      <w:r>
        <w:rPr>
          <w:spacing w:val="26"/>
          <w:sz w:val="18"/>
        </w:rPr>
        <w:t xml:space="preserve"> </w:t>
      </w:r>
      <w:r>
        <w:rPr>
          <w:sz w:val="18"/>
        </w:rPr>
        <w:t>la</w:t>
      </w:r>
      <w:r>
        <w:rPr>
          <w:spacing w:val="26"/>
          <w:sz w:val="18"/>
        </w:rPr>
        <w:t xml:space="preserve"> </w:t>
      </w:r>
      <w:r>
        <w:rPr>
          <w:sz w:val="18"/>
        </w:rPr>
        <w:t>protección</w:t>
      </w:r>
      <w:r>
        <w:rPr>
          <w:spacing w:val="26"/>
          <w:sz w:val="18"/>
        </w:rPr>
        <w:t xml:space="preserve"> </w:t>
      </w:r>
      <w:r>
        <w:rPr>
          <w:sz w:val="18"/>
        </w:rPr>
        <w:t>y</w:t>
      </w:r>
      <w:r>
        <w:rPr>
          <w:spacing w:val="26"/>
          <w:sz w:val="18"/>
        </w:rPr>
        <w:t xml:space="preserve"> </w:t>
      </w:r>
      <w:r>
        <w:rPr>
          <w:sz w:val="18"/>
        </w:rPr>
        <w:t>cuida</w:t>
      </w:r>
      <w:r>
        <w:rPr>
          <w:sz w:val="18"/>
        </w:rPr>
        <w:t>do</w:t>
      </w:r>
      <w:r>
        <w:rPr>
          <w:spacing w:val="26"/>
          <w:sz w:val="18"/>
        </w:rPr>
        <w:t xml:space="preserve"> </w:t>
      </w:r>
      <w:r>
        <w:rPr>
          <w:sz w:val="18"/>
        </w:rPr>
        <w:t>del</w:t>
      </w:r>
      <w:r>
        <w:rPr>
          <w:spacing w:val="26"/>
          <w:sz w:val="18"/>
        </w:rPr>
        <w:t xml:space="preserve"> </w:t>
      </w:r>
      <w:r>
        <w:rPr>
          <w:sz w:val="18"/>
        </w:rPr>
        <w:t>medio</w:t>
      </w:r>
      <w:r>
        <w:rPr>
          <w:spacing w:val="26"/>
          <w:sz w:val="18"/>
        </w:rPr>
        <w:t xml:space="preserve"> </w:t>
      </w:r>
      <w:r>
        <w:rPr>
          <w:sz w:val="18"/>
        </w:rPr>
        <w:t>ambiente.</w:t>
      </w:r>
    </w:p>
    <w:p w:rsidR="00A63476" w:rsidRDefault="00A63476">
      <w:pPr>
        <w:spacing w:line="309" w:lineRule="auto"/>
        <w:jc w:val="both"/>
        <w:rPr>
          <w:sz w:val="18"/>
        </w:rPr>
        <w:sectPr w:rsidR="00A63476">
          <w:pgSz w:w="12240" w:h="15840"/>
          <w:pgMar w:top="920" w:right="1040" w:bottom="280" w:left="1180" w:header="700" w:footer="0" w:gutter="0"/>
          <w:cols w:space="720"/>
        </w:sectPr>
      </w:pPr>
    </w:p>
    <w:p w:rsidR="00A63476" w:rsidRDefault="00A63476">
      <w:pPr>
        <w:pStyle w:val="Textoindependiente"/>
        <w:spacing w:before="2"/>
        <w:ind w:left="0" w:right="0" w:firstLine="0"/>
        <w:jc w:val="left"/>
        <w:rPr>
          <w:sz w:val="14"/>
        </w:rPr>
      </w:pPr>
    </w:p>
    <w:p w:rsidR="00A63476" w:rsidRDefault="00D22874">
      <w:pPr>
        <w:pStyle w:val="Textoindependiente"/>
        <w:spacing w:before="95" w:line="302" w:lineRule="auto"/>
        <w:ind w:left="1240" w:right="656" w:firstLine="0"/>
        <w:jc w:val="left"/>
      </w:pPr>
      <w:r>
        <w:t>Estos diseños y tecnologías también contribuirán a reducir el riesgo de que la vivienda sufra daños por futuras contingencias y desastres.</w:t>
      </w:r>
    </w:p>
    <w:p w:rsidR="00A63476" w:rsidRDefault="00D22874">
      <w:pPr>
        <w:pStyle w:val="Ttulo2"/>
        <w:numPr>
          <w:ilvl w:val="0"/>
          <w:numId w:val="50"/>
        </w:numPr>
        <w:tabs>
          <w:tab w:val="left" w:pos="1219"/>
        </w:tabs>
        <w:spacing w:before="118"/>
        <w:jc w:val="both"/>
      </w:pPr>
      <w:r>
        <w:t>Vivienda en Espacio Edificable Rural o</w:t>
      </w:r>
      <w:r>
        <w:rPr>
          <w:spacing w:val="-5"/>
        </w:rPr>
        <w:t xml:space="preserve"> </w:t>
      </w:r>
      <w:r>
        <w:t>Urbano</w:t>
      </w:r>
    </w:p>
    <w:p w:rsidR="00A63476" w:rsidRDefault="00D22874">
      <w:pPr>
        <w:pStyle w:val="Textoindependiente"/>
        <w:spacing w:before="153" w:line="307" w:lineRule="auto"/>
      </w:pPr>
      <w:r>
        <w:t>La modalidad de Vivienda en Espac</w:t>
      </w:r>
      <w:r>
        <w:t>io Edificable Rural o Urbano tiene el propósito de atender problemas de hacinamiento, desdoblamiento familiar, vivienda precaria y en general vivienda que por su deterioro atenta contra las condiciones de habitabilidad, tanto en localidades rurales como en</w:t>
      </w:r>
      <w:r>
        <w:t xml:space="preserve"> urbanas; también tiene </w:t>
      </w:r>
      <w:r>
        <w:rPr>
          <w:spacing w:val="-5"/>
        </w:rPr>
        <w:t xml:space="preserve">como </w:t>
      </w:r>
      <w:r>
        <w:t xml:space="preserve">finalidad contribuir a los procesos de consolidación y/o mejoramiento de las colonias y barrios de las </w:t>
      </w:r>
      <w:r>
        <w:rPr>
          <w:spacing w:val="-3"/>
        </w:rPr>
        <w:t xml:space="preserve">zonas  </w:t>
      </w:r>
      <w:r>
        <w:t>intraurbanas de las ciudades.</w:t>
      </w:r>
    </w:p>
    <w:p w:rsidR="00A63476" w:rsidRDefault="00D22874">
      <w:pPr>
        <w:pStyle w:val="Textoindependiente"/>
        <w:spacing w:before="95" w:line="324" w:lineRule="auto"/>
        <w:ind w:right="663"/>
      </w:pPr>
      <w:r>
        <w:t>Las líneas de apoyo aplicables son: Mejoramiento de Vivienda; Ampliación de Vivienda; V</w:t>
      </w:r>
      <w:r>
        <w:t>ivienda Nueva; Sustentabilidad; Espacio Auxiliar Productivo.</w:t>
      </w:r>
    </w:p>
    <w:p w:rsidR="00A63476" w:rsidRDefault="00D22874">
      <w:pPr>
        <w:pStyle w:val="Prrafodelista"/>
        <w:numPr>
          <w:ilvl w:val="0"/>
          <w:numId w:val="49"/>
        </w:numPr>
        <w:tabs>
          <w:tab w:val="left" w:pos="1232"/>
        </w:tabs>
        <w:spacing w:before="81" w:line="309" w:lineRule="auto"/>
        <w:ind w:right="655" w:hanging="440"/>
        <w:rPr>
          <w:sz w:val="18"/>
        </w:rPr>
      </w:pPr>
      <w:r>
        <w:rPr>
          <w:sz w:val="18"/>
          <w:u w:val="single"/>
        </w:rPr>
        <w:t>Ampliación de vivienda.</w:t>
      </w:r>
      <w:r>
        <w:rPr>
          <w:sz w:val="18"/>
        </w:rPr>
        <w:t xml:space="preserve"> La </w:t>
      </w:r>
      <w:r>
        <w:rPr>
          <w:spacing w:val="-3"/>
          <w:sz w:val="18"/>
        </w:rPr>
        <w:t xml:space="preserve">CONAVI </w:t>
      </w:r>
      <w:r>
        <w:rPr>
          <w:sz w:val="18"/>
        </w:rPr>
        <w:t>podrá otorgar subsidio de hasta por la cantidad equivalente a 50 veces el valor de la UMA, por unidad de vivienda con el propósito de incrementar la superficie de construcción habitable de una vivienda edificada con anterioridad, a fin de disminuir el haci</w:t>
      </w:r>
      <w:r>
        <w:rPr>
          <w:sz w:val="18"/>
        </w:rPr>
        <w:t>namiento en la vivienda o mejorar sus condiciones de habitabilidad.</w:t>
      </w:r>
    </w:p>
    <w:p w:rsidR="00A63476" w:rsidRDefault="00D22874">
      <w:pPr>
        <w:pStyle w:val="Prrafodelista"/>
        <w:numPr>
          <w:ilvl w:val="0"/>
          <w:numId w:val="49"/>
        </w:numPr>
        <w:tabs>
          <w:tab w:val="left" w:pos="1232"/>
        </w:tabs>
        <w:spacing w:before="92" w:line="307" w:lineRule="auto"/>
        <w:ind w:right="655" w:hanging="440"/>
        <w:rPr>
          <w:sz w:val="18"/>
        </w:rPr>
      </w:pPr>
      <w:r>
        <w:rPr>
          <w:sz w:val="18"/>
          <w:u w:val="single"/>
        </w:rPr>
        <w:t>Mejoramiento de Vivienda.</w:t>
      </w:r>
      <w:r>
        <w:rPr>
          <w:sz w:val="18"/>
        </w:rPr>
        <w:t xml:space="preserve"> La </w:t>
      </w:r>
      <w:r>
        <w:rPr>
          <w:spacing w:val="-3"/>
          <w:sz w:val="18"/>
        </w:rPr>
        <w:t xml:space="preserve">CONAVI </w:t>
      </w:r>
      <w:r>
        <w:rPr>
          <w:sz w:val="18"/>
        </w:rPr>
        <w:t>podrá otorgar subsidio con el propósito de la mejora de la vivienda, que podrá responder a la rehabilitación de vivienda en la intervención de sus eleme</w:t>
      </w:r>
      <w:r>
        <w:rPr>
          <w:sz w:val="18"/>
        </w:rPr>
        <w:t>ntos estructurales (losas, columnas y trabes), la readecuación del espacio habitable, el cambio de instalaciones ocultas, entre otros; así como aquellos conceptos que no afectan elementos estructurales, sin embargo inciden en la vida útil de la vivienda ta</w:t>
      </w:r>
      <w:r>
        <w:rPr>
          <w:sz w:val="18"/>
        </w:rPr>
        <w:t xml:space="preserve">les como; la impermeabilización, aplanados, instalaciones hidrosanitarias expuestas ahorradoras de agua, cableado eléctrico y lámparas ahorradoras de energía, cambio de pisos, entre otros acabados, hasta por la cantidad </w:t>
      </w:r>
      <w:r>
        <w:rPr>
          <w:spacing w:val="-7"/>
          <w:sz w:val="18"/>
        </w:rPr>
        <w:t xml:space="preserve">el </w:t>
      </w:r>
      <w:r>
        <w:rPr>
          <w:sz w:val="18"/>
        </w:rPr>
        <w:t>equivalente de 25 veces el valor de la UMA, por unidad de</w:t>
      </w:r>
      <w:r>
        <w:rPr>
          <w:spacing w:val="-1"/>
          <w:sz w:val="18"/>
        </w:rPr>
        <w:t xml:space="preserve"> </w:t>
      </w:r>
      <w:r>
        <w:rPr>
          <w:sz w:val="18"/>
        </w:rPr>
        <w:t>vivienda.</w:t>
      </w:r>
    </w:p>
    <w:p w:rsidR="00A63476" w:rsidRDefault="00D22874">
      <w:pPr>
        <w:pStyle w:val="Prrafodelista"/>
        <w:numPr>
          <w:ilvl w:val="0"/>
          <w:numId w:val="49"/>
        </w:numPr>
        <w:tabs>
          <w:tab w:val="left" w:pos="1232"/>
        </w:tabs>
        <w:spacing w:line="309" w:lineRule="auto"/>
        <w:ind w:right="655" w:hanging="440"/>
        <w:rPr>
          <w:sz w:val="18"/>
        </w:rPr>
      </w:pPr>
      <w:r>
        <w:rPr>
          <w:sz w:val="18"/>
          <w:u w:val="single"/>
        </w:rPr>
        <w:t>Vivienda Nueva.</w:t>
      </w:r>
      <w:r>
        <w:rPr>
          <w:sz w:val="18"/>
        </w:rPr>
        <w:t xml:space="preserve"> La </w:t>
      </w:r>
      <w:r>
        <w:rPr>
          <w:spacing w:val="-3"/>
          <w:sz w:val="18"/>
        </w:rPr>
        <w:t xml:space="preserve">CONAVI </w:t>
      </w:r>
      <w:r>
        <w:rPr>
          <w:sz w:val="18"/>
        </w:rPr>
        <w:t>podrá otorgar subsidio para la construcción de vivienda nueva en Espacio Edificable Rural o Urbano, con espacios habitables y complementarios que estén en corresp</w:t>
      </w:r>
      <w:r>
        <w:rPr>
          <w:sz w:val="18"/>
        </w:rPr>
        <w:t xml:space="preserve">ondencia con el contexto cultural y regional, que se puede generar en espacios </w:t>
      </w:r>
      <w:r>
        <w:rPr>
          <w:spacing w:val="-2"/>
          <w:sz w:val="18"/>
        </w:rPr>
        <w:t xml:space="preserve">edificables, </w:t>
      </w:r>
      <w:r>
        <w:rPr>
          <w:sz w:val="18"/>
        </w:rPr>
        <w:t>hasta por la cantidad equivalente a 127 veces el valor de la UMA por unidad de</w:t>
      </w:r>
      <w:r>
        <w:rPr>
          <w:spacing w:val="-11"/>
          <w:sz w:val="18"/>
        </w:rPr>
        <w:t xml:space="preserve"> </w:t>
      </w:r>
      <w:r>
        <w:rPr>
          <w:sz w:val="18"/>
        </w:rPr>
        <w:t>vivienda.</w:t>
      </w:r>
    </w:p>
    <w:p w:rsidR="00A63476" w:rsidRDefault="00D22874">
      <w:pPr>
        <w:pStyle w:val="Prrafodelista"/>
        <w:numPr>
          <w:ilvl w:val="0"/>
          <w:numId w:val="49"/>
        </w:numPr>
        <w:tabs>
          <w:tab w:val="left" w:pos="1232"/>
        </w:tabs>
        <w:spacing w:before="52" w:line="259" w:lineRule="auto"/>
        <w:ind w:right="655" w:hanging="440"/>
        <w:rPr>
          <w:sz w:val="18"/>
        </w:rPr>
      </w:pPr>
      <w:r>
        <w:rPr>
          <w:sz w:val="18"/>
          <w:u w:val="single"/>
        </w:rPr>
        <w:t>Sustentabilidad</w:t>
      </w:r>
      <w:r>
        <w:rPr>
          <w:sz w:val="18"/>
        </w:rPr>
        <w:t xml:space="preserve">. La </w:t>
      </w:r>
      <w:r>
        <w:rPr>
          <w:spacing w:val="-3"/>
          <w:sz w:val="18"/>
        </w:rPr>
        <w:t xml:space="preserve">CONAVI </w:t>
      </w:r>
      <w:r>
        <w:rPr>
          <w:sz w:val="18"/>
        </w:rPr>
        <w:t>podrá otorgar subsidio hasta por la cantidad equ</w:t>
      </w:r>
      <w:r>
        <w:rPr>
          <w:sz w:val="18"/>
        </w:rPr>
        <w:t xml:space="preserve">ivalente a 13 veces el valor de la UMA, por unidad de vivienda, para la aplicación de diseños e instalación de tecnologías que permitan la disminución de emisiones de bióxido de carbono, el ahorro de energía y el ahorro </w:t>
      </w:r>
      <w:r>
        <w:rPr>
          <w:spacing w:val="-17"/>
          <w:sz w:val="18"/>
        </w:rPr>
        <w:t>y</w:t>
      </w:r>
      <w:r>
        <w:rPr>
          <w:spacing w:val="16"/>
          <w:sz w:val="18"/>
        </w:rPr>
        <w:t xml:space="preserve"> </w:t>
      </w:r>
      <w:r>
        <w:rPr>
          <w:sz w:val="18"/>
        </w:rPr>
        <w:t>manejo adecuado del agua en la viv</w:t>
      </w:r>
      <w:r>
        <w:rPr>
          <w:sz w:val="18"/>
        </w:rPr>
        <w:t>ienda, así como la protección y cuidado del medio ambiente. Estos diseños y tecnologías también contribuirán a reducir el riesgo de que la vivienda sufra daños por futuras contingencias y</w:t>
      </w:r>
      <w:r>
        <w:rPr>
          <w:spacing w:val="-1"/>
          <w:sz w:val="18"/>
        </w:rPr>
        <w:t xml:space="preserve"> </w:t>
      </w:r>
      <w:r>
        <w:rPr>
          <w:sz w:val="18"/>
        </w:rPr>
        <w:t>desastres.</w:t>
      </w:r>
    </w:p>
    <w:p w:rsidR="00A63476" w:rsidRDefault="00D22874">
      <w:pPr>
        <w:pStyle w:val="Prrafodelista"/>
        <w:numPr>
          <w:ilvl w:val="0"/>
          <w:numId w:val="49"/>
        </w:numPr>
        <w:tabs>
          <w:tab w:val="left" w:pos="1232"/>
        </w:tabs>
        <w:spacing w:before="99" w:line="261" w:lineRule="auto"/>
        <w:ind w:right="655" w:hanging="440"/>
        <w:rPr>
          <w:sz w:val="18"/>
        </w:rPr>
      </w:pPr>
      <w:r>
        <w:rPr>
          <w:sz w:val="18"/>
          <w:u w:val="single"/>
        </w:rPr>
        <w:t>Espacio Auxiliar Productivo.</w:t>
      </w:r>
      <w:r>
        <w:rPr>
          <w:sz w:val="18"/>
        </w:rPr>
        <w:t xml:space="preserve"> Con la finalidad de contribu</w:t>
      </w:r>
      <w:r>
        <w:rPr>
          <w:sz w:val="18"/>
        </w:rPr>
        <w:t xml:space="preserve">ir a la economía familiar y como parte integral de la ampliación o construcción de vivienda en Espacio Edificable Rural o Urbano, la </w:t>
      </w:r>
      <w:r>
        <w:rPr>
          <w:spacing w:val="-3"/>
          <w:sz w:val="18"/>
        </w:rPr>
        <w:t xml:space="preserve">CONAVI </w:t>
      </w:r>
      <w:r>
        <w:rPr>
          <w:sz w:val="18"/>
        </w:rPr>
        <w:t xml:space="preserve">podrá otorgar subsidio complementario para la construcción de locales auxiliares, hasta por la cantidad equivalente </w:t>
      </w:r>
      <w:r>
        <w:rPr>
          <w:sz w:val="18"/>
        </w:rPr>
        <w:t>a 64 veces el valor de la UMA que corresponde al 50% del subsidio para la construcción de una vivienda.</w:t>
      </w:r>
    </w:p>
    <w:p w:rsidR="00A63476" w:rsidRDefault="00D22874">
      <w:pPr>
        <w:pStyle w:val="Ttulo2"/>
        <w:numPr>
          <w:ilvl w:val="0"/>
          <w:numId w:val="50"/>
        </w:numPr>
        <w:tabs>
          <w:tab w:val="left" w:pos="1219"/>
        </w:tabs>
        <w:spacing w:before="92"/>
        <w:jc w:val="both"/>
      </w:pPr>
      <w:r>
        <w:t>Adquisición de</w:t>
      </w:r>
      <w:r>
        <w:rPr>
          <w:spacing w:val="-2"/>
        </w:rPr>
        <w:t xml:space="preserve"> </w:t>
      </w:r>
      <w:r>
        <w:t>Vivienda</w:t>
      </w:r>
    </w:p>
    <w:p w:rsidR="00A63476" w:rsidRDefault="00D22874">
      <w:pPr>
        <w:pStyle w:val="Textoindependiente"/>
        <w:spacing w:before="113" w:line="264" w:lineRule="auto"/>
      </w:pPr>
      <w:r>
        <w:t>Esta modalidad corresponde a la adquisición de vivienda terminada, individual o en conjunto, realizada por terceros, en un proce</w:t>
      </w:r>
      <w:r>
        <w:t>so único de edificación, que cumpla con las necesidades de densidad, superficie construida, seguridad estructural, instalaciones, servicios, áreas de uso común, entre otros, establecidos por  la reglamentación local correspondiente.</w:t>
      </w:r>
    </w:p>
    <w:p w:rsidR="00A63476" w:rsidRDefault="00D22874">
      <w:pPr>
        <w:pStyle w:val="Textoindependiente"/>
        <w:spacing w:before="89" w:line="254" w:lineRule="auto"/>
      </w:pPr>
      <w:r>
        <w:t>La vivienda podrá ser n</w:t>
      </w:r>
      <w:r>
        <w:t>ueva o usada y deberá cumplir con el uso del suelo habitacional en las zonas urbanas, contar con servicios que garanticen condiciones de habitabilidad y no estar ubicada en sitios de riesgo.</w:t>
      </w:r>
    </w:p>
    <w:p w:rsidR="00A63476" w:rsidRDefault="00D22874">
      <w:pPr>
        <w:pStyle w:val="Textoindependiente"/>
        <w:spacing w:before="102"/>
        <w:ind w:left="800" w:right="0" w:firstLine="0"/>
      </w:pPr>
      <w:r>
        <w:t>Las líneas de apoyo aplicables son: Adquisición de vivienda nueva</w:t>
      </w:r>
      <w:r>
        <w:t xml:space="preserve"> y Adquisición de vivienda usada.</w:t>
      </w:r>
    </w:p>
    <w:p w:rsidR="00A63476" w:rsidRDefault="00D22874">
      <w:pPr>
        <w:pStyle w:val="Prrafodelista"/>
        <w:numPr>
          <w:ilvl w:val="0"/>
          <w:numId w:val="49"/>
        </w:numPr>
        <w:tabs>
          <w:tab w:val="left" w:pos="1232"/>
        </w:tabs>
        <w:spacing w:before="133" w:line="254" w:lineRule="auto"/>
        <w:ind w:right="655" w:hanging="440"/>
        <w:rPr>
          <w:sz w:val="18"/>
        </w:rPr>
      </w:pPr>
      <w:r>
        <w:rPr>
          <w:sz w:val="18"/>
          <w:u w:val="single"/>
        </w:rPr>
        <w:t>Adquisición de Vivienda Nueva.</w:t>
      </w:r>
      <w:r>
        <w:rPr>
          <w:sz w:val="18"/>
        </w:rPr>
        <w:t xml:space="preserve"> La </w:t>
      </w:r>
      <w:r>
        <w:rPr>
          <w:spacing w:val="-3"/>
          <w:sz w:val="18"/>
        </w:rPr>
        <w:t xml:space="preserve">CONAVI </w:t>
      </w:r>
      <w:r>
        <w:rPr>
          <w:sz w:val="18"/>
        </w:rPr>
        <w:t>podrá otorgar subsidio de hasta por la cantidad equivalente a 172 veces el valor de la UMA por unidad de vivienda, con el propósito de adquirir vivienda</w:t>
      </w:r>
      <w:r>
        <w:rPr>
          <w:spacing w:val="19"/>
          <w:sz w:val="18"/>
        </w:rPr>
        <w:t xml:space="preserve"> </w:t>
      </w:r>
      <w:r>
        <w:rPr>
          <w:sz w:val="18"/>
        </w:rPr>
        <w:t>terminada,</w:t>
      </w:r>
      <w:r>
        <w:rPr>
          <w:spacing w:val="19"/>
          <w:sz w:val="18"/>
        </w:rPr>
        <w:t xml:space="preserve"> </w:t>
      </w:r>
      <w:r>
        <w:rPr>
          <w:sz w:val="18"/>
        </w:rPr>
        <w:t>individual</w:t>
      </w:r>
      <w:r>
        <w:rPr>
          <w:spacing w:val="19"/>
          <w:sz w:val="18"/>
        </w:rPr>
        <w:t xml:space="preserve"> </w:t>
      </w:r>
      <w:r>
        <w:rPr>
          <w:sz w:val="18"/>
        </w:rPr>
        <w:t>o</w:t>
      </w:r>
      <w:r>
        <w:rPr>
          <w:spacing w:val="19"/>
          <w:sz w:val="18"/>
        </w:rPr>
        <w:t xml:space="preserve"> </w:t>
      </w:r>
      <w:r>
        <w:rPr>
          <w:sz w:val="18"/>
        </w:rPr>
        <w:t>en</w:t>
      </w:r>
      <w:r>
        <w:rPr>
          <w:spacing w:val="19"/>
          <w:sz w:val="18"/>
        </w:rPr>
        <w:t xml:space="preserve"> </w:t>
      </w:r>
      <w:r>
        <w:rPr>
          <w:sz w:val="18"/>
        </w:rPr>
        <w:t>conjunto,</w:t>
      </w:r>
      <w:r>
        <w:rPr>
          <w:spacing w:val="19"/>
          <w:sz w:val="18"/>
        </w:rPr>
        <w:t xml:space="preserve"> </w:t>
      </w:r>
      <w:r>
        <w:rPr>
          <w:sz w:val="18"/>
        </w:rPr>
        <w:t>ubicada</w:t>
      </w:r>
      <w:r>
        <w:rPr>
          <w:spacing w:val="19"/>
          <w:sz w:val="18"/>
        </w:rPr>
        <w:t xml:space="preserve"> </w:t>
      </w:r>
      <w:r>
        <w:rPr>
          <w:sz w:val="18"/>
        </w:rPr>
        <w:t>fuera</w:t>
      </w:r>
      <w:r>
        <w:rPr>
          <w:spacing w:val="19"/>
          <w:sz w:val="18"/>
        </w:rPr>
        <w:t xml:space="preserve"> </w:t>
      </w:r>
      <w:r>
        <w:rPr>
          <w:sz w:val="18"/>
        </w:rPr>
        <w:t>de</w:t>
      </w:r>
      <w:r>
        <w:rPr>
          <w:spacing w:val="19"/>
          <w:sz w:val="18"/>
        </w:rPr>
        <w:t xml:space="preserve"> </w:t>
      </w:r>
      <w:r>
        <w:rPr>
          <w:sz w:val="18"/>
        </w:rPr>
        <w:t>zonas</w:t>
      </w:r>
      <w:r>
        <w:rPr>
          <w:spacing w:val="19"/>
          <w:sz w:val="18"/>
        </w:rPr>
        <w:t xml:space="preserve"> </w:t>
      </w:r>
      <w:r>
        <w:rPr>
          <w:sz w:val="18"/>
        </w:rPr>
        <w:t>de</w:t>
      </w:r>
      <w:r>
        <w:rPr>
          <w:spacing w:val="19"/>
          <w:sz w:val="18"/>
        </w:rPr>
        <w:t xml:space="preserve"> </w:t>
      </w:r>
      <w:r>
        <w:rPr>
          <w:sz w:val="18"/>
        </w:rPr>
        <w:t>riesgo,</w:t>
      </w:r>
      <w:r>
        <w:rPr>
          <w:spacing w:val="19"/>
          <w:sz w:val="18"/>
        </w:rPr>
        <w:t xml:space="preserve"> </w:t>
      </w:r>
      <w:r>
        <w:rPr>
          <w:sz w:val="18"/>
        </w:rPr>
        <w:t>que</w:t>
      </w:r>
      <w:r>
        <w:rPr>
          <w:spacing w:val="19"/>
          <w:sz w:val="18"/>
        </w:rPr>
        <w:t xml:space="preserve"> </w:t>
      </w:r>
      <w:r>
        <w:rPr>
          <w:sz w:val="18"/>
        </w:rPr>
        <w:t>nunca</w:t>
      </w:r>
      <w:r>
        <w:rPr>
          <w:spacing w:val="19"/>
          <w:sz w:val="18"/>
        </w:rPr>
        <w:t xml:space="preserve"> </w:t>
      </w:r>
      <w:r>
        <w:rPr>
          <w:sz w:val="18"/>
        </w:rPr>
        <w:t>ha</w:t>
      </w:r>
      <w:r>
        <w:rPr>
          <w:spacing w:val="19"/>
          <w:sz w:val="18"/>
        </w:rPr>
        <w:t xml:space="preserve"> </w:t>
      </w:r>
      <w:r>
        <w:rPr>
          <w:sz w:val="18"/>
        </w:rPr>
        <w:t>sido</w:t>
      </w:r>
    </w:p>
    <w:p w:rsidR="00A63476" w:rsidRDefault="00A63476">
      <w:pPr>
        <w:spacing w:line="254" w:lineRule="auto"/>
        <w:jc w:val="both"/>
        <w:rPr>
          <w:sz w:val="18"/>
        </w:rPr>
        <w:sectPr w:rsidR="00A63476">
          <w:pgSz w:w="12240" w:h="15840"/>
          <w:pgMar w:top="920" w:right="1040" w:bottom="280" w:left="1180" w:header="700" w:footer="0" w:gutter="0"/>
          <w:cols w:space="720"/>
        </w:sectPr>
      </w:pPr>
    </w:p>
    <w:p w:rsidR="00A63476" w:rsidRDefault="00A63476">
      <w:pPr>
        <w:pStyle w:val="Textoindependiente"/>
        <w:spacing w:before="5"/>
        <w:ind w:left="0" w:right="0" w:firstLine="0"/>
        <w:jc w:val="left"/>
        <w:rPr>
          <w:sz w:val="12"/>
        </w:rPr>
      </w:pPr>
    </w:p>
    <w:p w:rsidR="00A63476" w:rsidRDefault="00D22874">
      <w:pPr>
        <w:pStyle w:val="Textoindependiente"/>
        <w:spacing w:before="95" w:line="254" w:lineRule="auto"/>
        <w:ind w:left="1240" w:firstLine="0"/>
      </w:pPr>
      <w:r>
        <w:t>ocupada, realizada por terceros, en un proceso único de edificación, que cumpla con las necesidades de densidad, superficie construida, seguridad estructural, instalaciones, servicios, áreas de uso común, entre otros, establecidos por la reglamentación lo</w:t>
      </w:r>
      <w:r>
        <w:t>cal correspondiente.</w:t>
      </w:r>
    </w:p>
    <w:p w:rsidR="00A63476" w:rsidRDefault="00D22874">
      <w:pPr>
        <w:pStyle w:val="Prrafodelista"/>
        <w:numPr>
          <w:ilvl w:val="0"/>
          <w:numId w:val="49"/>
        </w:numPr>
        <w:tabs>
          <w:tab w:val="left" w:pos="1232"/>
        </w:tabs>
        <w:spacing w:line="259" w:lineRule="auto"/>
        <w:ind w:right="655" w:hanging="440"/>
        <w:rPr>
          <w:sz w:val="18"/>
        </w:rPr>
      </w:pPr>
      <w:r>
        <w:rPr>
          <w:sz w:val="18"/>
          <w:u w:val="single"/>
        </w:rPr>
        <w:t>Adquisición de Vivienda Usada.</w:t>
      </w:r>
      <w:r>
        <w:rPr>
          <w:sz w:val="18"/>
        </w:rPr>
        <w:t xml:space="preserve"> La </w:t>
      </w:r>
      <w:r>
        <w:rPr>
          <w:spacing w:val="-3"/>
          <w:sz w:val="18"/>
        </w:rPr>
        <w:t xml:space="preserve">CONAVI </w:t>
      </w:r>
      <w:r>
        <w:rPr>
          <w:sz w:val="18"/>
        </w:rPr>
        <w:t>podrá otorgar subsidio de hasta por la cantidad equivalente a 143 veces el valor de la UMA por unidad de vivienda con el propósito de adquirir vivienda terminada, en segunda o posterior transmis</w:t>
      </w:r>
      <w:r>
        <w:rPr>
          <w:sz w:val="18"/>
        </w:rPr>
        <w:t xml:space="preserve">ión, individual o en conjunto, ubicada fuera </w:t>
      </w:r>
      <w:r>
        <w:rPr>
          <w:spacing w:val="-6"/>
          <w:sz w:val="18"/>
        </w:rPr>
        <w:t xml:space="preserve">de </w:t>
      </w:r>
      <w:r>
        <w:rPr>
          <w:sz w:val="18"/>
        </w:rPr>
        <w:t>zonas de riesgo, realizada por terceros, que cumpla con las necesidades de densidad, superficie construida, seguridad estructural, instalaciones, servicios, áreas de uso común, entre otros, establecidos por l</w:t>
      </w:r>
      <w:r>
        <w:rPr>
          <w:sz w:val="18"/>
        </w:rPr>
        <w:t>a reglamentación local</w:t>
      </w:r>
      <w:r>
        <w:rPr>
          <w:spacing w:val="-1"/>
          <w:sz w:val="18"/>
        </w:rPr>
        <w:t xml:space="preserve"> </w:t>
      </w:r>
      <w:r>
        <w:rPr>
          <w:sz w:val="18"/>
        </w:rPr>
        <w:t>correspondiente.</w:t>
      </w:r>
    </w:p>
    <w:p w:rsidR="00A63476" w:rsidRDefault="00D22874">
      <w:pPr>
        <w:pStyle w:val="Ttulo2"/>
        <w:numPr>
          <w:ilvl w:val="0"/>
          <w:numId w:val="50"/>
        </w:numPr>
        <w:tabs>
          <w:tab w:val="left" w:pos="1219"/>
        </w:tabs>
        <w:spacing w:before="99"/>
        <w:jc w:val="both"/>
      </w:pPr>
      <w:r>
        <w:t>Mejoramiento de Unidades</w:t>
      </w:r>
      <w:r>
        <w:rPr>
          <w:spacing w:val="-1"/>
        </w:rPr>
        <w:t xml:space="preserve"> </w:t>
      </w:r>
      <w:r>
        <w:t>Habitacionales</w:t>
      </w:r>
    </w:p>
    <w:p w:rsidR="00A63476" w:rsidRDefault="00D22874">
      <w:pPr>
        <w:pStyle w:val="Textoindependiente"/>
        <w:spacing w:before="113" w:line="261" w:lineRule="auto"/>
      </w:pPr>
      <w:r>
        <w:t>La modalidad de Mejoramiento de Unidades Habitacionales consiste en apoyar proyectos para la realización de obras para habilitar o rehabilitar las áreas y bienes de uso común q</w:t>
      </w:r>
      <w:r>
        <w:t xml:space="preserve">ue se encuentran en </w:t>
      </w:r>
      <w:r>
        <w:rPr>
          <w:spacing w:val="-6"/>
        </w:rPr>
        <w:t xml:space="preserve">las </w:t>
      </w:r>
      <w:r>
        <w:t xml:space="preserve">unidades y desarrollos habitacionales con deterioro o inseguridad, considerando criterios de diseño </w:t>
      </w:r>
      <w:r>
        <w:rPr>
          <w:spacing w:val="-6"/>
        </w:rPr>
        <w:t xml:space="preserve">con </w:t>
      </w:r>
      <w:r>
        <w:t xml:space="preserve">acceso universal; con la finalidad de mejorar el funcionamiento, rehabilitar su imagen, evitar su deterioro </w:t>
      </w:r>
      <w:r>
        <w:rPr>
          <w:spacing w:val="-15"/>
        </w:rPr>
        <w:t xml:space="preserve">y </w:t>
      </w:r>
      <w:r>
        <w:t xml:space="preserve">prolongar su vida </w:t>
      </w:r>
      <w:r>
        <w:t>útil.</w:t>
      </w:r>
    </w:p>
    <w:p w:rsidR="00A63476" w:rsidRDefault="00D22874">
      <w:pPr>
        <w:pStyle w:val="Textoindependiente"/>
        <w:spacing w:before="92" w:line="254" w:lineRule="auto"/>
        <w:ind w:right="663"/>
      </w:pPr>
      <w:r>
        <w:t>Se apoyará la realización de acciones de mejoramiento de viviendas en su exterior y áreas comunes para mejorar la imagen urbana y su entorno.</w:t>
      </w:r>
    </w:p>
    <w:p w:rsidR="00A63476" w:rsidRDefault="00D22874">
      <w:pPr>
        <w:pStyle w:val="Textoindependiente"/>
        <w:spacing w:before="101"/>
        <w:ind w:left="800" w:right="0" w:firstLine="0"/>
      </w:pPr>
      <w:r>
        <w:t>Las líneas de apoyo aplicables son: Instalaciones Generales y Áreas Comunes; y, Sustentabilidad.</w:t>
      </w:r>
    </w:p>
    <w:p w:rsidR="00A63476" w:rsidRDefault="00D22874">
      <w:pPr>
        <w:pStyle w:val="Prrafodelista"/>
        <w:numPr>
          <w:ilvl w:val="0"/>
          <w:numId w:val="49"/>
        </w:numPr>
        <w:tabs>
          <w:tab w:val="left" w:pos="1232"/>
        </w:tabs>
        <w:spacing w:before="133" w:line="254" w:lineRule="auto"/>
        <w:ind w:right="655" w:hanging="440"/>
        <w:rPr>
          <w:sz w:val="18"/>
        </w:rPr>
      </w:pPr>
      <w:r>
        <w:rPr>
          <w:sz w:val="18"/>
          <w:u w:val="single"/>
        </w:rPr>
        <w:t>Sustentabil</w:t>
      </w:r>
      <w:r>
        <w:rPr>
          <w:sz w:val="18"/>
          <w:u w:val="single"/>
        </w:rPr>
        <w:t>idad</w:t>
      </w:r>
      <w:r>
        <w:rPr>
          <w:sz w:val="18"/>
        </w:rPr>
        <w:t xml:space="preserve">. La </w:t>
      </w:r>
      <w:r>
        <w:rPr>
          <w:spacing w:val="-3"/>
          <w:sz w:val="18"/>
        </w:rPr>
        <w:t xml:space="preserve">CONAVI </w:t>
      </w:r>
      <w:r>
        <w:rPr>
          <w:sz w:val="18"/>
        </w:rPr>
        <w:t>podrá otorgar subsidio hasta por la cantidad equivalente a 13 veces el valor de la UMA, por unidad de vivienda, para la aplicación de diseños e instalación de tecnologías que permitan la disminución de emisiones de bióxido de carbono, el ah</w:t>
      </w:r>
      <w:r>
        <w:rPr>
          <w:sz w:val="18"/>
        </w:rPr>
        <w:t xml:space="preserve">orro de energía y el ahorro </w:t>
      </w:r>
      <w:r>
        <w:rPr>
          <w:spacing w:val="-17"/>
          <w:sz w:val="18"/>
        </w:rPr>
        <w:t>y</w:t>
      </w:r>
      <w:r>
        <w:rPr>
          <w:spacing w:val="16"/>
          <w:sz w:val="18"/>
        </w:rPr>
        <w:t xml:space="preserve"> </w:t>
      </w:r>
      <w:r>
        <w:rPr>
          <w:sz w:val="18"/>
        </w:rPr>
        <w:t>manejo adecuado del agua en la vivienda, así como la protección y cuidado del medio ambiente. Estos diseños y tecnologías también contribuirán a reducir el riesgo de que la vivienda sufra daños por futuras contingencias y</w:t>
      </w:r>
      <w:r>
        <w:rPr>
          <w:spacing w:val="-1"/>
          <w:sz w:val="18"/>
        </w:rPr>
        <w:t xml:space="preserve"> </w:t>
      </w:r>
      <w:r>
        <w:rPr>
          <w:sz w:val="18"/>
        </w:rPr>
        <w:t>desa</w:t>
      </w:r>
      <w:r>
        <w:rPr>
          <w:sz w:val="18"/>
        </w:rPr>
        <w:t>stres.</w:t>
      </w:r>
    </w:p>
    <w:p w:rsidR="00A63476" w:rsidRDefault="00D22874">
      <w:pPr>
        <w:pStyle w:val="Prrafodelista"/>
        <w:numPr>
          <w:ilvl w:val="0"/>
          <w:numId w:val="49"/>
        </w:numPr>
        <w:tabs>
          <w:tab w:val="left" w:pos="1232"/>
        </w:tabs>
        <w:spacing w:before="104" w:line="259" w:lineRule="auto"/>
        <w:ind w:right="655" w:hanging="440"/>
        <w:rPr>
          <w:sz w:val="18"/>
        </w:rPr>
      </w:pPr>
      <w:r>
        <w:rPr>
          <w:sz w:val="18"/>
          <w:u w:val="single"/>
        </w:rPr>
        <w:t>Instalaciones Generales y Áreas Comunes.</w:t>
      </w:r>
      <w:r>
        <w:rPr>
          <w:sz w:val="18"/>
        </w:rPr>
        <w:t xml:space="preserve"> La </w:t>
      </w:r>
      <w:r>
        <w:rPr>
          <w:spacing w:val="-3"/>
          <w:sz w:val="18"/>
        </w:rPr>
        <w:t xml:space="preserve">CONAVI </w:t>
      </w:r>
      <w:r>
        <w:rPr>
          <w:sz w:val="18"/>
        </w:rPr>
        <w:t>podrá otorgar subsidio hasta por 4 veces el valor de la UMA por unidad de vivienda para la realización de trabajos de mantenimiento, rehabilitación y reparación de áreas exteriores a las viviendas y</w:t>
      </w:r>
      <w:r>
        <w:rPr>
          <w:sz w:val="18"/>
        </w:rPr>
        <w:t xml:space="preserve"> zonas comunes en edificios multifamiliares de unidades habitacionales de interés social. Se puede aplicar en pintura </w:t>
      </w:r>
      <w:r>
        <w:rPr>
          <w:spacing w:val="-4"/>
          <w:sz w:val="18"/>
        </w:rPr>
        <w:t xml:space="preserve">exterior, </w:t>
      </w:r>
      <w:r>
        <w:rPr>
          <w:sz w:val="18"/>
        </w:rPr>
        <w:t>impermeabilización, reparación o sustitución de instalaciones hidro-sanitarias, eléctricas o  especiales, iluminación, seguridad</w:t>
      </w:r>
      <w:r>
        <w:rPr>
          <w:sz w:val="18"/>
        </w:rPr>
        <w:t xml:space="preserve">, rehabilitación de cubos de escalera, herrerías, cosecha de </w:t>
      </w:r>
      <w:r>
        <w:rPr>
          <w:spacing w:val="-4"/>
          <w:sz w:val="18"/>
        </w:rPr>
        <w:t xml:space="preserve">agua </w:t>
      </w:r>
      <w:r>
        <w:rPr>
          <w:sz w:val="18"/>
        </w:rPr>
        <w:t>de lluvia, entre</w:t>
      </w:r>
      <w:r>
        <w:rPr>
          <w:spacing w:val="-1"/>
          <w:sz w:val="18"/>
        </w:rPr>
        <w:t xml:space="preserve"> </w:t>
      </w:r>
      <w:r>
        <w:rPr>
          <w:sz w:val="18"/>
        </w:rPr>
        <w:t>otros.</w:t>
      </w:r>
    </w:p>
    <w:p w:rsidR="00A63476" w:rsidRDefault="00D22874">
      <w:pPr>
        <w:pStyle w:val="Ttulo1"/>
        <w:spacing w:before="95"/>
        <w:ind w:left="855" w:right="1002"/>
        <w:jc w:val="center"/>
      </w:pPr>
      <w:r>
        <w:t>Tabla 1. VIVIENDA EN ZONAS RURALES O URBANAS</w:t>
      </w:r>
    </w:p>
    <w:p w:rsidR="00A63476" w:rsidRDefault="00D22874">
      <w:pPr>
        <w:spacing w:before="113"/>
        <w:ind w:left="876" w:right="1002"/>
        <w:jc w:val="center"/>
        <w:rPr>
          <w:b/>
          <w:sz w:val="18"/>
        </w:rPr>
      </w:pPr>
      <w:r>
        <w:rPr>
          <w:b/>
          <w:sz w:val="18"/>
        </w:rPr>
        <w:t>Líneas de apoyo y montos de subsidio según modalidad de aplicación del subsidio</w:t>
      </w:r>
    </w:p>
    <w:p w:rsidR="00A63476" w:rsidRDefault="00A63476">
      <w:pPr>
        <w:pStyle w:val="Textoindependiente"/>
        <w:spacing w:before="2"/>
        <w:ind w:left="0" w:right="0" w:firstLine="0"/>
        <w:jc w:val="left"/>
        <w:rPr>
          <w:b/>
          <w:sz w:val="11"/>
        </w:rPr>
      </w:pPr>
    </w:p>
    <w:tbl>
      <w:tblPr>
        <w:tblStyle w:val="TableNormal"/>
        <w:tblW w:w="0" w:type="auto"/>
        <w:tblInd w:w="1703" w:type="dxa"/>
        <w:tblBorders>
          <w:top w:val="single" w:sz="6" w:space="0" w:color="404040"/>
          <w:left w:val="single" w:sz="6" w:space="0" w:color="404040"/>
          <w:bottom w:val="single" w:sz="6" w:space="0" w:color="404040"/>
          <w:right w:val="single" w:sz="6" w:space="0" w:color="404040"/>
          <w:insideH w:val="single" w:sz="6" w:space="0" w:color="404040"/>
          <w:insideV w:val="single" w:sz="6" w:space="0" w:color="404040"/>
        </w:tblBorders>
        <w:tblLayout w:type="fixed"/>
        <w:tblLook w:val="01E0" w:firstRow="1" w:lastRow="1" w:firstColumn="1" w:lastColumn="1" w:noHBand="0" w:noVBand="0"/>
      </w:tblPr>
      <w:tblGrid>
        <w:gridCol w:w="2445"/>
        <w:gridCol w:w="1547"/>
        <w:gridCol w:w="654"/>
        <w:gridCol w:w="654"/>
        <w:gridCol w:w="526"/>
        <w:gridCol w:w="654"/>
      </w:tblGrid>
      <w:tr w:rsidR="00A63476">
        <w:trPr>
          <w:trHeight w:val="334"/>
        </w:trPr>
        <w:tc>
          <w:tcPr>
            <w:tcW w:w="2445" w:type="dxa"/>
            <w:tcBorders>
              <w:bottom w:val="nil"/>
            </w:tcBorders>
          </w:tcPr>
          <w:p w:rsidR="00A63476" w:rsidRDefault="00A63476">
            <w:pPr>
              <w:pStyle w:val="TableParagraph"/>
              <w:rPr>
                <w:rFonts w:ascii="Times New Roman"/>
                <w:sz w:val="16"/>
              </w:rPr>
            </w:pPr>
          </w:p>
        </w:tc>
        <w:tc>
          <w:tcPr>
            <w:tcW w:w="1547" w:type="dxa"/>
            <w:tcBorders>
              <w:bottom w:val="nil"/>
              <w:right w:val="single" w:sz="12" w:space="0" w:color="000000"/>
            </w:tcBorders>
          </w:tcPr>
          <w:p w:rsidR="00A63476" w:rsidRDefault="00A63476">
            <w:pPr>
              <w:pStyle w:val="TableParagraph"/>
              <w:rPr>
                <w:rFonts w:ascii="Times New Roman"/>
                <w:sz w:val="16"/>
              </w:rPr>
            </w:pPr>
          </w:p>
        </w:tc>
        <w:tc>
          <w:tcPr>
            <w:tcW w:w="2488" w:type="dxa"/>
            <w:gridSpan w:val="4"/>
            <w:tcBorders>
              <w:top w:val="single" w:sz="12" w:space="0" w:color="000000"/>
              <w:left w:val="single" w:sz="12" w:space="0" w:color="000000"/>
              <w:bottom w:val="nil"/>
              <w:right w:val="single" w:sz="12" w:space="0" w:color="000000"/>
            </w:tcBorders>
          </w:tcPr>
          <w:p w:rsidR="00A63476" w:rsidRDefault="00D22874">
            <w:pPr>
              <w:pStyle w:val="TableParagraph"/>
              <w:spacing w:before="131"/>
              <w:ind w:left="304"/>
              <w:rPr>
                <w:sz w:val="14"/>
              </w:rPr>
            </w:pPr>
            <w:r>
              <w:rPr>
                <w:sz w:val="14"/>
              </w:rPr>
              <w:t>Modalidades de aplicación del</w:t>
            </w:r>
          </w:p>
        </w:tc>
      </w:tr>
      <w:tr w:rsidR="00A63476">
        <w:trPr>
          <w:trHeight w:val="287"/>
        </w:trPr>
        <w:tc>
          <w:tcPr>
            <w:tcW w:w="2445" w:type="dxa"/>
            <w:tcBorders>
              <w:top w:val="nil"/>
              <w:bottom w:val="nil"/>
            </w:tcBorders>
          </w:tcPr>
          <w:p w:rsidR="00A63476" w:rsidRDefault="00A63476">
            <w:pPr>
              <w:pStyle w:val="TableParagraph"/>
              <w:rPr>
                <w:rFonts w:ascii="Times New Roman"/>
                <w:sz w:val="16"/>
              </w:rPr>
            </w:pPr>
          </w:p>
        </w:tc>
        <w:tc>
          <w:tcPr>
            <w:tcW w:w="1547" w:type="dxa"/>
            <w:tcBorders>
              <w:top w:val="nil"/>
              <w:bottom w:val="nil"/>
              <w:right w:val="single" w:sz="12" w:space="0" w:color="000000"/>
            </w:tcBorders>
          </w:tcPr>
          <w:p w:rsidR="00A63476" w:rsidRDefault="00A63476">
            <w:pPr>
              <w:pStyle w:val="TableParagraph"/>
              <w:rPr>
                <w:rFonts w:ascii="Times New Roman"/>
                <w:sz w:val="16"/>
              </w:rPr>
            </w:pPr>
          </w:p>
        </w:tc>
        <w:tc>
          <w:tcPr>
            <w:tcW w:w="2488" w:type="dxa"/>
            <w:gridSpan w:val="4"/>
            <w:tcBorders>
              <w:top w:val="nil"/>
              <w:left w:val="single" w:sz="12" w:space="0" w:color="000000"/>
              <w:right w:val="single" w:sz="12" w:space="0" w:color="000000"/>
            </w:tcBorders>
          </w:tcPr>
          <w:p w:rsidR="00A63476" w:rsidRDefault="00D22874">
            <w:pPr>
              <w:pStyle w:val="TableParagraph"/>
              <w:spacing w:before="37"/>
              <w:ind w:left="964" w:right="940"/>
              <w:jc w:val="center"/>
              <w:rPr>
                <w:sz w:val="14"/>
              </w:rPr>
            </w:pPr>
            <w:r>
              <w:rPr>
                <w:sz w:val="14"/>
              </w:rPr>
              <w:t>subsidio</w:t>
            </w:r>
          </w:p>
        </w:tc>
      </w:tr>
      <w:tr w:rsidR="00A63476">
        <w:trPr>
          <w:trHeight w:val="330"/>
        </w:trPr>
        <w:tc>
          <w:tcPr>
            <w:tcW w:w="2445" w:type="dxa"/>
            <w:tcBorders>
              <w:top w:val="nil"/>
              <w:bottom w:val="nil"/>
            </w:tcBorders>
          </w:tcPr>
          <w:p w:rsidR="00A63476" w:rsidRDefault="00A63476">
            <w:pPr>
              <w:pStyle w:val="TableParagraph"/>
              <w:rPr>
                <w:rFonts w:ascii="Times New Roman"/>
                <w:sz w:val="16"/>
              </w:rPr>
            </w:pPr>
          </w:p>
        </w:tc>
        <w:tc>
          <w:tcPr>
            <w:tcW w:w="1547" w:type="dxa"/>
            <w:tcBorders>
              <w:top w:val="nil"/>
              <w:bottom w:val="nil"/>
              <w:right w:val="single" w:sz="12" w:space="0" w:color="000000"/>
            </w:tcBorders>
          </w:tcPr>
          <w:p w:rsidR="00A63476" w:rsidRDefault="00A63476">
            <w:pPr>
              <w:pStyle w:val="TableParagraph"/>
              <w:rPr>
                <w:rFonts w:ascii="Times New Roman"/>
                <w:sz w:val="16"/>
              </w:rPr>
            </w:pPr>
          </w:p>
        </w:tc>
        <w:tc>
          <w:tcPr>
            <w:tcW w:w="654" w:type="dxa"/>
            <w:tcBorders>
              <w:left w:val="single" w:sz="12" w:space="0" w:color="000000"/>
              <w:bottom w:val="nil"/>
            </w:tcBorders>
          </w:tcPr>
          <w:p w:rsidR="00A63476" w:rsidRDefault="00A63476">
            <w:pPr>
              <w:pStyle w:val="TableParagraph"/>
              <w:rPr>
                <w:rFonts w:ascii="Times New Roman"/>
                <w:sz w:val="16"/>
              </w:rPr>
            </w:pPr>
          </w:p>
        </w:tc>
        <w:tc>
          <w:tcPr>
            <w:tcW w:w="654" w:type="dxa"/>
            <w:tcBorders>
              <w:bottom w:val="nil"/>
            </w:tcBorders>
          </w:tcPr>
          <w:p w:rsidR="00A63476" w:rsidRDefault="00D22874">
            <w:pPr>
              <w:pStyle w:val="TableParagraph"/>
              <w:spacing w:before="135"/>
              <w:ind w:left="197"/>
              <w:rPr>
                <w:sz w:val="14"/>
              </w:rPr>
            </w:pPr>
            <w:r>
              <w:rPr>
                <w:sz w:val="14"/>
              </w:rPr>
              <w:t>VIVIE</w:t>
            </w:r>
          </w:p>
        </w:tc>
        <w:tc>
          <w:tcPr>
            <w:tcW w:w="526" w:type="dxa"/>
            <w:vMerge w:val="restart"/>
          </w:tcPr>
          <w:p w:rsidR="00A63476" w:rsidRDefault="00A63476">
            <w:pPr>
              <w:pStyle w:val="TableParagraph"/>
              <w:rPr>
                <w:b/>
                <w:sz w:val="16"/>
              </w:rPr>
            </w:pPr>
          </w:p>
          <w:p w:rsidR="00A63476" w:rsidRDefault="00A63476">
            <w:pPr>
              <w:pStyle w:val="TableParagraph"/>
              <w:rPr>
                <w:b/>
                <w:sz w:val="16"/>
              </w:rPr>
            </w:pPr>
          </w:p>
          <w:p w:rsidR="00A63476" w:rsidRDefault="00A63476">
            <w:pPr>
              <w:pStyle w:val="TableParagraph"/>
              <w:rPr>
                <w:b/>
                <w:sz w:val="16"/>
              </w:rPr>
            </w:pPr>
          </w:p>
          <w:p w:rsidR="00A63476" w:rsidRDefault="00A63476">
            <w:pPr>
              <w:pStyle w:val="TableParagraph"/>
              <w:spacing w:before="10"/>
              <w:rPr>
                <w:b/>
                <w:sz w:val="15"/>
              </w:rPr>
            </w:pPr>
          </w:p>
          <w:p w:rsidR="00A63476" w:rsidRDefault="00D22874">
            <w:pPr>
              <w:pStyle w:val="TableParagraph"/>
              <w:spacing w:line="357" w:lineRule="auto"/>
              <w:ind w:left="83" w:right="75" w:hanging="7"/>
              <w:jc w:val="center"/>
              <w:rPr>
                <w:sz w:val="14"/>
              </w:rPr>
            </w:pPr>
            <w:r>
              <w:rPr>
                <w:sz w:val="14"/>
              </w:rPr>
              <w:t>ADQ UISI CIÓN DE VIVI END A</w:t>
            </w:r>
          </w:p>
        </w:tc>
        <w:tc>
          <w:tcPr>
            <w:tcW w:w="654" w:type="dxa"/>
            <w:tcBorders>
              <w:bottom w:val="nil"/>
            </w:tcBorders>
          </w:tcPr>
          <w:p w:rsidR="00A63476" w:rsidRDefault="00A63476">
            <w:pPr>
              <w:pStyle w:val="TableParagraph"/>
              <w:rPr>
                <w:rFonts w:ascii="Times New Roman"/>
                <w:sz w:val="16"/>
              </w:rPr>
            </w:pPr>
          </w:p>
        </w:tc>
      </w:tr>
      <w:tr w:rsidR="00A63476">
        <w:trPr>
          <w:trHeight w:val="225"/>
        </w:trPr>
        <w:tc>
          <w:tcPr>
            <w:tcW w:w="2445" w:type="dxa"/>
            <w:tcBorders>
              <w:top w:val="nil"/>
              <w:bottom w:val="nil"/>
            </w:tcBorders>
          </w:tcPr>
          <w:p w:rsidR="00A63476" w:rsidRDefault="00A63476">
            <w:pPr>
              <w:pStyle w:val="TableParagraph"/>
              <w:rPr>
                <w:rFonts w:ascii="Times New Roman"/>
                <w:sz w:val="16"/>
              </w:rPr>
            </w:pPr>
          </w:p>
        </w:tc>
        <w:tc>
          <w:tcPr>
            <w:tcW w:w="1547" w:type="dxa"/>
            <w:tcBorders>
              <w:top w:val="nil"/>
              <w:bottom w:val="nil"/>
              <w:right w:val="single" w:sz="12" w:space="0" w:color="000000"/>
            </w:tcBorders>
          </w:tcPr>
          <w:p w:rsidR="00A63476" w:rsidRDefault="00A63476">
            <w:pPr>
              <w:pStyle w:val="TableParagraph"/>
              <w:rPr>
                <w:rFonts w:ascii="Times New Roman"/>
                <w:sz w:val="16"/>
              </w:rPr>
            </w:pPr>
          </w:p>
        </w:tc>
        <w:tc>
          <w:tcPr>
            <w:tcW w:w="654" w:type="dxa"/>
            <w:tcBorders>
              <w:top w:val="nil"/>
              <w:left w:val="single" w:sz="12" w:space="0" w:color="000000"/>
              <w:bottom w:val="nil"/>
            </w:tcBorders>
          </w:tcPr>
          <w:p w:rsidR="00A63476" w:rsidRDefault="00D22874">
            <w:pPr>
              <w:pStyle w:val="TableParagraph"/>
              <w:spacing w:before="29"/>
              <w:ind w:left="183" w:right="49"/>
              <w:jc w:val="center"/>
              <w:rPr>
                <w:sz w:val="14"/>
              </w:rPr>
            </w:pPr>
            <w:r>
              <w:rPr>
                <w:sz w:val="14"/>
              </w:rPr>
              <w:t>VIVIE</w:t>
            </w:r>
          </w:p>
        </w:tc>
        <w:tc>
          <w:tcPr>
            <w:tcW w:w="654" w:type="dxa"/>
            <w:tcBorders>
              <w:top w:val="nil"/>
              <w:bottom w:val="nil"/>
            </w:tcBorders>
          </w:tcPr>
          <w:p w:rsidR="00A63476" w:rsidRDefault="00D22874">
            <w:pPr>
              <w:pStyle w:val="TableParagraph"/>
              <w:spacing w:before="29"/>
              <w:ind w:left="237"/>
              <w:rPr>
                <w:sz w:val="14"/>
              </w:rPr>
            </w:pPr>
            <w:r>
              <w:rPr>
                <w:sz w:val="14"/>
              </w:rPr>
              <w:t>NDA</w:t>
            </w:r>
          </w:p>
        </w:tc>
        <w:tc>
          <w:tcPr>
            <w:tcW w:w="526" w:type="dxa"/>
            <w:vMerge/>
            <w:tcBorders>
              <w:top w:val="nil"/>
            </w:tcBorders>
          </w:tcPr>
          <w:p w:rsidR="00A63476" w:rsidRDefault="00A63476">
            <w:pPr>
              <w:rPr>
                <w:sz w:val="2"/>
                <w:szCs w:val="2"/>
              </w:rPr>
            </w:pPr>
          </w:p>
        </w:tc>
        <w:tc>
          <w:tcPr>
            <w:tcW w:w="654" w:type="dxa"/>
            <w:tcBorders>
              <w:top w:val="nil"/>
              <w:bottom w:val="nil"/>
            </w:tcBorders>
          </w:tcPr>
          <w:p w:rsidR="00A63476" w:rsidRDefault="00D22874">
            <w:pPr>
              <w:pStyle w:val="TableParagraph"/>
              <w:spacing w:before="29"/>
              <w:ind w:left="177" w:right="61"/>
              <w:jc w:val="center"/>
              <w:rPr>
                <w:sz w:val="14"/>
              </w:rPr>
            </w:pPr>
            <w:r>
              <w:rPr>
                <w:sz w:val="14"/>
              </w:rPr>
              <w:t>MEJ</w:t>
            </w:r>
          </w:p>
        </w:tc>
      </w:tr>
      <w:tr w:rsidR="00A63476">
        <w:trPr>
          <w:trHeight w:val="225"/>
        </w:trPr>
        <w:tc>
          <w:tcPr>
            <w:tcW w:w="2445" w:type="dxa"/>
            <w:tcBorders>
              <w:top w:val="nil"/>
              <w:bottom w:val="nil"/>
            </w:tcBorders>
          </w:tcPr>
          <w:p w:rsidR="00A63476" w:rsidRDefault="00A63476">
            <w:pPr>
              <w:pStyle w:val="TableParagraph"/>
              <w:rPr>
                <w:rFonts w:ascii="Times New Roman"/>
                <w:sz w:val="16"/>
              </w:rPr>
            </w:pPr>
          </w:p>
        </w:tc>
        <w:tc>
          <w:tcPr>
            <w:tcW w:w="1547" w:type="dxa"/>
            <w:tcBorders>
              <w:top w:val="nil"/>
              <w:bottom w:val="nil"/>
              <w:right w:val="single" w:sz="12" w:space="0" w:color="000000"/>
            </w:tcBorders>
          </w:tcPr>
          <w:p w:rsidR="00A63476" w:rsidRDefault="00A63476">
            <w:pPr>
              <w:pStyle w:val="TableParagraph"/>
              <w:rPr>
                <w:rFonts w:ascii="Times New Roman"/>
                <w:sz w:val="16"/>
              </w:rPr>
            </w:pPr>
          </w:p>
        </w:tc>
        <w:tc>
          <w:tcPr>
            <w:tcW w:w="654" w:type="dxa"/>
            <w:tcBorders>
              <w:top w:val="nil"/>
              <w:left w:val="single" w:sz="12" w:space="0" w:color="000000"/>
              <w:bottom w:val="nil"/>
            </w:tcBorders>
          </w:tcPr>
          <w:p w:rsidR="00A63476" w:rsidRDefault="00D22874">
            <w:pPr>
              <w:pStyle w:val="TableParagraph"/>
              <w:spacing w:before="29"/>
              <w:ind w:left="183" w:right="31"/>
              <w:jc w:val="center"/>
              <w:rPr>
                <w:sz w:val="14"/>
              </w:rPr>
            </w:pPr>
            <w:r>
              <w:rPr>
                <w:sz w:val="14"/>
              </w:rPr>
              <w:t>NDA</w:t>
            </w:r>
          </w:p>
        </w:tc>
        <w:tc>
          <w:tcPr>
            <w:tcW w:w="654" w:type="dxa"/>
            <w:tcBorders>
              <w:top w:val="nil"/>
              <w:bottom w:val="nil"/>
            </w:tcBorders>
          </w:tcPr>
          <w:p w:rsidR="00A63476" w:rsidRDefault="00D22874">
            <w:pPr>
              <w:pStyle w:val="TableParagraph"/>
              <w:spacing w:before="29"/>
              <w:ind w:left="277"/>
              <w:rPr>
                <w:sz w:val="14"/>
              </w:rPr>
            </w:pPr>
            <w:r>
              <w:rPr>
                <w:sz w:val="14"/>
              </w:rPr>
              <w:t>EN</w:t>
            </w:r>
          </w:p>
        </w:tc>
        <w:tc>
          <w:tcPr>
            <w:tcW w:w="526" w:type="dxa"/>
            <w:vMerge/>
            <w:tcBorders>
              <w:top w:val="nil"/>
            </w:tcBorders>
          </w:tcPr>
          <w:p w:rsidR="00A63476" w:rsidRDefault="00A63476">
            <w:pPr>
              <w:rPr>
                <w:sz w:val="2"/>
                <w:szCs w:val="2"/>
              </w:rPr>
            </w:pPr>
          </w:p>
        </w:tc>
        <w:tc>
          <w:tcPr>
            <w:tcW w:w="654" w:type="dxa"/>
            <w:tcBorders>
              <w:top w:val="nil"/>
              <w:bottom w:val="nil"/>
            </w:tcBorders>
          </w:tcPr>
          <w:p w:rsidR="00A63476" w:rsidRDefault="00D22874">
            <w:pPr>
              <w:pStyle w:val="TableParagraph"/>
              <w:spacing w:before="29"/>
              <w:ind w:left="177" w:right="38"/>
              <w:jc w:val="center"/>
              <w:rPr>
                <w:sz w:val="14"/>
              </w:rPr>
            </w:pPr>
            <w:r>
              <w:rPr>
                <w:sz w:val="14"/>
              </w:rPr>
              <w:t>ORA</w:t>
            </w:r>
          </w:p>
        </w:tc>
      </w:tr>
      <w:tr w:rsidR="00A63476">
        <w:trPr>
          <w:trHeight w:val="245"/>
        </w:trPr>
        <w:tc>
          <w:tcPr>
            <w:tcW w:w="2445" w:type="dxa"/>
            <w:tcBorders>
              <w:top w:val="nil"/>
              <w:bottom w:val="nil"/>
            </w:tcBorders>
          </w:tcPr>
          <w:p w:rsidR="00A63476" w:rsidRDefault="00A63476">
            <w:pPr>
              <w:pStyle w:val="TableParagraph"/>
              <w:rPr>
                <w:rFonts w:ascii="Times New Roman"/>
                <w:sz w:val="16"/>
              </w:rPr>
            </w:pPr>
          </w:p>
        </w:tc>
        <w:tc>
          <w:tcPr>
            <w:tcW w:w="1547" w:type="dxa"/>
            <w:tcBorders>
              <w:top w:val="nil"/>
              <w:bottom w:val="nil"/>
              <w:right w:val="single" w:sz="12" w:space="0" w:color="000000"/>
            </w:tcBorders>
          </w:tcPr>
          <w:p w:rsidR="00A63476" w:rsidRDefault="00D22874">
            <w:pPr>
              <w:pStyle w:val="TableParagraph"/>
              <w:spacing w:before="69" w:line="155" w:lineRule="exact"/>
              <w:ind w:left="98" w:right="77"/>
              <w:jc w:val="center"/>
              <w:rPr>
                <w:b/>
                <w:sz w:val="14"/>
              </w:rPr>
            </w:pPr>
            <w:r>
              <w:rPr>
                <w:b/>
                <w:sz w:val="14"/>
              </w:rPr>
              <w:t>Monto máximo del</w:t>
            </w:r>
          </w:p>
        </w:tc>
        <w:tc>
          <w:tcPr>
            <w:tcW w:w="654" w:type="dxa"/>
            <w:tcBorders>
              <w:top w:val="nil"/>
              <w:left w:val="single" w:sz="12" w:space="0" w:color="000000"/>
              <w:bottom w:val="nil"/>
            </w:tcBorders>
          </w:tcPr>
          <w:p w:rsidR="00A63476" w:rsidRDefault="00D22874">
            <w:pPr>
              <w:pStyle w:val="TableParagraph"/>
              <w:spacing w:before="29"/>
              <w:ind w:left="180" w:right="49"/>
              <w:jc w:val="center"/>
              <w:rPr>
                <w:sz w:val="14"/>
              </w:rPr>
            </w:pPr>
            <w:r>
              <w:rPr>
                <w:sz w:val="14"/>
              </w:rPr>
              <w:t>EN</w:t>
            </w:r>
          </w:p>
        </w:tc>
        <w:tc>
          <w:tcPr>
            <w:tcW w:w="654" w:type="dxa"/>
            <w:tcBorders>
              <w:top w:val="nil"/>
              <w:bottom w:val="nil"/>
            </w:tcBorders>
          </w:tcPr>
          <w:p w:rsidR="00A63476" w:rsidRDefault="00D22874">
            <w:pPr>
              <w:pStyle w:val="TableParagraph"/>
              <w:spacing w:before="29"/>
              <w:ind w:left="237"/>
              <w:rPr>
                <w:sz w:val="14"/>
              </w:rPr>
            </w:pPr>
            <w:r>
              <w:rPr>
                <w:sz w:val="14"/>
              </w:rPr>
              <w:t>ESP</w:t>
            </w:r>
          </w:p>
        </w:tc>
        <w:tc>
          <w:tcPr>
            <w:tcW w:w="526" w:type="dxa"/>
            <w:vMerge/>
            <w:tcBorders>
              <w:top w:val="nil"/>
            </w:tcBorders>
          </w:tcPr>
          <w:p w:rsidR="00A63476" w:rsidRDefault="00A63476">
            <w:pPr>
              <w:rPr>
                <w:sz w:val="2"/>
                <w:szCs w:val="2"/>
              </w:rPr>
            </w:pPr>
          </w:p>
        </w:tc>
        <w:tc>
          <w:tcPr>
            <w:tcW w:w="654" w:type="dxa"/>
            <w:tcBorders>
              <w:top w:val="nil"/>
              <w:bottom w:val="nil"/>
            </w:tcBorders>
          </w:tcPr>
          <w:p w:rsidR="00A63476" w:rsidRDefault="00D22874">
            <w:pPr>
              <w:pStyle w:val="TableParagraph"/>
              <w:spacing w:before="29"/>
              <w:ind w:left="177" w:right="71"/>
              <w:jc w:val="center"/>
              <w:rPr>
                <w:sz w:val="14"/>
              </w:rPr>
            </w:pPr>
            <w:r>
              <w:rPr>
                <w:sz w:val="14"/>
              </w:rPr>
              <w:t>MIEN</w:t>
            </w:r>
          </w:p>
        </w:tc>
      </w:tr>
      <w:tr w:rsidR="00A63476">
        <w:trPr>
          <w:trHeight w:val="225"/>
        </w:trPr>
        <w:tc>
          <w:tcPr>
            <w:tcW w:w="2445" w:type="dxa"/>
            <w:tcBorders>
              <w:top w:val="nil"/>
              <w:bottom w:val="nil"/>
            </w:tcBorders>
          </w:tcPr>
          <w:p w:rsidR="00A63476" w:rsidRDefault="00D22874">
            <w:pPr>
              <w:pStyle w:val="TableParagraph"/>
              <w:spacing w:before="49" w:line="155" w:lineRule="exact"/>
              <w:ind w:left="663"/>
              <w:rPr>
                <w:b/>
                <w:sz w:val="14"/>
              </w:rPr>
            </w:pPr>
            <w:r>
              <w:rPr>
                <w:b/>
                <w:sz w:val="14"/>
              </w:rPr>
              <w:t>Líneas de Apoyo</w:t>
            </w:r>
          </w:p>
        </w:tc>
        <w:tc>
          <w:tcPr>
            <w:tcW w:w="1547" w:type="dxa"/>
            <w:tcBorders>
              <w:top w:val="nil"/>
              <w:bottom w:val="nil"/>
              <w:right w:val="single" w:sz="12" w:space="0" w:color="000000"/>
            </w:tcBorders>
          </w:tcPr>
          <w:p w:rsidR="00A63476" w:rsidRDefault="00D22874">
            <w:pPr>
              <w:pStyle w:val="TableParagraph"/>
              <w:spacing w:before="49" w:line="155" w:lineRule="exact"/>
              <w:ind w:left="98" w:right="66"/>
              <w:jc w:val="center"/>
              <w:rPr>
                <w:b/>
                <w:sz w:val="14"/>
              </w:rPr>
            </w:pPr>
            <w:r>
              <w:rPr>
                <w:b/>
                <w:sz w:val="14"/>
              </w:rPr>
              <w:t>subsidio (UMA por</w:t>
            </w:r>
          </w:p>
        </w:tc>
        <w:tc>
          <w:tcPr>
            <w:tcW w:w="654" w:type="dxa"/>
            <w:tcBorders>
              <w:top w:val="nil"/>
              <w:left w:val="single" w:sz="12" w:space="0" w:color="000000"/>
              <w:bottom w:val="nil"/>
            </w:tcBorders>
          </w:tcPr>
          <w:p w:rsidR="00A63476" w:rsidRDefault="00D22874">
            <w:pPr>
              <w:pStyle w:val="TableParagraph"/>
              <w:spacing w:before="9"/>
              <w:ind w:left="177" w:right="49"/>
              <w:jc w:val="center"/>
              <w:rPr>
                <w:sz w:val="14"/>
              </w:rPr>
            </w:pPr>
            <w:r>
              <w:rPr>
                <w:sz w:val="14"/>
              </w:rPr>
              <w:t>CON</w:t>
            </w:r>
          </w:p>
        </w:tc>
        <w:tc>
          <w:tcPr>
            <w:tcW w:w="654" w:type="dxa"/>
            <w:tcBorders>
              <w:top w:val="nil"/>
              <w:bottom w:val="nil"/>
            </w:tcBorders>
          </w:tcPr>
          <w:p w:rsidR="00A63476" w:rsidRDefault="00D22874">
            <w:pPr>
              <w:pStyle w:val="TableParagraph"/>
              <w:spacing w:before="9"/>
              <w:ind w:left="217"/>
              <w:rPr>
                <w:sz w:val="14"/>
              </w:rPr>
            </w:pPr>
            <w:r>
              <w:rPr>
                <w:sz w:val="14"/>
              </w:rPr>
              <w:t>ACIO</w:t>
            </w:r>
          </w:p>
        </w:tc>
        <w:tc>
          <w:tcPr>
            <w:tcW w:w="526" w:type="dxa"/>
            <w:vMerge/>
            <w:tcBorders>
              <w:top w:val="nil"/>
            </w:tcBorders>
          </w:tcPr>
          <w:p w:rsidR="00A63476" w:rsidRDefault="00A63476">
            <w:pPr>
              <w:rPr>
                <w:sz w:val="2"/>
                <w:szCs w:val="2"/>
              </w:rPr>
            </w:pPr>
          </w:p>
        </w:tc>
        <w:tc>
          <w:tcPr>
            <w:tcW w:w="654" w:type="dxa"/>
            <w:tcBorders>
              <w:top w:val="nil"/>
              <w:bottom w:val="nil"/>
            </w:tcBorders>
          </w:tcPr>
          <w:p w:rsidR="00A63476" w:rsidRDefault="00D22874">
            <w:pPr>
              <w:pStyle w:val="TableParagraph"/>
              <w:spacing w:before="9"/>
              <w:ind w:left="176" w:right="71"/>
              <w:jc w:val="center"/>
              <w:rPr>
                <w:sz w:val="14"/>
              </w:rPr>
            </w:pPr>
            <w:r>
              <w:rPr>
                <w:sz w:val="14"/>
              </w:rPr>
              <w:t>TO</w:t>
            </w:r>
          </w:p>
        </w:tc>
      </w:tr>
      <w:tr w:rsidR="00A63476">
        <w:trPr>
          <w:trHeight w:val="225"/>
        </w:trPr>
        <w:tc>
          <w:tcPr>
            <w:tcW w:w="2445" w:type="dxa"/>
            <w:tcBorders>
              <w:top w:val="nil"/>
              <w:bottom w:val="nil"/>
            </w:tcBorders>
          </w:tcPr>
          <w:p w:rsidR="00A63476" w:rsidRDefault="00A63476">
            <w:pPr>
              <w:pStyle w:val="TableParagraph"/>
              <w:rPr>
                <w:rFonts w:ascii="Times New Roman"/>
                <w:sz w:val="16"/>
              </w:rPr>
            </w:pPr>
          </w:p>
        </w:tc>
        <w:tc>
          <w:tcPr>
            <w:tcW w:w="1547" w:type="dxa"/>
            <w:tcBorders>
              <w:top w:val="nil"/>
              <w:bottom w:val="nil"/>
              <w:right w:val="single" w:sz="12" w:space="0" w:color="000000"/>
            </w:tcBorders>
          </w:tcPr>
          <w:p w:rsidR="00A63476" w:rsidRDefault="00D22874">
            <w:pPr>
              <w:pStyle w:val="TableParagraph"/>
              <w:spacing w:before="49" w:line="155" w:lineRule="exact"/>
              <w:ind w:left="98" w:right="79"/>
              <w:jc w:val="center"/>
              <w:rPr>
                <w:b/>
                <w:sz w:val="14"/>
              </w:rPr>
            </w:pPr>
            <w:r>
              <w:rPr>
                <w:b/>
                <w:sz w:val="14"/>
              </w:rPr>
              <w:t>unidad de vivienda)</w:t>
            </w:r>
          </w:p>
        </w:tc>
        <w:tc>
          <w:tcPr>
            <w:tcW w:w="654" w:type="dxa"/>
            <w:tcBorders>
              <w:top w:val="nil"/>
              <w:left w:val="single" w:sz="12" w:space="0" w:color="000000"/>
              <w:bottom w:val="nil"/>
            </w:tcBorders>
          </w:tcPr>
          <w:p w:rsidR="00A63476" w:rsidRDefault="00D22874">
            <w:pPr>
              <w:pStyle w:val="TableParagraph"/>
              <w:spacing w:before="9"/>
              <w:ind w:left="183" w:right="49"/>
              <w:jc w:val="center"/>
              <w:rPr>
                <w:sz w:val="14"/>
              </w:rPr>
            </w:pPr>
            <w:r>
              <w:rPr>
                <w:sz w:val="14"/>
              </w:rPr>
              <w:t>JUNT</w:t>
            </w:r>
          </w:p>
        </w:tc>
        <w:tc>
          <w:tcPr>
            <w:tcW w:w="654" w:type="dxa"/>
            <w:tcBorders>
              <w:top w:val="nil"/>
              <w:bottom w:val="nil"/>
            </w:tcBorders>
          </w:tcPr>
          <w:p w:rsidR="00A63476" w:rsidRDefault="00D22874">
            <w:pPr>
              <w:pStyle w:val="TableParagraph"/>
              <w:spacing w:before="9"/>
              <w:ind w:left="197"/>
              <w:rPr>
                <w:sz w:val="14"/>
              </w:rPr>
            </w:pPr>
            <w:r>
              <w:rPr>
                <w:sz w:val="14"/>
              </w:rPr>
              <w:t>EDIFI</w:t>
            </w:r>
          </w:p>
        </w:tc>
        <w:tc>
          <w:tcPr>
            <w:tcW w:w="526" w:type="dxa"/>
            <w:vMerge/>
            <w:tcBorders>
              <w:top w:val="nil"/>
            </w:tcBorders>
          </w:tcPr>
          <w:p w:rsidR="00A63476" w:rsidRDefault="00A63476">
            <w:pPr>
              <w:rPr>
                <w:sz w:val="2"/>
                <w:szCs w:val="2"/>
              </w:rPr>
            </w:pPr>
          </w:p>
        </w:tc>
        <w:tc>
          <w:tcPr>
            <w:tcW w:w="654" w:type="dxa"/>
            <w:tcBorders>
              <w:top w:val="nil"/>
              <w:bottom w:val="nil"/>
            </w:tcBorders>
          </w:tcPr>
          <w:p w:rsidR="00A63476" w:rsidRDefault="00D22874">
            <w:pPr>
              <w:pStyle w:val="TableParagraph"/>
              <w:spacing w:before="9"/>
              <w:ind w:left="177" w:right="67"/>
              <w:jc w:val="center"/>
              <w:rPr>
                <w:sz w:val="14"/>
              </w:rPr>
            </w:pPr>
            <w:r>
              <w:rPr>
                <w:sz w:val="14"/>
              </w:rPr>
              <w:t>DE</w:t>
            </w:r>
          </w:p>
        </w:tc>
      </w:tr>
      <w:tr w:rsidR="00A63476">
        <w:trPr>
          <w:trHeight w:val="205"/>
        </w:trPr>
        <w:tc>
          <w:tcPr>
            <w:tcW w:w="2445" w:type="dxa"/>
            <w:tcBorders>
              <w:top w:val="nil"/>
              <w:bottom w:val="nil"/>
            </w:tcBorders>
          </w:tcPr>
          <w:p w:rsidR="00A63476" w:rsidRDefault="00A63476">
            <w:pPr>
              <w:pStyle w:val="TableParagraph"/>
              <w:rPr>
                <w:rFonts w:ascii="Times New Roman"/>
                <w:sz w:val="14"/>
              </w:rPr>
            </w:pPr>
          </w:p>
        </w:tc>
        <w:tc>
          <w:tcPr>
            <w:tcW w:w="1547" w:type="dxa"/>
            <w:tcBorders>
              <w:top w:val="nil"/>
              <w:bottom w:val="nil"/>
              <w:right w:val="single" w:sz="12" w:space="0" w:color="000000"/>
            </w:tcBorders>
          </w:tcPr>
          <w:p w:rsidR="00A63476" w:rsidRDefault="00A63476">
            <w:pPr>
              <w:pStyle w:val="TableParagraph"/>
              <w:rPr>
                <w:rFonts w:ascii="Times New Roman"/>
                <w:sz w:val="14"/>
              </w:rPr>
            </w:pPr>
          </w:p>
        </w:tc>
        <w:tc>
          <w:tcPr>
            <w:tcW w:w="654" w:type="dxa"/>
            <w:tcBorders>
              <w:top w:val="nil"/>
              <w:left w:val="single" w:sz="12" w:space="0" w:color="000000"/>
              <w:bottom w:val="nil"/>
            </w:tcBorders>
          </w:tcPr>
          <w:p w:rsidR="00A63476" w:rsidRDefault="00D22874">
            <w:pPr>
              <w:pStyle w:val="TableParagraph"/>
              <w:spacing w:before="9"/>
              <w:ind w:left="125"/>
              <w:jc w:val="center"/>
              <w:rPr>
                <w:sz w:val="14"/>
              </w:rPr>
            </w:pPr>
            <w:r>
              <w:rPr>
                <w:sz w:val="14"/>
              </w:rPr>
              <w:t>O</w:t>
            </w:r>
          </w:p>
        </w:tc>
        <w:tc>
          <w:tcPr>
            <w:tcW w:w="654" w:type="dxa"/>
            <w:tcBorders>
              <w:top w:val="nil"/>
              <w:bottom w:val="nil"/>
            </w:tcBorders>
          </w:tcPr>
          <w:p w:rsidR="00A63476" w:rsidRDefault="00D22874">
            <w:pPr>
              <w:pStyle w:val="TableParagraph"/>
              <w:spacing w:before="9"/>
              <w:ind w:left="237"/>
              <w:rPr>
                <w:sz w:val="14"/>
              </w:rPr>
            </w:pPr>
            <w:r>
              <w:rPr>
                <w:sz w:val="14"/>
              </w:rPr>
              <w:t>CAB</w:t>
            </w:r>
          </w:p>
        </w:tc>
        <w:tc>
          <w:tcPr>
            <w:tcW w:w="526" w:type="dxa"/>
            <w:vMerge/>
            <w:tcBorders>
              <w:top w:val="nil"/>
            </w:tcBorders>
          </w:tcPr>
          <w:p w:rsidR="00A63476" w:rsidRDefault="00A63476">
            <w:pPr>
              <w:rPr>
                <w:sz w:val="2"/>
                <w:szCs w:val="2"/>
              </w:rPr>
            </w:pPr>
          </w:p>
        </w:tc>
        <w:tc>
          <w:tcPr>
            <w:tcW w:w="654" w:type="dxa"/>
            <w:tcBorders>
              <w:top w:val="nil"/>
              <w:bottom w:val="nil"/>
            </w:tcBorders>
          </w:tcPr>
          <w:p w:rsidR="00A63476" w:rsidRDefault="00D22874">
            <w:pPr>
              <w:pStyle w:val="TableParagraph"/>
              <w:spacing w:before="9"/>
              <w:ind w:left="177" w:right="41"/>
              <w:jc w:val="center"/>
              <w:rPr>
                <w:sz w:val="14"/>
              </w:rPr>
            </w:pPr>
            <w:r>
              <w:rPr>
                <w:sz w:val="14"/>
              </w:rPr>
              <w:t>U.</w:t>
            </w:r>
          </w:p>
        </w:tc>
      </w:tr>
      <w:tr w:rsidR="00A63476">
        <w:trPr>
          <w:trHeight w:val="225"/>
        </w:trPr>
        <w:tc>
          <w:tcPr>
            <w:tcW w:w="2445" w:type="dxa"/>
            <w:tcBorders>
              <w:top w:val="nil"/>
              <w:bottom w:val="nil"/>
            </w:tcBorders>
          </w:tcPr>
          <w:p w:rsidR="00A63476" w:rsidRDefault="00A63476">
            <w:pPr>
              <w:pStyle w:val="TableParagraph"/>
              <w:rPr>
                <w:rFonts w:ascii="Times New Roman"/>
                <w:sz w:val="16"/>
              </w:rPr>
            </w:pPr>
          </w:p>
        </w:tc>
        <w:tc>
          <w:tcPr>
            <w:tcW w:w="1547" w:type="dxa"/>
            <w:tcBorders>
              <w:top w:val="nil"/>
              <w:bottom w:val="nil"/>
              <w:right w:val="single" w:sz="12" w:space="0" w:color="000000"/>
            </w:tcBorders>
          </w:tcPr>
          <w:p w:rsidR="00A63476" w:rsidRDefault="00A63476">
            <w:pPr>
              <w:pStyle w:val="TableParagraph"/>
              <w:rPr>
                <w:rFonts w:ascii="Times New Roman"/>
                <w:sz w:val="16"/>
              </w:rPr>
            </w:pPr>
          </w:p>
        </w:tc>
        <w:tc>
          <w:tcPr>
            <w:tcW w:w="654" w:type="dxa"/>
            <w:tcBorders>
              <w:top w:val="nil"/>
              <w:left w:val="single" w:sz="12" w:space="0" w:color="000000"/>
              <w:bottom w:val="nil"/>
            </w:tcBorders>
          </w:tcPr>
          <w:p w:rsidR="00A63476" w:rsidRDefault="00D22874">
            <w:pPr>
              <w:pStyle w:val="TableParagraph"/>
              <w:spacing w:before="29"/>
              <w:ind w:left="183" w:right="40"/>
              <w:jc w:val="center"/>
              <w:rPr>
                <w:sz w:val="14"/>
              </w:rPr>
            </w:pPr>
            <w:r>
              <w:rPr>
                <w:sz w:val="14"/>
              </w:rPr>
              <w:t>HABI</w:t>
            </w:r>
          </w:p>
        </w:tc>
        <w:tc>
          <w:tcPr>
            <w:tcW w:w="654" w:type="dxa"/>
            <w:tcBorders>
              <w:top w:val="nil"/>
              <w:bottom w:val="nil"/>
            </w:tcBorders>
          </w:tcPr>
          <w:p w:rsidR="00A63476" w:rsidRDefault="00D22874">
            <w:pPr>
              <w:pStyle w:val="TableParagraph"/>
              <w:spacing w:before="29"/>
              <w:ind w:left="297"/>
              <w:rPr>
                <w:sz w:val="14"/>
              </w:rPr>
            </w:pPr>
            <w:r>
              <w:rPr>
                <w:sz w:val="14"/>
              </w:rPr>
              <w:t>LE</w:t>
            </w:r>
          </w:p>
        </w:tc>
        <w:tc>
          <w:tcPr>
            <w:tcW w:w="526" w:type="dxa"/>
            <w:vMerge/>
            <w:tcBorders>
              <w:top w:val="nil"/>
            </w:tcBorders>
          </w:tcPr>
          <w:p w:rsidR="00A63476" w:rsidRDefault="00A63476">
            <w:pPr>
              <w:rPr>
                <w:sz w:val="2"/>
                <w:szCs w:val="2"/>
              </w:rPr>
            </w:pPr>
          </w:p>
        </w:tc>
        <w:tc>
          <w:tcPr>
            <w:tcW w:w="654" w:type="dxa"/>
            <w:tcBorders>
              <w:top w:val="nil"/>
              <w:bottom w:val="nil"/>
            </w:tcBorders>
          </w:tcPr>
          <w:p w:rsidR="00A63476" w:rsidRDefault="00D22874">
            <w:pPr>
              <w:pStyle w:val="TableParagraph"/>
              <w:spacing w:before="29"/>
              <w:ind w:left="177" w:right="54"/>
              <w:jc w:val="center"/>
              <w:rPr>
                <w:sz w:val="14"/>
              </w:rPr>
            </w:pPr>
            <w:r>
              <w:rPr>
                <w:sz w:val="14"/>
              </w:rPr>
              <w:t>HABI</w:t>
            </w:r>
          </w:p>
        </w:tc>
      </w:tr>
      <w:tr w:rsidR="00A63476">
        <w:trPr>
          <w:trHeight w:val="225"/>
        </w:trPr>
        <w:tc>
          <w:tcPr>
            <w:tcW w:w="2445" w:type="dxa"/>
            <w:tcBorders>
              <w:top w:val="nil"/>
              <w:bottom w:val="nil"/>
            </w:tcBorders>
          </w:tcPr>
          <w:p w:rsidR="00A63476" w:rsidRDefault="00A63476">
            <w:pPr>
              <w:pStyle w:val="TableParagraph"/>
              <w:rPr>
                <w:rFonts w:ascii="Times New Roman"/>
                <w:sz w:val="16"/>
              </w:rPr>
            </w:pPr>
          </w:p>
        </w:tc>
        <w:tc>
          <w:tcPr>
            <w:tcW w:w="1547" w:type="dxa"/>
            <w:tcBorders>
              <w:top w:val="nil"/>
              <w:bottom w:val="nil"/>
              <w:right w:val="single" w:sz="12" w:space="0" w:color="000000"/>
            </w:tcBorders>
          </w:tcPr>
          <w:p w:rsidR="00A63476" w:rsidRDefault="00A63476">
            <w:pPr>
              <w:pStyle w:val="TableParagraph"/>
              <w:rPr>
                <w:rFonts w:ascii="Times New Roman"/>
                <w:sz w:val="16"/>
              </w:rPr>
            </w:pPr>
          </w:p>
        </w:tc>
        <w:tc>
          <w:tcPr>
            <w:tcW w:w="654" w:type="dxa"/>
            <w:tcBorders>
              <w:top w:val="nil"/>
              <w:left w:val="single" w:sz="12" w:space="0" w:color="000000"/>
              <w:bottom w:val="nil"/>
            </w:tcBorders>
          </w:tcPr>
          <w:p w:rsidR="00A63476" w:rsidRDefault="00D22874">
            <w:pPr>
              <w:pStyle w:val="TableParagraph"/>
              <w:spacing w:before="29"/>
              <w:ind w:left="174" w:right="49"/>
              <w:jc w:val="center"/>
              <w:rPr>
                <w:sz w:val="14"/>
              </w:rPr>
            </w:pPr>
            <w:r>
              <w:rPr>
                <w:sz w:val="14"/>
              </w:rPr>
              <w:t>TACI</w:t>
            </w:r>
          </w:p>
        </w:tc>
        <w:tc>
          <w:tcPr>
            <w:tcW w:w="654" w:type="dxa"/>
            <w:tcBorders>
              <w:top w:val="nil"/>
              <w:bottom w:val="nil"/>
            </w:tcBorders>
          </w:tcPr>
          <w:p w:rsidR="00A63476" w:rsidRDefault="00D22874">
            <w:pPr>
              <w:pStyle w:val="TableParagraph"/>
              <w:spacing w:before="29"/>
              <w:ind w:left="237"/>
              <w:rPr>
                <w:sz w:val="14"/>
              </w:rPr>
            </w:pPr>
            <w:r>
              <w:rPr>
                <w:sz w:val="14"/>
              </w:rPr>
              <w:t>RUR</w:t>
            </w:r>
          </w:p>
        </w:tc>
        <w:tc>
          <w:tcPr>
            <w:tcW w:w="526" w:type="dxa"/>
            <w:vMerge/>
            <w:tcBorders>
              <w:top w:val="nil"/>
            </w:tcBorders>
          </w:tcPr>
          <w:p w:rsidR="00A63476" w:rsidRDefault="00A63476">
            <w:pPr>
              <w:rPr>
                <w:sz w:val="2"/>
                <w:szCs w:val="2"/>
              </w:rPr>
            </w:pPr>
          </w:p>
        </w:tc>
        <w:tc>
          <w:tcPr>
            <w:tcW w:w="654" w:type="dxa"/>
            <w:tcBorders>
              <w:top w:val="nil"/>
              <w:bottom w:val="nil"/>
            </w:tcBorders>
          </w:tcPr>
          <w:p w:rsidR="00A63476" w:rsidRDefault="00D22874">
            <w:pPr>
              <w:pStyle w:val="TableParagraph"/>
              <w:spacing w:before="29"/>
              <w:ind w:left="176" w:right="71"/>
              <w:jc w:val="center"/>
              <w:rPr>
                <w:sz w:val="14"/>
              </w:rPr>
            </w:pPr>
            <w:r>
              <w:rPr>
                <w:sz w:val="14"/>
              </w:rPr>
              <w:t>TACI</w:t>
            </w:r>
          </w:p>
        </w:tc>
      </w:tr>
      <w:tr w:rsidR="00A63476">
        <w:trPr>
          <w:trHeight w:val="225"/>
        </w:trPr>
        <w:tc>
          <w:tcPr>
            <w:tcW w:w="2445" w:type="dxa"/>
            <w:tcBorders>
              <w:top w:val="nil"/>
              <w:bottom w:val="nil"/>
            </w:tcBorders>
          </w:tcPr>
          <w:p w:rsidR="00A63476" w:rsidRDefault="00A63476">
            <w:pPr>
              <w:pStyle w:val="TableParagraph"/>
              <w:rPr>
                <w:rFonts w:ascii="Times New Roman"/>
                <w:sz w:val="16"/>
              </w:rPr>
            </w:pPr>
          </w:p>
        </w:tc>
        <w:tc>
          <w:tcPr>
            <w:tcW w:w="1547" w:type="dxa"/>
            <w:tcBorders>
              <w:top w:val="nil"/>
              <w:bottom w:val="nil"/>
              <w:right w:val="single" w:sz="12" w:space="0" w:color="000000"/>
            </w:tcBorders>
          </w:tcPr>
          <w:p w:rsidR="00A63476" w:rsidRDefault="00A63476">
            <w:pPr>
              <w:pStyle w:val="TableParagraph"/>
              <w:rPr>
                <w:rFonts w:ascii="Times New Roman"/>
                <w:sz w:val="16"/>
              </w:rPr>
            </w:pPr>
          </w:p>
        </w:tc>
        <w:tc>
          <w:tcPr>
            <w:tcW w:w="654" w:type="dxa"/>
            <w:tcBorders>
              <w:top w:val="nil"/>
              <w:left w:val="single" w:sz="12" w:space="0" w:color="000000"/>
              <w:bottom w:val="nil"/>
            </w:tcBorders>
          </w:tcPr>
          <w:p w:rsidR="00A63476" w:rsidRDefault="00D22874">
            <w:pPr>
              <w:pStyle w:val="TableParagraph"/>
              <w:spacing w:before="29"/>
              <w:ind w:left="169" w:right="49"/>
              <w:jc w:val="center"/>
              <w:rPr>
                <w:sz w:val="14"/>
              </w:rPr>
            </w:pPr>
            <w:r>
              <w:rPr>
                <w:sz w:val="14"/>
              </w:rPr>
              <w:t>ONA</w:t>
            </w:r>
          </w:p>
        </w:tc>
        <w:tc>
          <w:tcPr>
            <w:tcW w:w="654" w:type="dxa"/>
            <w:tcBorders>
              <w:top w:val="nil"/>
              <w:bottom w:val="nil"/>
            </w:tcBorders>
          </w:tcPr>
          <w:p w:rsidR="00A63476" w:rsidRDefault="00D22874">
            <w:pPr>
              <w:pStyle w:val="TableParagraph"/>
              <w:spacing w:before="29"/>
              <w:ind w:left="217"/>
              <w:rPr>
                <w:sz w:val="14"/>
              </w:rPr>
            </w:pPr>
            <w:r>
              <w:rPr>
                <w:sz w:val="14"/>
              </w:rPr>
              <w:t>AL O</w:t>
            </w:r>
          </w:p>
        </w:tc>
        <w:tc>
          <w:tcPr>
            <w:tcW w:w="526" w:type="dxa"/>
            <w:vMerge/>
            <w:tcBorders>
              <w:top w:val="nil"/>
            </w:tcBorders>
          </w:tcPr>
          <w:p w:rsidR="00A63476" w:rsidRDefault="00A63476">
            <w:pPr>
              <w:rPr>
                <w:sz w:val="2"/>
                <w:szCs w:val="2"/>
              </w:rPr>
            </w:pPr>
          </w:p>
        </w:tc>
        <w:tc>
          <w:tcPr>
            <w:tcW w:w="654" w:type="dxa"/>
            <w:tcBorders>
              <w:top w:val="nil"/>
              <w:bottom w:val="nil"/>
            </w:tcBorders>
          </w:tcPr>
          <w:p w:rsidR="00A63476" w:rsidRDefault="00D22874">
            <w:pPr>
              <w:pStyle w:val="TableParagraph"/>
              <w:spacing w:before="29"/>
              <w:ind w:left="177" w:right="38"/>
              <w:jc w:val="center"/>
              <w:rPr>
                <w:sz w:val="14"/>
              </w:rPr>
            </w:pPr>
            <w:r>
              <w:rPr>
                <w:sz w:val="14"/>
              </w:rPr>
              <w:t>ONA</w:t>
            </w:r>
          </w:p>
        </w:tc>
      </w:tr>
      <w:tr w:rsidR="00A63476">
        <w:trPr>
          <w:trHeight w:val="225"/>
        </w:trPr>
        <w:tc>
          <w:tcPr>
            <w:tcW w:w="2445" w:type="dxa"/>
            <w:tcBorders>
              <w:top w:val="nil"/>
              <w:bottom w:val="nil"/>
            </w:tcBorders>
          </w:tcPr>
          <w:p w:rsidR="00A63476" w:rsidRDefault="00A63476">
            <w:pPr>
              <w:pStyle w:val="TableParagraph"/>
              <w:rPr>
                <w:rFonts w:ascii="Times New Roman"/>
                <w:sz w:val="16"/>
              </w:rPr>
            </w:pPr>
          </w:p>
        </w:tc>
        <w:tc>
          <w:tcPr>
            <w:tcW w:w="1547" w:type="dxa"/>
            <w:tcBorders>
              <w:top w:val="nil"/>
              <w:bottom w:val="nil"/>
              <w:right w:val="single" w:sz="12" w:space="0" w:color="000000"/>
            </w:tcBorders>
          </w:tcPr>
          <w:p w:rsidR="00A63476" w:rsidRDefault="00A63476">
            <w:pPr>
              <w:pStyle w:val="TableParagraph"/>
              <w:rPr>
                <w:rFonts w:ascii="Times New Roman"/>
                <w:sz w:val="16"/>
              </w:rPr>
            </w:pPr>
          </w:p>
        </w:tc>
        <w:tc>
          <w:tcPr>
            <w:tcW w:w="654" w:type="dxa"/>
            <w:tcBorders>
              <w:top w:val="nil"/>
              <w:left w:val="single" w:sz="12" w:space="0" w:color="000000"/>
              <w:bottom w:val="nil"/>
            </w:tcBorders>
          </w:tcPr>
          <w:p w:rsidR="00A63476" w:rsidRDefault="00D22874">
            <w:pPr>
              <w:pStyle w:val="TableParagraph"/>
              <w:spacing w:before="29"/>
              <w:ind w:left="134"/>
              <w:jc w:val="center"/>
              <w:rPr>
                <w:sz w:val="14"/>
              </w:rPr>
            </w:pPr>
            <w:r>
              <w:rPr>
                <w:sz w:val="14"/>
              </w:rPr>
              <w:t>L</w:t>
            </w:r>
          </w:p>
        </w:tc>
        <w:tc>
          <w:tcPr>
            <w:tcW w:w="654" w:type="dxa"/>
            <w:tcBorders>
              <w:top w:val="nil"/>
              <w:bottom w:val="nil"/>
            </w:tcBorders>
          </w:tcPr>
          <w:p w:rsidR="00A63476" w:rsidRDefault="00D22874">
            <w:pPr>
              <w:pStyle w:val="TableParagraph"/>
              <w:spacing w:before="29"/>
              <w:ind w:left="237"/>
              <w:rPr>
                <w:sz w:val="14"/>
              </w:rPr>
            </w:pPr>
            <w:r>
              <w:rPr>
                <w:sz w:val="14"/>
              </w:rPr>
              <w:t>URB</w:t>
            </w:r>
          </w:p>
        </w:tc>
        <w:tc>
          <w:tcPr>
            <w:tcW w:w="526" w:type="dxa"/>
            <w:vMerge/>
            <w:tcBorders>
              <w:top w:val="nil"/>
            </w:tcBorders>
          </w:tcPr>
          <w:p w:rsidR="00A63476" w:rsidRDefault="00A63476">
            <w:pPr>
              <w:rPr>
                <w:sz w:val="2"/>
                <w:szCs w:val="2"/>
              </w:rPr>
            </w:pPr>
          </w:p>
        </w:tc>
        <w:tc>
          <w:tcPr>
            <w:tcW w:w="654" w:type="dxa"/>
            <w:tcBorders>
              <w:top w:val="nil"/>
              <w:bottom w:val="nil"/>
            </w:tcBorders>
          </w:tcPr>
          <w:p w:rsidR="00A63476" w:rsidRDefault="00D22874">
            <w:pPr>
              <w:pStyle w:val="TableParagraph"/>
              <w:spacing w:before="29"/>
              <w:ind w:left="177" w:right="36"/>
              <w:jc w:val="center"/>
              <w:rPr>
                <w:sz w:val="14"/>
              </w:rPr>
            </w:pPr>
            <w:r>
              <w:rPr>
                <w:sz w:val="14"/>
              </w:rPr>
              <w:t>LES</w:t>
            </w:r>
          </w:p>
        </w:tc>
      </w:tr>
      <w:tr w:rsidR="00A63476">
        <w:trPr>
          <w:trHeight w:val="276"/>
        </w:trPr>
        <w:tc>
          <w:tcPr>
            <w:tcW w:w="2445" w:type="dxa"/>
            <w:tcBorders>
              <w:top w:val="nil"/>
            </w:tcBorders>
          </w:tcPr>
          <w:p w:rsidR="00A63476" w:rsidRDefault="00A63476">
            <w:pPr>
              <w:pStyle w:val="TableParagraph"/>
              <w:rPr>
                <w:rFonts w:ascii="Times New Roman"/>
                <w:sz w:val="16"/>
              </w:rPr>
            </w:pPr>
          </w:p>
        </w:tc>
        <w:tc>
          <w:tcPr>
            <w:tcW w:w="1547" w:type="dxa"/>
            <w:tcBorders>
              <w:top w:val="nil"/>
              <w:right w:val="single" w:sz="12" w:space="0" w:color="000000"/>
            </w:tcBorders>
          </w:tcPr>
          <w:p w:rsidR="00A63476" w:rsidRDefault="00A63476">
            <w:pPr>
              <w:pStyle w:val="TableParagraph"/>
              <w:rPr>
                <w:rFonts w:ascii="Times New Roman"/>
                <w:sz w:val="16"/>
              </w:rPr>
            </w:pPr>
          </w:p>
        </w:tc>
        <w:tc>
          <w:tcPr>
            <w:tcW w:w="654" w:type="dxa"/>
            <w:tcBorders>
              <w:top w:val="nil"/>
              <w:left w:val="single" w:sz="12" w:space="0" w:color="000000"/>
            </w:tcBorders>
          </w:tcPr>
          <w:p w:rsidR="00A63476" w:rsidRDefault="00A63476">
            <w:pPr>
              <w:pStyle w:val="TableParagraph"/>
              <w:rPr>
                <w:rFonts w:ascii="Times New Roman"/>
                <w:sz w:val="16"/>
              </w:rPr>
            </w:pPr>
          </w:p>
        </w:tc>
        <w:tc>
          <w:tcPr>
            <w:tcW w:w="654" w:type="dxa"/>
            <w:tcBorders>
              <w:top w:val="nil"/>
            </w:tcBorders>
          </w:tcPr>
          <w:p w:rsidR="00A63476" w:rsidRDefault="00D22874">
            <w:pPr>
              <w:pStyle w:val="TableParagraph"/>
              <w:spacing w:before="29"/>
              <w:ind w:left="237"/>
              <w:rPr>
                <w:sz w:val="14"/>
              </w:rPr>
            </w:pPr>
            <w:r>
              <w:rPr>
                <w:sz w:val="14"/>
              </w:rPr>
              <w:t>ANO</w:t>
            </w:r>
          </w:p>
        </w:tc>
        <w:tc>
          <w:tcPr>
            <w:tcW w:w="526" w:type="dxa"/>
            <w:vMerge/>
            <w:tcBorders>
              <w:top w:val="nil"/>
            </w:tcBorders>
          </w:tcPr>
          <w:p w:rsidR="00A63476" w:rsidRDefault="00A63476">
            <w:pPr>
              <w:rPr>
                <w:sz w:val="2"/>
                <w:szCs w:val="2"/>
              </w:rPr>
            </w:pPr>
          </w:p>
        </w:tc>
        <w:tc>
          <w:tcPr>
            <w:tcW w:w="654" w:type="dxa"/>
            <w:tcBorders>
              <w:top w:val="nil"/>
            </w:tcBorders>
          </w:tcPr>
          <w:p w:rsidR="00A63476" w:rsidRDefault="00A63476">
            <w:pPr>
              <w:pStyle w:val="TableParagraph"/>
              <w:rPr>
                <w:rFonts w:ascii="Times New Roman"/>
                <w:sz w:val="16"/>
              </w:rPr>
            </w:pPr>
          </w:p>
        </w:tc>
      </w:tr>
      <w:tr w:rsidR="00A63476">
        <w:trPr>
          <w:trHeight w:val="381"/>
        </w:trPr>
        <w:tc>
          <w:tcPr>
            <w:tcW w:w="2445" w:type="dxa"/>
          </w:tcPr>
          <w:p w:rsidR="00A63476" w:rsidRDefault="00D22874">
            <w:pPr>
              <w:pStyle w:val="TableParagraph"/>
              <w:spacing w:before="138"/>
              <w:ind w:left="83"/>
              <w:rPr>
                <w:sz w:val="14"/>
              </w:rPr>
            </w:pPr>
            <w:r>
              <w:rPr>
                <w:sz w:val="14"/>
              </w:rPr>
              <w:t>Adquisición de suelo</w:t>
            </w:r>
          </w:p>
        </w:tc>
        <w:tc>
          <w:tcPr>
            <w:tcW w:w="1547" w:type="dxa"/>
            <w:tcBorders>
              <w:right w:val="single" w:sz="12" w:space="0" w:color="000000"/>
            </w:tcBorders>
          </w:tcPr>
          <w:p w:rsidR="00A63476" w:rsidRDefault="00D22874">
            <w:pPr>
              <w:pStyle w:val="TableParagraph"/>
              <w:spacing w:before="138"/>
              <w:ind w:left="98" w:right="70"/>
              <w:jc w:val="center"/>
              <w:rPr>
                <w:sz w:val="14"/>
              </w:rPr>
            </w:pPr>
            <w:r>
              <w:rPr>
                <w:sz w:val="14"/>
              </w:rPr>
              <w:t>45</w:t>
            </w:r>
          </w:p>
        </w:tc>
        <w:tc>
          <w:tcPr>
            <w:tcW w:w="654" w:type="dxa"/>
            <w:tcBorders>
              <w:left w:val="single" w:sz="12" w:space="0" w:color="000000"/>
            </w:tcBorders>
            <w:shd w:val="clear" w:color="auto" w:fill="D9D9D9"/>
          </w:tcPr>
          <w:p w:rsidR="00A63476" w:rsidRDefault="00D22874">
            <w:pPr>
              <w:pStyle w:val="TableParagraph"/>
              <w:spacing w:before="138"/>
              <w:ind w:left="30"/>
              <w:jc w:val="center"/>
              <w:rPr>
                <w:sz w:val="14"/>
              </w:rPr>
            </w:pPr>
            <w:r>
              <w:rPr>
                <w:sz w:val="14"/>
              </w:rPr>
              <w:t>X</w:t>
            </w:r>
          </w:p>
        </w:tc>
        <w:tc>
          <w:tcPr>
            <w:tcW w:w="654" w:type="dxa"/>
          </w:tcPr>
          <w:p w:rsidR="00A63476" w:rsidRDefault="00A63476">
            <w:pPr>
              <w:pStyle w:val="TableParagraph"/>
              <w:rPr>
                <w:rFonts w:ascii="Times New Roman"/>
                <w:sz w:val="16"/>
              </w:rPr>
            </w:pPr>
          </w:p>
        </w:tc>
        <w:tc>
          <w:tcPr>
            <w:tcW w:w="526" w:type="dxa"/>
          </w:tcPr>
          <w:p w:rsidR="00A63476" w:rsidRDefault="00A63476">
            <w:pPr>
              <w:pStyle w:val="TableParagraph"/>
              <w:rPr>
                <w:rFonts w:ascii="Times New Roman"/>
                <w:sz w:val="16"/>
              </w:rPr>
            </w:pPr>
          </w:p>
        </w:tc>
        <w:tc>
          <w:tcPr>
            <w:tcW w:w="654" w:type="dxa"/>
            <w:tcBorders>
              <w:right w:val="single" w:sz="12" w:space="0" w:color="000000"/>
            </w:tcBorders>
          </w:tcPr>
          <w:p w:rsidR="00A63476" w:rsidRDefault="00A63476">
            <w:pPr>
              <w:pStyle w:val="TableParagraph"/>
              <w:rPr>
                <w:rFonts w:ascii="Times New Roman"/>
                <w:sz w:val="16"/>
              </w:rPr>
            </w:pPr>
          </w:p>
        </w:tc>
      </w:tr>
      <w:tr w:rsidR="00A63476">
        <w:trPr>
          <w:trHeight w:val="381"/>
        </w:trPr>
        <w:tc>
          <w:tcPr>
            <w:tcW w:w="2445" w:type="dxa"/>
          </w:tcPr>
          <w:p w:rsidR="00A63476" w:rsidRDefault="00D22874">
            <w:pPr>
              <w:pStyle w:val="TableParagraph"/>
              <w:spacing w:before="141"/>
              <w:ind w:left="83"/>
              <w:rPr>
                <w:sz w:val="14"/>
              </w:rPr>
            </w:pPr>
            <w:r>
              <w:rPr>
                <w:sz w:val="14"/>
              </w:rPr>
              <w:t>Adquisición de Vivienda Nueva</w:t>
            </w:r>
          </w:p>
        </w:tc>
        <w:tc>
          <w:tcPr>
            <w:tcW w:w="1547" w:type="dxa"/>
            <w:tcBorders>
              <w:right w:val="single" w:sz="12" w:space="0" w:color="000000"/>
            </w:tcBorders>
          </w:tcPr>
          <w:p w:rsidR="00A63476" w:rsidRDefault="00D22874">
            <w:pPr>
              <w:pStyle w:val="TableParagraph"/>
              <w:spacing w:before="141"/>
              <w:ind w:left="98" w:right="72"/>
              <w:jc w:val="center"/>
              <w:rPr>
                <w:sz w:val="14"/>
              </w:rPr>
            </w:pPr>
            <w:r>
              <w:rPr>
                <w:sz w:val="14"/>
              </w:rPr>
              <w:t>172</w:t>
            </w:r>
          </w:p>
        </w:tc>
        <w:tc>
          <w:tcPr>
            <w:tcW w:w="654" w:type="dxa"/>
            <w:tcBorders>
              <w:left w:val="single" w:sz="12" w:space="0" w:color="000000"/>
            </w:tcBorders>
          </w:tcPr>
          <w:p w:rsidR="00A63476" w:rsidRDefault="00A63476">
            <w:pPr>
              <w:pStyle w:val="TableParagraph"/>
              <w:rPr>
                <w:rFonts w:ascii="Times New Roman"/>
                <w:sz w:val="16"/>
              </w:rPr>
            </w:pPr>
          </w:p>
        </w:tc>
        <w:tc>
          <w:tcPr>
            <w:tcW w:w="654" w:type="dxa"/>
          </w:tcPr>
          <w:p w:rsidR="00A63476" w:rsidRDefault="00A63476">
            <w:pPr>
              <w:pStyle w:val="TableParagraph"/>
              <w:rPr>
                <w:rFonts w:ascii="Times New Roman"/>
                <w:sz w:val="16"/>
              </w:rPr>
            </w:pPr>
          </w:p>
        </w:tc>
        <w:tc>
          <w:tcPr>
            <w:tcW w:w="526" w:type="dxa"/>
            <w:shd w:val="clear" w:color="auto" w:fill="D9D9D9"/>
          </w:tcPr>
          <w:p w:rsidR="00A63476" w:rsidRDefault="00D22874">
            <w:pPr>
              <w:pStyle w:val="TableParagraph"/>
              <w:spacing w:before="141"/>
              <w:ind w:left="29"/>
              <w:jc w:val="center"/>
              <w:rPr>
                <w:sz w:val="14"/>
              </w:rPr>
            </w:pPr>
            <w:r>
              <w:rPr>
                <w:sz w:val="14"/>
              </w:rPr>
              <w:t>X</w:t>
            </w:r>
          </w:p>
        </w:tc>
        <w:tc>
          <w:tcPr>
            <w:tcW w:w="654" w:type="dxa"/>
            <w:tcBorders>
              <w:right w:val="single" w:sz="12" w:space="0" w:color="000000"/>
            </w:tcBorders>
          </w:tcPr>
          <w:p w:rsidR="00A63476" w:rsidRDefault="00A63476">
            <w:pPr>
              <w:pStyle w:val="TableParagraph"/>
              <w:rPr>
                <w:rFonts w:ascii="Times New Roman"/>
                <w:sz w:val="16"/>
              </w:rPr>
            </w:pPr>
          </w:p>
        </w:tc>
      </w:tr>
      <w:tr w:rsidR="00A63476">
        <w:trPr>
          <w:trHeight w:val="381"/>
        </w:trPr>
        <w:tc>
          <w:tcPr>
            <w:tcW w:w="2445" w:type="dxa"/>
          </w:tcPr>
          <w:p w:rsidR="00A63476" w:rsidRDefault="00A63476">
            <w:pPr>
              <w:pStyle w:val="TableParagraph"/>
              <w:spacing w:before="7"/>
              <w:rPr>
                <w:b/>
                <w:sz w:val="12"/>
              </w:rPr>
            </w:pPr>
          </w:p>
          <w:p w:rsidR="00A63476" w:rsidRDefault="00D22874">
            <w:pPr>
              <w:pStyle w:val="TableParagraph"/>
              <w:ind w:left="83"/>
              <w:rPr>
                <w:sz w:val="14"/>
              </w:rPr>
            </w:pPr>
            <w:r>
              <w:rPr>
                <w:sz w:val="14"/>
              </w:rPr>
              <w:t>Adquisición de Vivienda Usada</w:t>
            </w:r>
          </w:p>
        </w:tc>
        <w:tc>
          <w:tcPr>
            <w:tcW w:w="1547" w:type="dxa"/>
            <w:tcBorders>
              <w:right w:val="single" w:sz="12" w:space="0" w:color="000000"/>
            </w:tcBorders>
          </w:tcPr>
          <w:p w:rsidR="00A63476" w:rsidRDefault="00A63476">
            <w:pPr>
              <w:pStyle w:val="TableParagraph"/>
              <w:spacing w:before="7"/>
              <w:rPr>
                <w:b/>
                <w:sz w:val="12"/>
              </w:rPr>
            </w:pPr>
          </w:p>
          <w:p w:rsidR="00A63476" w:rsidRDefault="00D22874">
            <w:pPr>
              <w:pStyle w:val="TableParagraph"/>
              <w:ind w:left="98" w:right="72"/>
              <w:jc w:val="center"/>
              <w:rPr>
                <w:sz w:val="14"/>
              </w:rPr>
            </w:pPr>
            <w:r>
              <w:rPr>
                <w:sz w:val="14"/>
              </w:rPr>
              <w:t>143</w:t>
            </w:r>
          </w:p>
        </w:tc>
        <w:tc>
          <w:tcPr>
            <w:tcW w:w="654" w:type="dxa"/>
            <w:tcBorders>
              <w:left w:val="single" w:sz="12" w:space="0" w:color="000000"/>
            </w:tcBorders>
          </w:tcPr>
          <w:p w:rsidR="00A63476" w:rsidRDefault="00A63476">
            <w:pPr>
              <w:pStyle w:val="TableParagraph"/>
              <w:rPr>
                <w:rFonts w:ascii="Times New Roman"/>
                <w:sz w:val="16"/>
              </w:rPr>
            </w:pPr>
          </w:p>
        </w:tc>
        <w:tc>
          <w:tcPr>
            <w:tcW w:w="654" w:type="dxa"/>
          </w:tcPr>
          <w:p w:rsidR="00A63476" w:rsidRDefault="00A63476">
            <w:pPr>
              <w:pStyle w:val="TableParagraph"/>
              <w:rPr>
                <w:rFonts w:ascii="Times New Roman"/>
                <w:sz w:val="16"/>
              </w:rPr>
            </w:pPr>
          </w:p>
        </w:tc>
        <w:tc>
          <w:tcPr>
            <w:tcW w:w="526" w:type="dxa"/>
            <w:shd w:val="clear" w:color="auto" w:fill="D9D9D9"/>
          </w:tcPr>
          <w:p w:rsidR="00A63476" w:rsidRDefault="00A63476">
            <w:pPr>
              <w:pStyle w:val="TableParagraph"/>
              <w:spacing w:before="7"/>
              <w:rPr>
                <w:b/>
                <w:sz w:val="12"/>
              </w:rPr>
            </w:pPr>
          </w:p>
          <w:p w:rsidR="00A63476" w:rsidRDefault="00D22874">
            <w:pPr>
              <w:pStyle w:val="TableParagraph"/>
              <w:ind w:left="29"/>
              <w:jc w:val="center"/>
              <w:rPr>
                <w:sz w:val="14"/>
              </w:rPr>
            </w:pPr>
            <w:r>
              <w:rPr>
                <w:sz w:val="14"/>
              </w:rPr>
              <w:t>X</w:t>
            </w:r>
          </w:p>
        </w:tc>
        <w:tc>
          <w:tcPr>
            <w:tcW w:w="654" w:type="dxa"/>
            <w:tcBorders>
              <w:right w:val="single" w:sz="12" w:space="0" w:color="000000"/>
            </w:tcBorders>
          </w:tcPr>
          <w:p w:rsidR="00A63476" w:rsidRDefault="00A63476">
            <w:pPr>
              <w:pStyle w:val="TableParagraph"/>
              <w:rPr>
                <w:rFonts w:ascii="Times New Roman"/>
                <w:sz w:val="16"/>
              </w:rPr>
            </w:pPr>
          </w:p>
        </w:tc>
      </w:tr>
    </w:tbl>
    <w:p w:rsidR="00A63476" w:rsidRDefault="00A63476">
      <w:pPr>
        <w:rPr>
          <w:rFonts w:ascii="Times New Roman"/>
          <w:sz w:val="16"/>
        </w:rPr>
        <w:sectPr w:rsidR="00A63476">
          <w:pgSz w:w="12240" w:h="15840"/>
          <w:pgMar w:top="920" w:right="1040" w:bottom="280" w:left="1180" w:header="700" w:footer="0" w:gutter="0"/>
          <w:cols w:space="720"/>
        </w:sectPr>
      </w:pPr>
    </w:p>
    <w:p w:rsidR="00A63476" w:rsidRDefault="00A63476">
      <w:pPr>
        <w:pStyle w:val="Textoindependiente"/>
        <w:ind w:left="0" w:right="0" w:firstLine="0"/>
        <w:jc w:val="left"/>
        <w:rPr>
          <w:b/>
          <w:sz w:val="19"/>
        </w:rPr>
      </w:pPr>
    </w:p>
    <w:tbl>
      <w:tblPr>
        <w:tblStyle w:val="TableNormal"/>
        <w:tblW w:w="0" w:type="auto"/>
        <w:tblInd w:w="1703" w:type="dxa"/>
        <w:tblBorders>
          <w:top w:val="single" w:sz="6" w:space="0" w:color="404040"/>
          <w:left w:val="single" w:sz="6" w:space="0" w:color="404040"/>
          <w:bottom w:val="single" w:sz="6" w:space="0" w:color="404040"/>
          <w:right w:val="single" w:sz="6" w:space="0" w:color="404040"/>
          <w:insideH w:val="single" w:sz="6" w:space="0" w:color="404040"/>
          <w:insideV w:val="single" w:sz="6" w:space="0" w:color="404040"/>
        </w:tblBorders>
        <w:tblLayout w:type="fixed"/>
        <w:tblLook w:val="01E0" w:firstRow="1" w:lastRow="1" w:firstColumn="1" w:lastColumn="1" w:noHBand="0" w:noVBand="0"/>
      </w:tblPr>
      <w:tblGrid>
        <w:gridCol w:w="2445"/>
        <w:gridCol w:w="1547"/>
        <w:gridCol w:w="654"/>
        <w:gridCol w:w="654"/>
        <w:gridCol w:w="526"/>
        <w:gridCol w:w="654"/>
      </w:tblGrid>
      <w:tr w:rsidR="00A63476">
        <w:trPr>
          <w:trHeight w:val="381"/>
        </w:trPr>
        <w:tc>
          <w:tcPr>
            <w:tcW w:w="2445" w:type="dxa"/>
          </w:tcPr>
          <w:p w:rsidR="00A63476" w:rsidRDefault="00D22874">
            <w:pPr>
              <w:pStyle w:val="TableParagraph"/>
              <w:spacing w:before="141"/>
              <w:ind w:left="83"/>
              <w:rPr>
                <w:sz w:val="14"/>
              </w:rPr>
            </w:pPr>
            <w:r>
              <w:rPr>
                <w:sz w:val="14"/>
              </w:rPr>
              <w:t>Estudios y Proyectos</w:t>
            </w:r>
          </w:p>
        </w:tc>
        <w:tc>
          <w:tcPr>
            <w:tcW w:w="1547" w:type="dxa"/>
            <w:tcBorders>
              <w:right w:val="single" w:sz="12" w:space="0" w:color="000000"/>
            </w:tcBorders>
          </w:tcPr>
          <w:p w:rsidR="00A63476" w:rsidRDefault="00D22874">
            <w:pPr>
              <w:pStyle w:val="TableParagraph"/>
              <w:spacing w:before="141"/>
              <w:ind w:left="678"/>
              <w:rPr>
                <w:sz w:val="14"/>
              </w:rPr>
            </w:pPr>
            <w:r>
              <w:rPr>
                <w:sz w:val="14"/>
              </w:rPr>
              <w:t>3.5</w:t>
            </w:r>
          </w:p>
        </w:tc>
        <w:tc>
          <w:tcPr>
            <w:tcW w:w="654" w:type="dxa"/>
            <w:tcBorders>
              <w:left w:val="single" w:sz="12" w:space="0" w:color="000000"/>
            </w:tcBorders>
            <w:shd w:val="clear" w:color="auto" w:fill="D9D9D9"/>
          </w:tcPr>
          <w:p w:rsidR="00A63476" w:rsidRDefault="00D22874">
            <w:pPr>
              <w:pStyle w:val="TableParagraph"/>
              <w:spacing w:before="141"/>
              <w:ind w:right="251"/>
              <w:jc w:val="right"/>
              <w:rPr>
                <w:sz w:val="14"/>
              </w:rPr>
            </w:pPr>
            <w:r>
              <w:rPr>
                <w:sz w:val="14"/>
              </w:rPr>
              <w:t>X</w:t>
            </w:r>
          </w:p>
        </w:tc>
        <w:tc>
          <w:tcPr>
            <w:tcW w:w="654" w:type="dxa"/>
          </w:tcPr>
          <w:p w:rsidR="00A63476" w:rsidRDefault="00A63476">
            <w:pPr>
              <w:pStyle w:val="TableParagraph"/>
              <w:rPr>
                <w:rFonts w:ascii="Times New Roman"/>
                <w:sz w:val="16"/>
              </w:rPr>
            </w:pPr>
          </w:p>
        </w:tc>
        <w:tc>
          <w:tcPr>
            <w:tcW w:w="526" w:type="dxa"/>
          </w:tcPr>
          <w:p w:rsidR="00A63476" w:rsidRDefault="00A63476">
            <w:pPr>
              <w:pStyle w:val="TableParagraph"/>
              <w:rPr>
                <w:rFonts w:ascii="Times New Roman"/>
                <w:sz w:val="16"/>
              </w:rPr>
            </w:pPr>
          </w:p>
        </w:tc>
        <w:tc>
          <w:tcPr>
            <w:tcW w:w="654" w:type="dxa"/>
            <w:tcBorders>
              <w:right w:val="single" w:sz="12" w:space="0" w:color="000000"/>
            </w:tcBorders>
          </w:tcPr>
          <w:p w:rsidR="00A63476" w:rsidRDefault="00A63476">
            <w:pPr>
              <w:pStyle w:val="TableParagraph"/>
              <w:rPr>
                <w:rFonts w:ascii="Times New Roman"/>
                <w:sz w:val="16"/>
              </w:rPr>
            </w:pPr>
          </w:p>
        </w:tc>
      </w:tr>
      <w:tr w:rsidR="00A63476">
        <w:trPr>
          <w:trHeight w:val="381"/>
        </w:trPr>
        <w:tc>
          <w:tcPr>
            <w:tcW w:w="2445" w:type="dxa"/>
          </w:tcPr>
          <w:p w:rsidR="00A63476" w:rsidRDefault="00A63476">
            <w:pPr>
              <w:pStyle w:val="TableParagraph"/>
              <w:spacing w:before="7"/>
              <w:rPr>
                <w:b/>
                <w:sz w:val="12"/>
              </w:rPr>
            </w:pPr>
          </w:p>
          <w:p w:rsidR="00A63476" w:rsidRDefault="00D22874">
            <w:pPr>
              <w:pStyle w:val="TableParagraph"/>
              <w:ind w:left="83"/>
              <w:rPr>
                <w:sz w:val="14"/>
              </w:rPr>
            </w:pPr>
            <w:r>
              <w:rPr>
                <w:sz w:val="14"/>
              </w:rPr>
              <w:t>Demolición</w:t>
            </w:r>
          </w:p>
        </w:tc>
        <w:tc>
          <w:tcPr>
            <w:tcW w:w="1547" w:type="dxa"/>
            <w:tcBorders>
              <w:right w:val="single" w:sz="12" w:space="0" w:color="000000"/>
            </w:tcBorders>
          </w:tcPr>
          <w:p w:rsidR="00A63476" w:rsidRDefault="00A63476">
            <w:pPr>
              <w:pStyle w:val="TableParagraph"/>
              <w:spacing w:before="7"/>
              <w:rPr>
                <w:b/>
                <w:sz w:val="12"/>
              </w:rPr>
            </w:pPr>
          </w:p>
          <w:p w:rsidR="00A63476" w:rsidRDefault="00D22874">
            <w:pPr>
              <w:pStyle w:val="TableParagraph"/>
              <w:ind w:left="738"/>
              <w:rPr>
                <w:sz w:val="14"/>
              </w:rPr>
            </w:pPr>
            <w:r>
              <w:rPr>
                <w:sz w:val="14"/>
              </w:rPr>
              <w:t>6</w:t>
            </w:r>
          </w:p>
        </w:tc>
        <w:tc>
          <w:tcPr>
            <w:tcW w:w="654" w:type="dxa"/>
            <w:tcBorders>
              <w:left w:val="single" w:sz="12" w:space="0" w:color="000000"/>
            </w:tcBorders>
            <w:shd w:val="clear" w:color="auto" w:fill="D9D9D9"/>
          </w:tcPr>
          <w:p w:rsidR="00A63476" w:rsidRDefault="00A63476">
            <w:pPr>
              <w:pStyle w:val="TableParagraph"/>
              <w:spacing w:before="7"/>
              <w:rPr>
                <w:b/>
                <w:sz w:val="12"/>
              </w:rPr>
            </w:pPr>
          </w:p>
          <w:p w:rsidR="00A63476" w:rsidRDefault="00D22874">
            <w:pPr>
              <w:pStyle w:val="TableParagraph"/>
              <w:ind w:right="251"/>
              <w:jc w:val="right"/>
              <w:rPr>
                <w:sz w:val="14"/>
              </w:rPr>
            </w:pPr>
            <w:r>
              <w:rPr>
                <w:sz w:val="14"/>
              </w:rPr>
              <w:t>X</w:t>
            </w:r>
          </w:p>
        </w:tc>
        <w:tc>
          <w:tcPr>
            <w:tcW w:w="654" w:type="dxa"/>
          </w:tcPr>
          <w:p w:rsidR="00A63476" w:rsidRDefault="00A63476">
            <w:pPr>
              <w:pStyle w:val="TableParagraph"/>
              <w:rPr>
                <w:rFonts w:ascii="Times New Roman"/>
                <w:sz w:val="16"/>
              </w:rPr>
            </w:pPr>
          </w:p>
        </w:tc>
        <w:tc>
          <w:tcPr>
            <w:tcW w:w="526" w:type="dxa"/>
          </w:tcPr>
          <w:p w:rsidR="00A63476" w:rsidRDefault="00A63476">
            <w:pPr>
              <w:pStyle w:val="TableParagraph"/>
              <w:rPr>
                <w:rFonts w:ascii="Times New Roman"/>
                <w:sz w:val="16"/>
              </w:rPr>
            </w:pPr>
          </w:p>
        </w:tc>
        <w:tc>
          <w:tcPr>
            <w:tcW w:w="654" w:type="dxa"/>
            <w:tcBorders>
              <w:right w:val="single" w:sz="12" w:space="0" w:color="000000"/>
            </w:tcBorders>
          </w:tcPr>
          <w:p w:rsidR="00A63476" w:rsidRDefault="00A63476">
            <w:pPr>
              <w:pStyle w:val="TableParagraph"/>
              <w:rPr>
                <w:rFonts w:ascii="Times New Roman"/>
                <w:sz w:val="16"/>
              </w:rPr>
            </w:pPr>
          </w:p>
        </w:tc>
      </w:tr>
      <w:tr w:rsidR="00A63476">
        <w:trPr>
          <w:trHeight w:val="381"/>
        </w:trPr>
        <w:tc>
          <w:tcPr>
            <w:tcW w:w="2445" w:type="dxa"/>
          </w:tcPr>
          <w:p w:rsidR="00A63476" w:rsidRDefault="00A63476">
            <w:pPr>
              <w:pStyle w:val="TableParagraph"/>
              <w:spacing w:before="10"/>
              <w:rPr>
                <w:b/>
                <w:sz w:val="12"/>
              </w:rPr>
            </w:pPr>
          </w:p>
          <w:p w:rsidR="00A63476" w:rsidRDefault="00D22874">
            <w:pPr>
              <w:pStyle w:val="TableParagraph"/>
              <w:ind w:left="83"/>
              <w:rPr>
                <w:sz w:val="14"/>
              </w:rPr>
            </w:pPr>
            <w:r>
              <w:rPr>
                <w:sz w:val="14"/>
              </w:rPr>
              <w:t>Edificación</w:t>
            </w:r>
          </w:p>
        </w:tc>
        <w:tc>
          <w:tcPr>
            <w:tcW w:w="1547" w:type="dxa"/>
            <w:tcBorders>
              <w:right w:val="single" w:sz="12" w:space="0" w:color="000000"/>
            </w:tcBorders>
          </w:tcPr>
          <w:p w:rsidR="00A63476" w:rsidRDefault="00A63476">
            <w:pPr>
              <w:pStyle w:val="TableParagraph"/>
              <w:spacing w:before="10"/>
              <w:rPr>
                <w:b/>
                <w:sz w:val="12"/>
              </w:rPr>
            </w:pPr>
          </w:p>
          <w:p w:rsidR="00A63476" w:rsidRDefault="00D22874">
            <w:pPr>
              <w:pStyle w:val="TableParagraph"/>
              <w:ind w:left="658"/>
              <w:rPr>
                <w:sz w:val="14"/>
              </w:rPr>
            </w:pPr>
            <w:r>
              <w:rPr>
                <w:sz w:val="14"/>
              </w:rPr>
              <w:t>113</w:t>
            </w:r>
          </w:p>
        </w:tc>
        <w:tc>
          <w:tcPr>
            <w:tcW w:w="654" w:type="dxa"/>
            <w:tcBorders>
              <w:left w:val="single" w:sz="12" w:space="0" w:color="000000"/>
            </w:tcBorders>
            <w:shd w:val="clear" w:color="auto" w:fill="D9D9D9"/>
          </w:tcPr>
          <w:p w:rsidR="00A63476" w:rsidRDefault="00A63476">
            <w:pPr>
              <w:pStyle w:val="TableParagraph"/>
              <w:spacing w:before="10"/>
              <w:rPr>
                <w:b/>
                <w:sz w:val="12"/>
              </w:rPr>
            </w:pPr>
          </w:p>
          <w:p w:rsidR="00A63476" w:rsidRDefault="00D22874">
            <w:pPr>
              <w:pStyle w:val="TableParagraph"/>
              <w:ind w:right="251"/>
              <w:jc w:val="right"/>
              <w:rPr>
                <w:sz w:val="14"/>
              </w:rPr>
            </w:pPr>
            <w:r>
              <w:rPr>
                <w:sz w:val="14"/>
              </w:rPr>
              <w:t>X</w:t>
            </w:r>
          </w:p>
        </w:tc>
        <w:tc>
          <w:tcPr>
            <w:tcW w:w="654" w:type="dxa"/>
          </w:tcPr>
          <w:p w:rsidR="00A63476" w:rsidRDefault="00A63476">
            <w:pPr>
              <w:pStyle w:val="TableParagraph"/>
              <w:rPr>
                <w:rFonts w:ascii="Times New Roman"/>
                <w:sz w:val="16"/>
              </w:rPr>
            </w:pPr>
          </w:p>
        </w:tc>
        <w:tc>
          <w:tcPr>
            <w:tcW w:w="526" w:type="dxa"/>
          </w:tcPr>
          <w:p w:rsidR="00A63476" w:rsidRDefault="00A63476">
            <w:pPr>
              <w:pStyle w:val="TableParagraph"/>
              <w:rPr>
                <w:rFonts w:ascii="Times New Roman"/>
                <w:sz w:val="16"/>
              </w:rPr>
            </w:pPr>
          </w:p>
        </w:tc>
        <w:tc>
          <w:tcPr>
            <w:tcW w:w="654" w:type="dxa"/>
            <w:tcBorders>
              <w:right w:val="single" w:sz="12" w:space="0" w:color="000000"/>
            </w:tcBorders>
          </w:tcPr>
          <w:p w:rsidR="00A63476" w:rsidRDefault="00A63476">
            <w:pPr>
              <w:pStyle w:val="TableParagraph"/>
              <w:rPr>
                <w:rFonts w:ascii="Times New Roman"/>
                <w:sz w:val="16"/>
              </w:rPr>
            </w:pPr>
          </w:p>
        </w:tc>
      </w:tr>
      <w:tr w:rsidR="00A63476">
        <w:trPr>
          <w:trHeight w:val="381"/>
        </w:trPr>
        <w:tc>
          <w:tcPr>
            <w:tcW w:w="2445" w:type="dxa"/>
          </w:tcPr>
          <w:p w:rsidR="00A63476" w:rsidRDefault="00D22874">
            <w:pPr>
              <w:pStyle w:val="TableParagraph"/>
              <w:spacing w:before="131"/>
              <w:ind w:left="83"/>
              <w:rPr>
                <w:sz w:val="14"/>
              </w:rPr>
            </w:pPr>
            <w:r>
              <w:rPr>
                <w:sz w:val="14"/>
              </w:rPr>
              <w:t>Obra de Alcance Mayor</w:t>
            </w:r>
          </w:p>
        </w:tc>
        <w:tc>
          <w:tcPr>
            <w:tcW w:w="1547" w:type="dxa"/>
            <w:tcBorders>
              <w:right w:val="single" w:sz="12" w:space="0" w:color="000000"/>
            </w:tcBorders>
          </w:tcPr>
          <w:p w:rsidR="00A63476" w:rsidRDefault="00D22874">
            <w:pPr>
              <w:pStyle w:val="TableParagraph"/>
              <w:spacing w:before="131"/>
              <w:ind w:left="698"/>
              <w:rPr>
                <w:sz w:val="14"/>
              </w:rPr>
            </w:pPr>
            <w:r>
              <w:rPr>
                <w:sz w:val="14"/>
              </w:rPr>
              <w:t>13</w:t>
            </w:r>
          </w:p>
        </w:tc>
        <w:tc>
          <w:tcPr>
            <w:tcW w:w="654" w:type="dxa"/>
            <w:tcBorders>
              <w:left w:val="single" w:sz="12" w:space="0" w:color="000000"/>
            </w:tcBorders>
            <w:shd w:val="clear" w:color="auto" w:fill="D9D9D9"/>
          </w:tcPr>
          <w:p w:rsidR="00A63476" w:rsidRDefault="00D22874">
            <w:pPr>
              <w:pStyle w:val="TableParagraph"/>
              <w:spacing w:before="131"/>
              <w:ind w:right="251"/>
              <w:jc w:val="right"/>
              <w:rPr>
                <w:sz w:val="14"/>
              </w:rPr>
            </w:pPr>
            <w:r>
              <w:rPr>
                <w:sz w:val="14"/>
              </w:rPr>
              <w:t>X</w:t>
            </w:r>
          </w:p>
        </w:tc>
        <w:tc>
          <w:tcPr>
            <w:tcW w:w="654" w:type="dxa"/>
          </w:tcPr>
          <w:p w:rsidR="00A63476" w:rsidRDefault="00A63476">
            <w:pPr>
              <w:pStyle w:val="TableParagraph"/>
              <w:rPr>
                <w:rFonts w:ascii="Times New Roman"/>
                <w:sz w:val="16"/>
              </w:rPr>
            </w:pPr>
          </w:p>
        </w:tc>
        <w:tc>
          <w:tcPr>
            <w:tcW w:w="526" w:type="dxa"/>
          </w:tcPr>
          <w:p w:rsidR="00A63476" w:rsidRDefault="00A63476">
            <w:pPr>
              <w:pStyle w:val="TableParagraph"/>
              <w:rPr>
                <w:rFonts w:ascii="Times New Roman"/>
                <w:sz w:val="16"/>
              </w:rPr>
            </w:pPr>
          </w:p>
        </w:tc>
        <w:tc>
          <w:tcPr>
            <w:tcW w:w="654" w:type="dxa"/>
            <w:tcBorders>
              <w:right w:val="single" w:sz="12" w:space="0" w:color="000000"/>
            </w:tcBorders>
          </w:tcPr>
          <w:p w:rsidR="00A63476" w:rsidRDefault="00A63476">
            <w:pPr>
              <w:pStyle w:val="TableParagraph"/>
              <w:rPr>
                <w:rFonts w:ascii="Times New Roman"/>
                <w:sz w:val="16"/>
              </w:rPr>
            </w:pPr>
          </w:p>
        </w:tc>
      </w:tr>
      <w:tr w:rsidR="00A63476">
        <w:trPr>
          <w:trHeight w:val="381"/>
        </w:trPr>
        <w:tc>
          <w:tcPr>
            <w:tcW w:w="2445" w:type="dxa"/>
          </w:tcPr>
          <w:p w:rsidR="00A63476" w:rsidRDefault="00D22874">
            <w:pPr>
              <w:pStyle w:val="TableParagraph"/>
              <w:spacing w:before="135"/>
              <w:ind w:left="83"/>
              <w:rPr>
                <w:sz w:val="14"/>
              </w:rPr>
            </w:pPr>
            <w:r>
              <w:rPr>
                <w:sz w:val="14"/>
              </w:rPr>
              <w:t>Ampliación de Vivienda</w:t>
            </w:r>
          </w:p>
        </w:tc>
        <w:tc>
          <w:tcPr>
            <w:tcW w:w="1547" w:type="dxa"/>
            <w:tcBorders>
              <w:right w:val="single" w:sz="12" w:space="0" w:color="000000"/>
            </w:tcBorders>
          </w:tcPr>
          <w:p w:rsidR="00A63476" w:rsidRDefault="00D22874">
            <w:pPr>
              <w:pStyle w:val="TableParagraph"/>
              <w:spacing w:before="135"/>
              <w:ind w:left="698"/>
              <w:rPr>
                <w:sz w:val="14"/>
              </w:rPr>
            </w:pPr>
            <w:r>
              <w:rPr>
                <w:sz w:val="14"/>
              </w:rPr>
              <w:t>50</w:t>
            </w:r>
          </w:p>
        </w:tc>
        <w:tc>
          <w:tcPr>
            <w:tcW w:w="654" w:type="dxa"/>
            <w:tcBorders>
              <w:left w:val="single" w:sz="12" w:space="0" w:color="000000"/>
            </w:tcBorders>
          </w:tcPr>
          <w:p w:rsidR="00A63476" w:rsidRDefault="00A63476">
            <w:pPr>
              <w:pStyle w:val="TableParagraph"/>
              <w:rPr>
                <w:rFonts w:ascii="Times New Roman"/>
                <w:sz w:val="16"/>
              </w:rPr>
            </w:pPr>
          </w:p>
        </w:tc>
        <w:tc>
          <w:tcPr>
            <w:tcW w:w="654" w:type="dxa"/>
            <w:shd w:val="clear" w:color="auto" w:fill="D9D9D9"/>
          </w:tcPr>
          <w:p w:rsidR="00A63476" w:rsidRDefault="00D22874">
            <w:pPr>
              <w:pStyle w:val="TableParagraph"/>
              <w:spacing w:before="135"/>
              <w:ind w:right="265"/>
              <w:jc w:val="right"/>
              <w:rPr>
                <w:sz w:val="14"/>
              </w:rPr>
            </w:pPr>
            <w:r>
              <w:rPr>
                <w:sz w:val="14"/>
              </w:rPr>
              <w:t>X</w:t>
            </w:r>
          </w:p>
        </w:tc>
        <w:tc>
          <w:tcPr>
            <w:tcW w:w="526" w:type="dxa"/>
          </w:tcPr>
          <w:p w:rsidR="00A63476" w:rsidRDefault="00A63476">
            <w:pPr>
              <w:pStyle w:val="TableParagraph"/>
              <w:rPr>
                <w:rFonts w:ascii="Times New Roman"/>
                <w:sz w:val="16"/>
              </w:rPr>
            </w:pPr>
          </w:p>
        </w:tc>
        <w:tc>
          <w:tcPr>
            <w:tcW w:w="654" w:type="dxa"/>
            <w:tcBorders>
              <w:right w:val="single" w:sz="12" w:space="0" w:color="000000"/>
            </w:tcBorders>
          </w:tcPr>
          <w:p w:rsidR="00A63476" w:rsidRDefault="00A63476">
            <w:pPr>
              <w:pStyle w:val="TableParagraph"/>
              <w:rPr>
                <w:rFonts w:ascii="Times New Roman"/>
                <w:sz w:val="16"/>
              </w:rPr>
            </w:pPr>
          </w:p>
        </w:tc>
      </w:tr>
      <w:tr w:rsidR="00A63476">
        <w:trPr>
          <w:trHeight w:val="381"/>
        </w:trPr>
        <w:tc>
          <w:tcPr>
            <w:tcW w:w="2445" w:type="dxa"/>
          </w:tcPr>
          <w:p w:rsidR="00A63476" w:rsidRDefault="00D22874">
            <w:pPr>
              <w:pStyle w:val="TableParagraph"/>
              <w:spacing w:before="138"/>
              <w:ind w:left="83"/>
              <w:rPr>
                <w:sz w:val="14"/>
              </w:rPr>
            </w:pPr>
            <w:r>
              <w:rPr>
                <w:sz w:val="14"/>
              </w:rPr>
              <w:t>Mejoramiento de vivienda</w:t>
            </w:r>
          </w:p>
        </w:tc>
        <w:tc>
          <w:tcPr>
            <w:tcW w:w="1547" w:type="dxa"/>
            <w:tcBorders>
              <w:right w:val="single" w:sz="12" w:space="0" w:color="000000"/>
            </w:tcBorders>
          </w:tcPr>
          <w:p w:rsidR="00A63476" w:rsidRDefault="00D22874">
            <w:pPr>
              <w:pStyle w:val="TableParagraph"/>
              <w:spacing w:before="138"/>
              <w:ind w:left="698"/>
              <w:rPr>
                <w:sz w:val="14"/>
              </w:rPr>
            </w:pPr>
            <w:r>
              <w:rPr>
                <w:sz w:val="14"/>
              </w:rPr>
              <w:t>25</w:t>
            </w:r>
          </w:p>
        </w:tc>
        <w:tc>
          <w:tcPr>
            <w:tcW w:w="654" w:type="dxa"/>
            <w:tcBorders>
              <w:left w:val="single" w:sz="12" w:space="0" w:color="000000"/>
            </w:tcBorders>
          </w:tcPr>
          <w:p w:rsidR="00A63476" w:rsidRDefault="00A63476">
            <w:pPr>
              <w:pStyle w:val="TableParagraph"/>
              <w:rPr>
                <w:rFonts w:ascii="Times New Roman"/>
                <w:sz w:val="16"/>
              </w:rPr>
            </w:pPr>
          </w:p>
        </w:tc>
        <w:tc>
          <w:tcPr>
            <w:tcW w:w="654" w:type="dxa"/>
            <w:shd w:val="clear" w:color="auto" w:fill="D9D9D9"/>
          </w:tcPr>
          <w:p w:rsidR="00A63476" w:rsidRDefault="00D22874">
            <w:pPr>
              <w:pStyle w:val="TableParagraph"/>
              <w:spacing w:before="138"/>
              <w:ind w:right="265"/>
              <w:jc w:val="right"/>
              <w:rPr>
                <w:sz w:val="14"/>
              </w:rPr>
            </w:pPr>
            <w:r>
              <w:rPr>
                <w:sz w:val="14"/>
              </w:rPr>
              <w:t>X</w:t>
            </w:r>
          </w:p>
        </w:tc>
        <w:tc>
          <w:tcPr>
            <w:tcW w:w="526" w:type="dxa"/>
          </w:tcPr>
          <w:p w:rsidR="00A63476" w:rsidRDefault="00A63476">
            <w:pPr>
              <w:pStyle w:val="TableParagraph"/>
              <w:rPr>
                <w:rFonts w:ascii="Times New Roman"/>
                <w:sz w:val="16"/>
              </w:rPr>
            </w:pPr>
          </w:p>
        </w:tc>
        <w:tc>
          <w:tcPr>
            <w:tcW w:w="654" w:type="dxa"/>
            <w:tcBorders>
              <w:right w:val="single" w:sz="12" w:space="0" w:color="000000"/>
            </w:tcBorders>
          </w:tcPr>
          <w:p w:rsidR="00A63476" w:rsidRDefault="00A63476">
            <w:pPr>
              <w:pStyle w:val="TableParagraph"/>
              <w:rPr>
                <w:rFonts w:ascii="Times New Roman"/>
                <w:sz w:val="16"/>
              </w:rPr>
            </w:pPr>
          </w:p>
        </w:tc>
      </w:tr>
      <w:tr w:rsidR="00A63476">
        <w:trPr>
          <w:trHeight w:val="381"/>
        </w:trPr>
        <w:tc>
          <w:tcPr>
            <w:tcW w:w="2445" w:type="dxa"/>
          </w:tcPr>
          <w:p w:rsidR="00A63476" w:rsidRDefault="00D22874">
            <w:pPr>
              <w:pStyle w:val="TableParagraph"/>
              <w:spacing w:before="141"/>
              <w:ind w:left="83"/>
              <w:rPr>
                <w:sz w:val="14"/>
              </w:rPr>
            </w:pPr>
            <w:r>
              <w:rPr>
                <w:sz w:val="14"/>
              </w:rPr>
              <w:t>Vivienda Nueva (O autoproducción)</w:t>
            </w:r>
          </w:p>
        </w:tc>
        <w:tc>
          <w:tcPr>
            <w:tcW w:w="1547" w:type="dxa"/>
            <w:tcBorders>
              <w:right w:val="single" w:sz="12" w:space="0" w:color="000000"/>
            </w:tcBorders>
          </w:tcPr>
          <w:p w:rsidR="00A63476" w:rsidRDefault="00D22874">
            <w:pPr>
              <w:pStyle w:val="TableParagraph"/>
              <w:spacing w:before="141"/>
              <w:ind w:left="658"/>
              <w:rPr>
                <w:sz w:val="14"/>
              </w:rPr>
            </w:pPr>
            <w:r>
              <w:rPr>
                <w:sz w:val="14"/>
              </w:rPr>
              <w:t>127</w:t>
            </w:r>
          </w:p>
        </w:tc>
        <w:tc>
          <w:tcPr>
            <w:tcW w:w="654" w:type="dxa"/>
            <w:tcBorders>
              <w:left w:val="single" w:sz="12" w:space="0" w:color="000000"/>
            </w:tcBorders>
          </w:tcPr>
          <w:p w:rsidR="00A63476" w:rsidRDefault="00A63476">
            <w:pPr>
              <w:pStyle w:val="TableParagraph"/>
              <w:rPr>
                <w:rFonts w:ascii="Times New Roman"/>
                <w:sz w:val="16"/>
              </w:rPr>
            </w:pPr>
          </w:p>
        </w:tc>
        <w:tc>
          <w:tcPr>
            <w:tcW w:w="654" w:type="dxa"/>
            <w:shd w:val="clear" w:color="auto" w:fill="D9D9D9"/>
          </w:tcPr>
          <w:p w:rsidR="00A63476" w:rsidRDefault="00D22874">
            <w:pPr>
              <w:pStyle w:val="TableParagraph"/>
              <w:spacing w:before="141"/>
              <w:ind w:right="265"/>
              <w:jc w:val="right"/>
              <w:rPr>
                <w:sz w:val="14"/>
              </w:rPr>
            </w:pPr>
            <w:r>
              <w:rPr>
                <w:sz w:val="14"/>
              </w:rPr>
              <w:t>X</w:t>
            </w:r>
          </w:p>
        </w:tc>
        <w:tc>
          <w:tcPr>
            <w:tcW w:w="526" w:type="dxa"/>
          </w:tcPr>
          <w:p w:rsidR="00A63476" w:rsidRDefault="00A63476">
            <w:pPr>
              <w:pStyle w:val="TableParagraph"/>
              <w:rPr>
                <w:rFonts w:ascii="Times New Roman"/>
                <w:sz w:val="16"/>
              </w:rPr>
            </w:pPr>
          </w:p>
        </w:tc>
        <w:tc>
          <w:tcPr>
            <w:tcW w:w="654" w:type="dxa"/>
            <w:tcBorders>
              <w:right w:val="single" w:sz="12" w:space="0" w:color="000000"/>
            </w:tcBorders>
          </w:tcPr>
          <w:p w:rsidR="00A63476" w:rsidRDefault="00A63476">
            <w:pPr>
              <w:pStyle w:val="TableParagraph"/>
              <w:rPr>
                <w:rFonts w:ascii="Times New Roman"/>
                <w:sz w:val="16"/>
              </w:rPr>
            </w:pPr>
          </w:p>
        </w:tc>
      </w:tr>
      <w:tr w:rsidR="00A63476">
        <w:trPr>
          <w:trHeight w:val="381"/>
        </w:trPr>
        <w:tc>
          <w:tcPr>
            <w:tcW w:w="2445" w:type="dxa"/>
          </w:tcPr>
          <w:p w:rsidR="00A63476" w:rsidRDefault="00A63476">
            <w:pPr>
              <w:pStyle w:val="TableParagraph"/>
              <w:spacing w:before="7"/>
              <w:rPr>
                <w:b/>
                <w:sz w:val="12"/>
              </w:rPr>
            </w:pPr>
          </w:p>
          <w:p w:rsidR="00A63476" w:rsidRDefault="00D22874">
            <w:pPr>
              <w:pStyle w:val="TableParagraph"/>
              <w:ind w:left="83"/>
              <w:rPr>
                <w:sz w:val="14"/>
              </w:rPr>
            </w:pPr>
            <w:r>
              <w:rPr>
                <w:sz w:val="14"/>
              </w:rPr>
              <w:t>Sustentabilidad</w:t>
            </w:r>
          </w:p>
        </w:tc>
        <w:tc>
          <w:tcPr>
            <w:tcW w:w="1547" w:type="dxa"/>
            <w:tcBorders>
              <w:right w:val="single" w:sz="12" w:space="0" w:color="000000"/>
            </w:tcBorders>
          </w:tcPr>
          <w:p w:rsidR="00A63476" w:rsidRDefault="00A63476">
            <w:pPr>
              <w:pStyle w:val="TableParagraph"/>
              <w:spacing w:before="7"/>
              <w:rPr>
                <w:b/>
                <w:sz w:val="12"/>
              </w:rPr>
            </w:pPr>
          </w:p>
          <w:p w:rsidR="00A63476" w:rsidRDefault="00D22874">
            <w:pPr>
              <w:pStyle w:val="TableParagraph"/>
              <w:ind w:left="698"/>
              <w:rPr>
                <w:sz w:val="14"/>
              </w:rPr>
            </w:pPr>
            <w:r>
              <w:rPr>
                <w:sz w:val="14"/>
              </w:rPr>
              <w:t>13</w:t>
            </w:r>
          </w:p>
        </w:tc>
        <w:tc>
          <w:tcPr>
            <w:tcW w:w="654" w:type="dxa"/>
            <w:tcBorders>
              <w:left w:val="single" w:sz="12" w:space="0" w:color="000000"/>
            </w:tcBorders>
            <w:shd w:val="clear" w:color="auto" w:fill="D9D9D9"/>
          </w:tcPr>
          <w:p w:rsidR="00A63476" w:rsidRDefault="00A63476">
            <w:pPr>
              <w:pStyle w:val="TableParagraph"/>
              <w:spacing w:before="7"/>
              <w:rPr>
                <w:b/>
                <w:sz w:val="12"/>
              </w:rPr>
            </w:pPr>
          </w:p>
          <w:p w:rsidR="00A63476" w:rsidRDefault="00D22874">
            <w:pPr>
              <w:pStyle w:val="TableParagraph"/>
              <w:ind w:right="251"/>
              <w:jc w:val="right"/>
              <w:rPr>
                <w:sz w:val="14"/>
              </w:rPr>
            </w:pPr>
            <w:r>
              <w:rPr>
                <w:sz w:val="14"/>
              </w:rPr>
              <w:t>X</w:t>
            </w:r>
          </w:p>
        </w:tc>
        <w:tc>
          <w:tcPr>
            <w:tcW w:w="654" w:type="dxa"/>
            <w:shd w:val="clear" w:color="auto" w:fill="D9D9D9"/>
          </w:tcPr>
          <w:p w:rsidR="00A63476" w:rsidRDefault="00A63476">
            <w:pPr>
              <w:pStyle w:val="TableParagraph"/>
              <w:spacing w:before="7"/>
              <w:rPr>
                <w:b/>
                <w:sz w:val="12"/>
              </w:rPr>
            </w:pPr>
          </w:p>
          <w:p w:rsidR="00A63476" w:rsidRDefault="00D22874">
            <w:pPr>
              <w:pStyle w:val="TableParagraph"/>
              <w:ind w:right="265"/>
              <w:jc w:val="right"/>
              <w:rPr>
                <w:sz w:val="14"/>
              </w:rPr>
            </w:pPr>
            <w:r>
              <w:rPr>
                <w:sz w:val="14"/>
              </w:rPr>
              <w:t>X</w:t>
            </w:r>
          </w:p>
        </w:tc>
        <w:tc>
          <w:tcPr>
            <w:tcW w:w="526" w:type="dxa"/>
          </w:tcPr>
          <w:p w:rsidR="00A63476" w:rsidRDefault="00A63476">
            <w:pPr>
              <w:pStyle w:val="TableParagraph"/>
              <w:rPr>
                <w:rFonts w:ascii="Times New Roman"/>
                <w:sz w:val="16"/>
              </w:rPr>
            </w:pPr>
          </w:p>
        </w:tc>
        <w:tc>
          <w:tcPr>
            <w:tcW w:w="654" w:type="dxa"/>
            <w:tcBorders>
              <w:right w:val="single" w:sz="12" w:space="0" w:color="000000"/>
            </w:tcBorders>
            <w:shd w:val="clear" w:color="auto" w:fill="D9D9D9"/>
          </w:tcPr>
          <w:p w:rsidR="00A63476" w:rsidRDefault="00A63476">
            <w:pPr>
              <w:pStyle w:val="TableParagraph"/>
              <w:spacing w:before="7"/>
              <w:rPr>
                <w:b/>
                <w:sz w:val="12"/>
              </w:rPr>
            </w:pPr>
          </w:p>
          <w:p w:rsidR="00A63476" w:rsidRDefault="00D22874">
            <w:pPr>
              <w:pStyle w:val="TableParagraph"/>
              <w:ind w:left="277"/>
              <w:rPr>
                <w:sz w:val="14"/>
              </w:rPr>
            </w:pPr>
            <w:r>
              <w:rPr>
                <w:sz w:val="14"/>
              </w:rPr>
              <w:t>X</w:t>
            </w:r>
          </w:p>
        </w:tc>
      </w:tr>
      <w:tr w:rsidR="00A63476">
        <w:trPr>
          <w:trHeight w:val="621"/>
        </w:trPr>
        <w:tc>
          <w:tcPr>
            <w:tcW w:w="2445" w:type="dxa"/>
          </w:tcPr>
          <w:p w:rsidR="00A63476" w:rsidRDefault="00D22874">
            <w:pPr>
              <w:pStyle w:val="TableParagraph"/>
              <w:spacing w:before="69" w:line="240" w:lineRule="atLeast"/>
              <w:ind w:left="83"/>
              <w:rPr>
                <w:sz w:val="14"/>
              </w:rPr>
            </w:pPr>
            <w:r>
              <w:rPr>
                <w:sz w:val="14"/>
              </w:rPr>
              <w:t>Instalaciones Generales y Áreas Comunes</w:t>
            </w:r>
          </w:p>
        </w:tc>
        <w:tc>
          <w:tcPr>
            <w:tcW w:w="1547" w:type="dxa"/>
            <w:tcBorders>
              <w:right w:val="single" w:sz="12" w:space="0" w:color="000000"/>
            </w:tcBorders>
          </w:tcPr>
          <w:p w:rsidR="00A63476" w:rsidRDefault="00A63476">
            <w:pPr>
              <w:pStyle w:val="TableParagraph"/>
              <w:spacing w:before="3"/>
              <w:rPr>
                <w:b/>
                <w:sz w:val="23"/>
              </w:rPr>
            </w:pPr>
          </w:p>
          <w:p w:rsidR="00A63476" w:rsidRDefault="00D22874">
            <w:pPr>
              <w:pStyle w:val="TableParagraph"/>
              <w:spacing w:before="1"/>
              <w:ind w:left="738"/>
              <w:rPr>
                <w:sz w:val="14"/>
              </w:rPr>
            </w:pPr>
            <w:r>
              <w:rPr>
                <w:sz w:val="14"/>
              </w:rPr>
              <w:t>4</w:t>
            </w:r>
          </w:p>
        </w:tc>
        <w:tc>
          <w:tcPr>
            <w:tcW w:w="654" w:type="dxa"/>
            <w:tcBorders>
              <w:left w:val="single" w:sz="12" w:space="0" w:color="000000"/>
            </w:tcBorders>
          </w:tcPr>
          <w:p w:rsidR="00A63476" w:rsidRDefault="00A63476">
            <w:pPr>
              <w:pStyle w:val="TableParagraph"/>
              <w:rPr>
                <w:rFonts w:ascii="Times New Roman"/>
                <w:sz w:val="16"/>
              </w:rPr>
            </w:pPr>
          </w:p>
        </w:tc>
        <w:tc>
          <w:tcPr>
            <w:tcW w:w="654" w:type="dxa"/>
          </w:tcPr>
          <w:p w:rsidR="00A63476" w:rsidRDefault="00A63476">
            <w:pPr>
              <w:pStyle w:val="TableParagraph"/>
              <w:rPr>
                <w:rFonts w:ascii="Times New Roman"/>
                <w:sz w:val="16"/>
              </w:rPr>
            </w:pPr>
          </w:p>
        </w:tc>
        <w:tc>
          <w:tcPr>
            <w:tcW w:w="526" w:type="dxa"/>
          </w:tcPr>
          <w:p w:rsidR="00A63476" w:rsidRDefault="00A63476">
            <w:pPr>
              <w:pStyle w:val="TableParagraph"/>
              <w:rPr>
                <w:rFonts w:ascii="Times New Roman"/>
                <w:sz w:val="16"/>
              </w:rPr>
            </w:pPr>
          </w:p>
        </w:tc>
        <w:tc>
          <w:tcPr>
            <w:tcW w:w="654" w:type="dxa"/>
            <w:tcBorders>
              <w:right w:val="single" w:sz="12" w:space="0" w:color="000000"/>
            </w:tcBorders>
            <w:shd w:val="clear" w:color="auto" w:fill="D9D9D9"/>
          </w:tcPr>
          <w:p w:rsidR="00A63476" w:rsidRDefault="00A63476">
            <w:pPr>
              <w:pStyle w:val="TableParagraph"/>
              <w:spacing w:before="3"/>
              <w:rPr>
                <w:b/>
                <w:sz w:val="23"/>
              </w:rPr>
            </w:pPr>
          </w:p>
          <w:p w:rsidR="00A63476" w:rsidRDefault="00D22874">
            <w:pPr>
              <w:pStyle w:val="TableParagraph"/>
              <w:spacing w:before="1"/>
              <w:ind w:left="277"/>
              <w:rPr>
                <w:sz w:val="14"/>
              </w:rPr>
            </w:pPr>
            <w:r>
              <w:rPr>
                <w:sz w:val="14"/>
              </w:rPr>
              <w:t>X</w:t>
            </w:r>
          </w:p>
        </w:tc>
      </w:tr>
      <w:tr w:rsidR="00A63476">
        <w:trPr>
          <w:trHeight w:val="381"/>
        </w:trPr>
        <w:tc>
          <w:tcPr>
            <w:tcW w:w="2445" w:type="dxa"/>
          </w:tcPr>
          <w:p w:rsidR="00A63476" w:rsidRDefault="00D22874">
            <w:pPr>
              <w:pStyle w:val="TableParagraph"/>
              <w:spacing w:before="131"/>
              <w:ind w:left="83"/>
              <w:rPr>
                <w:sz w:val="14"/>
              </w:rPr>
            </w:pPr>
            <w:r>
              <w:rPr>
                <w:sz w:val="14"/>
              </w:rPr>
              <w:t>Espacio Auxiliar Productivo</w:t>
            </w:r>
          </w:p>
        </w:tc>
        <w:tc>
          <w:tcPr>
            <w:tcW w:w="1547" w:type="dxa"/>
            <w:tcBorders>
              <w:right w:val="single" w:sz="12" w:space="0" w:color="000000"/>
            </w:tcBorders>
          </w:tcPr>
          <w:p w:rsidR="00A63476" w:rsidRDefault="00D22874">
            <w:pPr>
              <w:pStyle w:val="TableParagraph"/>
              <w:spacing w:before="131"/>
              <w:ind w:left="698"/>
              <w:rPr>
                <w:sz w:val="14"/>
              </w:rPr>
            </w:pPr>
            <w:r>
              <w:rPr>
                <w:sz w:val="14"/>
              </w:rPr>
              <w:t>64</w:t>
            </w:r>
          </w:p>
        </w:tc>
        <w:tc>
          <w:tcPr>
            <w:tcW w:w="654" w:type="dxa"/>
            <w:tcBorders>
              <w:left w:val="single" w:sz="12" w:space="0" w:color="000000"/>
            </w:tcBorders>
          </w:tcPr>
          <w:p w:rsidR="00A63476" w:rsidRDefault="00A63476">
            <w:pPr>
              <w:pStyle w:val="TableParagraph"/>
              <w:rPr>
                <w:rFonts w:ascii="Times New Roman"/>
                <w:sz w:val="16"/>
              </w:rPr>
            </w:pPr>
          </w:p>
        </w:tc>
        <w:tc>
          <w:tcPr>
            <w:tcW w:w="654" w:type="dxa"/>
            <w:shd w:val="clear" w:color="auto" w:fill="D9D9D9"/>
          </w:tcPr>
          <w:p w:rsidR="00A63476" w:rsidRDefault="00D22874">
            <w:pPr>
              <w:pStyle w:val="TableParagraph"/>
              <w:spacing w:before="131"/>
              <w:ind w:right="265"/>
              <w:jc w:val="right"/>
              <w:rPr>
                <w:sz w:val="14"/>
              </w:rPr>
            </w:pPr>
            <w:r>
              <w:rPr>
                <w:sz w:val="14"/>
              </w:rPr>
              <w:t>X</w:t>
            </w:r>
          </w:p>
        </w:tc>
        <w:tc>
          <w:tcPr>
            <w:tcW w:w="526" w:type="dxa"/>
          </w:tcPr>
          <w:p w:rsidR="00A63476" w:rsidRDefault="00A63476">
            <w:pPr>
              <w:pStyle w:val="TableParagraph"/>
              <w:rPr>
                <w:rFonts w:ascii="Times New Roman"/>
                <w:sz w:val="16"/>
              </w:rPr>
            </w:pPr>
          </w:p>
        </w:tc>
        <w:tc>
          <w:tcPr>
            <w:tcW w:w="654" w:type="dxa"/>
            <w:tcBorders>
              <w:right w:val="single" w:sz="12" w:space="0" w:color="000000"/>
            </w:tcBorders>
          </w:tcPr>
          <w:p w:rsidR="00A63476" w:rsidRDefault="00A63476">
            <w:pPr>
              <w:pStyle w:val="TableParagraph"/>
              <w:rPr>
                <w:rFonts w:ascii="Times New Roman"/>
                <w:sz w:val="16"/>
              </w:rPr>
            </w:pPr>
          </w:p>
        </w:tc>
      </w:tr>
      <w:tr w:rsidR="00A63476">
        <w:trPr>
          <w:trHeight w:val="381"/>
        </w:trPr>
        <w:tc>
          <w:tcPr>
            <w:tcW w:w="2445" w:type="dxa"/>
          </w:tcPr>
          <w:p w:rsidR="00A63476" w:rsidRDefault="00D22874">
            <w:pPr>
              <w:pStyle w:val="TableParagraph"/>
              <w:spacing w:before="135"/>
              <w:ind w:left="83"/>
              <w:rPr>
                <w:sz w:val="14"/>
              </w:rPr>
            </w:pPr>
            <w:r>
              <w:rPr>
                <w:sz w:val="14"/>
              </w:rPr>
              <w:t>Espacio Auxiliar Comunitario</w:t>
            </w:r>
          </w:p>
        </w:tc>
        <w:tc>
          <w:tcPr>
            <w:tcW w:w="1547" w:type="dxa"/>
            <w:tcBorders>
              <w:right w:val="single" w:sz="12" w:space="0" w:color="000000"/>
            </w:tcBorders>
          </w:tcPr>
          <w:p w:rsidR="00A63476" w:rsidRDefault="00D22874">
            <w:pPr>
              <w:pStyle w:val="TableParagraph"/>
              <w:spacing w:before="135"/>
              <w:ind w:left="658"/>
              <w:rPr>
                <w:sz w:val="14"/>
              </w:rPr>
            </w:pPr>
            <w:r>
              <w:rPr>
                <w:sz w:val="14"/>
              </w:rPr>
              <w:t>172</w:t>
            </w:r>
          </w:p>
        </w:tc>
        <w:tc>
          <w:tcPr>
            <w:tcW w:w="654" w:type="dxa"/>
            <w:tcBorders>
              <w:left w:val="single" w:sz="12" w:space="0" w:color="000000"/>
            </w:tcBorders>
            <w:shd w:val="clear" w:color="auto" w:fill="D9D9D9"/>
          </w:tcPr>
          <w:p w:rsidR="00A63476" w:rsidRDefault="00D22874">
            <w:pPr>
              <w:pStyle w:val="TableParagraph"/>
              <w:spacing w:before="135"/>
              <w:ind w:right="251"/>
              <w:jc w:val="right"/>
              <w:rPr>
                <w:sz w:val="14"/>
              </w:rPr>
            </w:pPr>
            <w:r>
              <w:rPr>
                <w:sz w:val="14"/>
              </w:rPr>
              <w:t>X</w:t>
            </w:r>
          </w:p>
        </w:tc>
        <w:tc>
          <w:tcPr>
            <w:tcW w:w="654" w:type="dxa"/>
          </w:tcPr>
          <w:p w:rsidR="00A63476" w:rsidRDefault="00A63476">
            <w:pPr>
              <w:pStyle w:val="TableParagraph"/>
              <w:rPr>
                <w:rFonts w:ascii="Times New Roman"/>
                <w:sz w:val="16"/>
              </w:rPr>
            </w:pPr>
          </w:p>
        </w:tc>
        <w:tc>
          <w:tcPr>
            <w:tcW w:w="526" w:type="dxa"/>
          </w:tcPr>
          <w:p w:rsidR="00A63476" w:rsidRDefault="00A63476">
            <w:pPr>
              <w:pStyle w:val="TableParagraph"/>
              <w:rPr>
                <w:rFonts w:ascii="Times New Roman"/>
                <w:sz w:val="16"/>
              </w:rPr>
            </w:pPr>
          </w:p>
        </w:tc>
        <w:tc>
          <w:tcPr>
            <w:tcW w:w="654" w:type="dxa"/>
            <w:tcBorders>
              <w:right w:val="single" w:sz="12" w:space="0" w:color="000000"/>
            </w:tcBorders>
          </w:tcPr>
          <w:p w:rsidR="00A63476" w:rsidRDefault="00A63476">
            <w:pPr>
              <w:pStyle w:val="TableParagraph"/>
              <w:rPr>
                <w:rFonts w:ascii="Times New Roman"/>
                <w:sz w:val="16"/>
              </w:rPr>
            </w:pPr>
          </w:p>
        </w:tc>
      </w:tr>
      <w:tr w:rsidR="00A63476">
        <w:trPr>
          <w:trHeight w:val="381"/>
        </w:trPr>
        <w:tc>
          <w:tcPr>
            <w:tcW w:w="2445" w:type="dxa"/>
          </w:tcPr>
          <w:p w:rsidR="00A63476" w:rsidRDefault="00D22874">
            <w:pPr>
              <w:pStyle w:val="TableParagraph"/>
              <w:spacing w:before="138"/>
              <w:ind w:left="83"/>
              <w:rPr>
                <w:sz w:val="14"/>
              </w:rPr>
            </w:pPr>
            <w:r>
              <w:rPr>
                <w:sz w:val="14"/>
              </w:rPr>
              <w:t>Gastos Complementarios</w:t>
            </w:r>
          </w:p>
        </w:tc>
        <w:tc>
          <w:tcPr>
            <w:tcW w:w="1547" w:type="dxa"/>
            <w:tcBorders>
              <w:right w:val="single" w:sz="12" w:space="0" w:color="000000"/>
            </w:tcBorders>
          </w:tcPr>
          <w:p w:rsidR="00A63476" w:rsidRDefault="00D22874">
            <w:pPr>
              <w:pStyle w:val="TableParagraph"/>
              <w:spacing w:before="138"/>
              <w:ind w:left="698"/>
              <w:rPr>
                <w:sz w:val="14"/>
              </w:rPr>
            </w:pPr>
            <w:r>
              <w:rPr>
                <w:sz w:val="14"/>
              </w:rPr>
              <w:t>13</w:t>
            </w:r>
          </w:p>
        </w:tc>
        <w:tc>
          <w:tcPr>
            <w:tcW w:w="654" w:type="dxa"/>
            <w:tcBorders>
              <w:left w:val="single" w:sz="12" w:space="0" w:color="000000"/>
              <w:bottom w:val="single" w:sz="12" w:space="0" w:color="000000"/>
            </w:tcBorders>
            <w:shd w:val="clear" w:color="auto" w:fill="D9D9D9"/>
          </w:tcPr>
          <w:p w:rsidR="00A63476" w:rsidRDefault="00D22874">
            <w:pPr>
              <w:pStyle w:val="TableParagraph"/>
              <w:spacing w:before="138"/>
              <w:ind w:right="251"/>
              <w:jc w:val="right"/>
              <w:rPr>
                <w:sz w:val="14"/>
              </w:rPr>
            </w:pPr>
            <w:r>
              <w:rPr>
                <w:sz w:val="14"/>
              </w:rPr>
              <w:t>X</w:t>
            </w:r>
          </w:p>
        </w:tc>
        <w:tc>
          <w:tcPr>
            <w:tcW w:w="654" w:type="dxa"/>
            <w:tcBorders>
              <w:bottom w:val="single" w:sz="12" w:space="0" w:color="000000"/>
            </w:tcBorders>
          </w:tcPr>
          <w:p w:rsidR="00A63476" w:rsidRDefault="00A63476">
            <w:pPr>
              <w:pStyle w:val="TableParagraph"/>
              <w:rPr>
                <w:rFonts w:ascii="Times New Roman"/>
                <w:sz w:val="16"/>
              </w:rPr>
            </w:pPr>
          </w:p>
        </w:tc>
        <w:tc>
          <w:tcPr>
            <w:tcW w:w="526" w:type="dxa"/>
            <w:tcBorders>
              <w:bottom w:val="single" w:sz="12" w:space="0" w:color="000000"/>
            </w:tcBorders>
          </w:tcPr>
          <w:p w:rsidR="00A63476" w:rsidRDefault="00A63476">
            <w:pPr>
              <w:pStyle w:val="TableParagraph"/>
              <w:rPr>
                <w:rFonts w:ascii="Times New Roman"/>
                <w:sz w:val="16"/>
              </w:rPr>
            </w:pPr>
          </w:p>
        </w:tc>
        <w:tc>
          <w:tcPr>
            <w:tcW w:w="654" w:type="dxa"/>
            <w:tcBorders>
              <w:bottom w:val="single" w:sz="12" w:space="0" w:color="000000"/>
              <w:right w:val="single" w:sz="12" w:space="0" w:color="000000"/>
            </w:tcBorders>
          </w:tcPr>
          <w:p w:rsidR="00A63476" w:rsidRDefault="00A63476">
            <w:pPr>
              <w:pStyle w:val="TableParagraph"/>
              <w:rPr>
                <w:rFonts w:ascii="Times New Roman"/>
                <w:sz w:val="16"/>
              </w:rPr>
            </w:pPr>
          </w:p>
        </w:tc>
      </w:tr>
    </w:tbl>
    <w:p w:rsidR="00A63476" w:rsidRDefault="00D22874">
      <w:pPr>
        <w:spacing w:before="129" w:line="242" w:lineRule="auto"/>
        <w:ind w:left="520" w:right="655" w:firstLine="280"/>
        <w:jc w:val="both"/>
        <w:rPr>
          <w:b/>
          <w:sz w:val="18"/>
        </w:rPr>
      </w:pPr>
      <w:r>
        <w:rPr>
          <w:b/>
          <w:sz w:val="18"/>
        </w:rPr>
        <w:t>Nota: Los montos del subsidio descritos incluyen 7% del pago por concepto de asistencia técnica. El porcentaje deberá ser referido contra el costo de la intervención y será aplicado como deductiva al subsidio aprobado.</w:t>
      </w:r>
    </w:p>
    <w:p w:rsidR="00A63476" w:rsidRDefault="00D22874">
      <w:pPr>
        <w:spacing w:before="113"/>
        <w:ind w:left="800"/>
        <w:rPr>
          <w:sz w:val="14"/>
        </w:rPr>
      </w:pPr>
      <w:r>
        <w:rPr>
          <w:w w:val="105"/>
          <w:sz w:val="18"/>
        </w:rPr>
        <w:t>I</w:t>
      </w:r>
      <w:r>
        <w:rPr>
          <w:w w:val="105"/>
          <w:sz w:val="14"/>
        </w:rPr>
        <w:t>NTEGRACIÓN DE LAS LÍNEAS DE APOYO</w:t>
      </w:r>
    </w:p>
    <w:p w:rsidR="00A63476" w:rsidRDefault="00D22874">
      <w:pPr>
        <w:pStyle w:val="Textoindependiente"/>
        <w:spacing w:before="113" w:line="256" w:lineRule="auto"/>
      </w:pPr>
      <w:r>
        <w:t>En</w:t>
      </w:r>
      <w:r>
        <w:t xml:space="preserve"> la forma de intervención Vivienda en Zonas Rurales o Urbanas, para definir el techo máximo para el subsidio, la CONAVI revisará la solicitud y determinará la procedencia de la integración de las líneas de apoyo aplicables, en cada modalidad. Para la modal</w:t>
      </w:r>
      <w:r>
        <w:t xml:space="preserve">idad de Vivienda en Conjunto Habitacional, se podrá disponer de la integración de las Líneas de Apoyo correspondientes a: Adquisición de Suelo, Estudios y Proyectos, Demolición, Edificación, Obra de Alcance Mayor, Sustentabilidad y Gastos Complementarios, </w:t>
      </w:r>
      <w:r>
        <w:t xml:space="preserve">pudiendo ser un subsidio máximo integral de hasta 139 veces el valor de la UMA por vivienda. Para la modalidad de Vivienda en Espacio Edificable Rural o Urbano, se podrá disponer de la integración de las Líneas de Apoyo correspondientes a: Mejoramiento de </w:t>
      </w:r>
      <w:r>
        <w:t>Vivienda, Sustentabilidad y Espacio Auxiliar Productivo pudiendo ser un subsidio máximo integral de hasta de 127 veces el valor de la UMA por vivienda; cuando se integren, Ampliación de Vivienda, Sustentabilidad y Espacio Auxiliar Productivo el monto máxim</w:t>
      </w:r>
      <w:r>
        <w:t xml:space="preserve">o del subsidio será de hasta 102 veces el valor de la UMA por vivienda; cuando se integren las líneas de apoyo Vivienda Nueva, Sustentabilidad y Espacio Auxiliar Productivo pudiendo ser un subsidio máximo integral de hasta 204 veces el valor de la UMA por </w:t>
      </w:r>
      <w:r>
        <w:t>vivienda. Para la modalidad de Adquisición de Vivienda, se podrá disponer de la integración de las Líneas de Apoyo correspondientes a: Adquisición de Vivienda Nueva o Usada. Para la modalidad de Mejoramiento de Unidades Habitacionales, se podrá disponer de</w:t>
      </w:r>
      <w:r>
        <w:t xml:space="preserve"> la integración de las Líneas de Apoyo correspondientes a: Sustentabilidad e Instalaciones Generales y Áreas Comunes, pudiendo ser un subsidio máximo integral de hasta 17 veces el valor de la UMA por vivienda.</w:t>
      </w:r>
    </w:p>
    <w:p w:rsidR="00A63476" w:rsidRDefault="00D22874">
      <w:pPr>
        <w:spacing w:before="135"/>
        <w:ind w:left="800"/>
        <w:rPr>
          <w:sz w:val="14"/>
        </w:rPr>
      </w:pPr>
      <w:r>
        <w:rPr>
          <w:w w:val="105"/>
          <w:sz w:val="18"/>
        </w:rPr>
        <w:t>P</w:t>
      </w:r>
      <w:r>
        <w:rPr>
          <w:w w:val="105"/>
          <w:sz w:val="14"/>
        </w:rPr>
        <w:t>ARTICIPANTES</w:t>
      </w:r>
    </w:p>
    <w:p w:rsidR="00A63476" w:rsidRDefault="00D22874">
      <w:pPr>
        <w:pStyle w:val="Prrafodelista"/>
        <w:numPr>
          <w:ilvl w:val="0"/>
          <w:numId w:val="49"/>
        </w:numPr>
        <w:tabs>
          <w:tab w:val="left" w:pos="1231"/>
          <w:tab w:val="left" w:pos="1232"/>
        </w:tabs>
        <w:spacing w:before="113"/>
        <w:ind w:left="1232"/>
        <w:jc w:val="left"/>
        <w:rPr>
          <w:sz w:val="18"/>
        </w:rPr>
      </w:pPr>
      <w:r>
        <w:rPr>
          <w:sz w:val="18"/>
        </w:rPr>
        <w:t>Comisión Nacional de</w:t>
      </w:r>
      <w:r>
        <w:rPr>
          <w:spacing w:val="-1"/>
          <w:sz w:val="18"/>
        </w:rPr>
        <w:t xml:space="preserve"> </w:t>
      </w:r>
      <w:r>
        <w:rPr>
          <w:sz w:val="18"/>
        </w:rPr>
        <w:t>Vivienda</w:t>
      </w:r>
    </w:p>
    <w:p w:rsidR="00A63476" w:rsidRDefault="00D22874">
      <w:pPr>
        <w:pStyle w:val="Textoindependiente"/>
        <w:spacing w:before="133"/>
        <w:ind w:left="800" w:right="0" w:firstLine="0"/>
        <w:jc w:val="left"/>
      </w:pPr>
      <w:r>
        <w:t>In</w:t>
      </w:r>
      <w:r>
        <w:t>stancia encargada de otorgar el subsidio federal.</w:t>
      </w:r>
    </w:p>
    <w:p w:rsidR="00A63476" w:rsidRDefault="00D22874">
      <w:pPr>
        <w:pStyle w:val="Prrafodelista"/>
        <w:numPr>
          <w:ilvl w:val="0"/>
          <w:numId w:val="49"/>
        </w:numPr>
        <w:tabs>
          <w:tab w:val="left" w:pos="1231"/>
          <w:tab w:val="left" w:pos="1232"/>
        </w:tabs>
        <w:spacing w:before="133"/>
        <w:ind w:left="1232"/>
        <w:jc w:val="left"/>
        <w:rPr>
          <w:sz w:val="18"/>
        </w:rPr>
      </w:pPr>
      <w:r>
        <w:rPr>
          <w:sz w:val="18"/>
        </w:rPr>
        <w:t>Entidades federativas y municipios</w:t>
      </w:r>
    </w:p>
    <w:p w:rsidR="00A63476" w:rsidRDefault="00D22874">
      <w:pPr>
        <w:pStyle w:val="Textoindependiente"/>
        <w:spacing w:before="133" w:line="273" w:lineRule="auto"/>
      </w:pPr>
      <w:r>
        <w:t>Para apoyar a este sector de la población, los entidades federativas y municipios, a través de sus organismos de vivienda o de la instancia administrativa que para ese efe</w:t>
      </w:r>
      <w:r>
        <w:t xml:space="preserve">cto asignen, podrán participar aplicando los subsidios en favor de las personas beneficiarias del programa, en una proporción igual o menor a la aplicada por el gobierno federal a través de la </w:t>
      </w:r>
      <w:r>
        <w:rPr>
          <w:spacing w:val="-3"/>
        </w:rPr>
        <w:t xml:space="preserve">CONAVI, </w:t>
      </w:r>
      <w:r>
        <w:t>suscribiendo para tal fin los instrumentos jurídicos qu</w:t>
      </w:r>
      <w:r>
        <w:t>e correspondan.</w:t>
      </w:r>
    </w:p>
    <w:p w:rsidR="00A63476" w:rsidRDefault="00D22874">
      <w:pPr>
        <w:pStyle w:val="Textoindependiente"/>
        <w:spacing w:before="100" w:line="278" w:lineRule="auto"/>
        <w:ind w:right="654"/>
      </w:pPr>
      <w:r>
        <w:t>Para tales efectos, la Comisión, por su cuenta o de manera conjunta con otras instituciones de la Administración Pública Federal, podrá celebrar convenios de colaboración con las entidades federativas o con los ayuntamientos con el fin de e</w:t>
      </w:r>
      <w:r>
        <w:t>stablecer compromisos para sumar recursos destinados a vivienda. En estos</w:t>
      </w:r>
    </w:p>
    <w:p w:rsidR="00A63476" w:rsidRDefault="00A63476">
      <w:pPr>
        <w:spacing w:line="278" w:lineRule="auto"/>
        <w:sectPr w:rsidR="00A63476">
          <w:pgSz w:w="12240" w:h="15840"/>
          <w:pgMar w:top="920" w:right="1040" w:bottom="280" w:left="1180" w:header="700" w:footer="0" w:gutter="0"/>
          <w:cols w:space="720"/>
        </w:sectPr>
      </w:pPr>
    </w:p>
    <w:p w:rsidR="00A63476" w:rsidRDefault="00A63476">
      <w:pPr>
        <w:pStyle w:val="Textoindependiente"/>
        <w:spacing w:before="5"/>
        <w:ind w:left="0" w:right="0" w:firstLine="0"/>
        <w:jc w:val="left"/>
        <w:rPr>
          <w:sz w:val="12"/>
        </w:rPr>
      </w:pPr>
    </w:p>
    <w:p w:rsidR="00A63476" w:rsidRDefault="00D22874">
      <w:pPr>
        <w:pStyle w:val="Textoindependiente"/>
        <w:spacing w:before="95" w:line="278" w:lineRule="auto"/>
        <w:ind w:firstLine="0"/>
      </w:pPr>
      <w:r>
        <w:t>convenios de colaboración se establecerá la asignación de las entidades federativas o de los ayuntamientos, así como los recursos que deriven del Programa. En todo caso los gobiernos estatales o municipales deberán acreditar que sus respectivas aportacione</w:t>
      </w:r>
      <w:r>
        <w:t>s cuentan con un soporte programático o presupuestal.</w:t>
      </w:r>
    </w:p>
    <w:p w:rsidR="00A63476" w:rsidRDefault="00D22874">
      <w:pPr>
        <w:pStyle w:val="Textoindependiente"/>
        <w:spacing w:before="79" w:line="278" w:lineRule="auto"/>
        <w:ind w:right="663"/>
      </w:pPr>
      <w:r>
        <w:t>En general, podrán participar conforme a sus facultades y atribuciones en todas aquellas acciones que contribuyan a la materialización y agilización del programa, en favor de la población y las localida</w:t>
      </w:r>
      <w:r>
        <w:t>des inscritas.</w:t>
      </w:r>
    </w:p>
    <w:p w:rsidR="00A63476" w:rsidRDefault="00D22874">
      <w:pPr>
        <w:pStyle w:val="Prrafodelista"/>
        <w:numPr>
          <w:ilvl w:val="0"/>
          <w:numId w:val="49"/>
        </w:numPr>
        <w:tabs>
          <w:tab w:val="left" w:pos="1232"/>
        </w:tabs>
        <w:spacing w:before="100"/>
        <w:ind w:left="1232"/>
        <w:rPr>
          <w:sz w:val="18"/>
        </w:rPr>
      </w:pPr>
      <w:r>
        <w:rPr>
          <w:sz w:val="18"/>
        </w:rPr>
        <w:t>Organismo Ejecutor de Obra</w:t>
      </w:r>
      <w:r>
        <w:rPr>
          <w:spacing w:val="-1"/>
          <w:sz w:val="18"/>
        </w:rPr>
        <w:t xml:space="preserve"> </w:t>
      </w:r>
      <w:r>
        <w:rPr>
          <w:sz w:val="18"/>
        </w:rPr>
        <w:t>(OEO)</w:t>
      </w:r>
    </w:p>
    <w:p w:rsidR="00A63476" w:rsidRDefault="00D22874">
      <w:pPr>
        <w:pStyle w:val="Textoindependiente"/>
        <w:spacing w:before="133" w:line="273" w:lineRule="auto"/>
      </w:pPr>
      <w:r>
        <w:t>El Organismo Ejecutor de Obra (OEO) acreditado ante la Comisión podrá ser asignado por las personas beneficiarias del programa, para desarrollar, acompañar y ejecutar los procesos constructivos en las modalid</w:t>
      </w:r>
      <w:r>
        <w:t xml:space="preserve">ades de Vivienda Nueva en Conjunto Habitacional, y en Vivienda Nueva en Espacio Edificable Rural o Urbano. Los lineamientos para el proceso de registro como OEO se podrán consultar en la página </w:t>
      </w:r>
      <w:hyperlink r:id="rId18">
        <w:r>
          <w:rPr>
            <w:u w:val="single"/>
          </w:rPr>
          <w:t>www.gob.mx/conav</w:t>
        </w:r>
        <w:r>
          <w:t>i</w:t>
        </w:r>
      </w:hyperlink>
    </w:p>
    <w:p w:rsidR="00A63476" w:rsidRDefault="00D22874">
      <w:pPr>
        <w:pStyle w:val="Prrafodelista"/>
        <w:numPr>
          <w:ilvl w:val="0"/>
          <w:numId w:val="49"/>
        </w:numPr>
        <w:tabs>
          <w:tab w:val="left" w:pos="1232"/>
        </w:tabs>
        <w:spacing w:before="100"/>
        <w:ind w:left="1232"/>
        <w:rPr>
          <w:sz w:val="18"/>
        </w:rPr>
      </w:pPr>
      <w:r>
        <w:rPr>
          <w:sz w:val="18"/>
        </w:rPr>
        <w:t>Asistencia técnica</w:t>
      </w:r>
    </w:p>
    <w:p w:rsidR="00A63476" w:rsidRDefault="00D22874">
      <w:pPr>
        <w:pStyle w:val="Textoindependiente"/>
        <w:spacing w:before="133" w:line="271" w:lineRule="auto"/>
      </w:pPr>
      <w:r>
        <w:t>En todos los casos la intervención habitacional se hará con apoyo y acompañamiento de una asistencia técnica calificada que comprende aspectos técnicos, financieros, organizativos, legales y de gestión, adecuados a las características de</w:t>
      </w:r>
      <w:r>
        <w:t xml:space="preserve"> las familias beneficiarias del programa y atendiendo las condiciones de habitabilidad y seguridad estructural.</w:t>
      </w:r>
    </w:p>
    <w:p w:rsidR="00A63476" w:rsidRDefault="00D22874">
      <w:pPr>
        <w:pStyle w:val="Textoindependiente"/>
        <w:spacing w:before="105" w:line="278" w:lineRule="auto"/>
      </w:pPr>
      <w:r>
        <w:t>La colaboración de los profesionales que participan en la asistencia técnica se establecerá por corredores, zonas o regiones que abarquen los si</w:t>
      </w:r>
      <w:r>
        <w:t>tios de intervención, de acuerdo con sus posibilidades de trabajo, respetando su labor en sus áreas de influencia, de modo tal que se pueda garantizar su participación y permanencia en el programa.</w:t>
      </w:r>
    </w:p>
    <w:p w:rsidR="00A63476" w:rsidRDefault="00D22874">
      <w:pPr>
        <w:pStyle w:val="Textoindependiente"/>
        <w:spacing w:before="79" w:line="278" w:lineRule="auto"/>
        <w:ind w:right="663"/>
      </w:pPr>
      <w:r>
        <w:t>Los lineamientos para el proceso de acreditación para la a</w:t>
      </w:r>
      <w:r>
        <w:t xml:space="preserve">sistencia técnica, se podrán consultar en la </w:t>
      </w:r>
      <w:hyperlink r:id="rId19">
        <w:r>
          <w:t>página www.gob.mx/conavi</w:t>
        </w:r>
      </w:hyperlink>
    </w:p>
    <w:p w:rsidR="00A63476" w:rsidRDefault="00D22874">
      <w:pPr>
        <w:pStyle w:val="Prrafodelista"/>
        <w:numPr>
          <w:ilvl w:val="0"/>
          <w:numId w:val="49"/>
        </w:numPr>
        <w:tabs>
          <w:tab w:val="left" w:pos="1232"/>
        </w:tabs>
        <w:spacing w:before="100"/>
        <w:ind w:left="1232"/>
        <w:rPr>
          <w:sz w:val="18"/>
        </w:rPr>
      </w:pPr>
      <w:r>
        <w:rPr>
          <w:sz w:val="18"/>
        </w:rPr>
        <w:t>Diseñador</w:t>
      </w:r>
    </w:p>
    <w:p w:rsidR="00A63476" w:rsidRDefault="00D22874">
      <w:pPr>
        <w:pStyle w:val="Textoindependiente"/>
        <w:spacing w:before="133" w:line="273" w:lineRule="auto"/>
      </w:pPr>
      <w:r>
        <w:t xml:space="preserve">En cuanto a la elaboración del diseño arquitectónico, el diseñador, previamente acreditado ante la </w:t>
      </w:r>
      <w:r>
        <w:rPr>
          <w:spacing w:val="-3"/>
        </w:rPr>
        <w:t xml:space="preserve">CONAVI, </w:t>
      </w:r>
      <w:r>
        <w:t>podrá ser asignado por la</w:t>
      </w:r>
      <w:r>
        <w:t>s personas beneficiarias del programa, para desarrollar el proyecto ejecutivo mediante procesos de diseño participativo, tomando en consideración las características sociales, económicas y culturales de la familia. Los lineamientos para el proceso de regis</w:t>
      </w:r>
      <w:r>
        <w:t xml:space="preserve">tro como diseñador se podrán </w:t>
      </w:r>
      <w:hyperlink r:id="rId20">
        <w:r>
          <w:t>consultar en la página</w:t>
        </w:r>
        <w:r>
          <w:rPr>
            <w:spacing w:val="-1"/>
          </w:rPr>
          <w:t xml:space="preserve"> </w:t>
        </w:r>
        <w:r>
          <w:t>www.gob.mx/conavi.</w:t>
        </w:r>
      </w:hyperlink>
    </w:p>
    <w:p w:rsidR="00A63476" w:rsidRDefault="00D22874">
      <w:pPr>
        <w:pStyle w:val="Prrafodelista"/>
        <w:numPr>
          <w:ilvl w:val="0"/>
          <w:numId w:val="49"/>
        </w:numPr>
        <w:tabs>
          <w:tab w:val="left" w:pos="1232"/>
        </w:tabs>
        <w:spacing w:before="100"/>
        <w:ind w:left="1232"/>
        <w:rPr>
          <w:sz w:val="18"/>
        </w:rPr>
      </w:pPr>
      <w:r>
        <w:rPr>
          <w:sz w:val="18"/>
        </w:rPr>
        <w:t>Supervisión técnica y</w:t>
      </w:r>
      <w:r>
        <w:rPr>
          <w:spacing w:val="-1"/>
          <w:sz w:val="18"/>
        </w:rPr>
        <w:t xml:space="preserve"> </w:t>
      </w:r>
      <w:r>
        <w:rPr>
          <w:sz w:val="18"/>
        </w:rPr>
        <w:t>administrativa</w:t>
      </w:r>
    </w:p>
    <w:p w:rsidR="00A63476" w:rsidRDefault="00D22874">
      <w:pPr>
        <w:pStyle w:val="Textoindependiente"/>
        <w:spacing w:before="133" w:line="271" w:lineRule="auto"/>
      </w:pPr>
      <w:r>
        <w:t xml:space="preserve">Se encargará de la supervisión técnica y administrativa de las obras durante el proceso de construcción de la vivienda en cumplimiento de las condiciones aprobadas y conforme a los atributos en la vivienda establecidos por la CONAVI. Los lineamientos para </w:t>
      </w:r>
      <w:r>
        <w:t xml:space="preserve">el proceso de registro como supervisor de obra se podrán consultar en la página </w:t>
      </w:r>
      <w:hyperlink r:id="rId21">
        <w:r>
          <w:rPr>
            <w:u w:val="single"/>
          </w:rPr>
          <w:t>www.gob.mx/conav</w:t>
        </w:r>
        <w:r>
          <w:t>i.</w:t>
        </w:r>
      </w:hyperlink>
    </w:p>
    <w:p w:rsidR="00A63476" w:rsidRDefault="00D22874">
      <w:pPr>
        <w:pStyle w:val="Prrafodelista"/>
        <w:numPr>
          <w:ilvl w:val="0"/>
          <w:numId w:val="49"/>
        </w:numPr>
        <w:tabs>
          <w:tab w:val="left" w:pos="1232"/>
        </w:tabs>
        <w:spacing w:before="105"/>
        <w:ind w:left="1232"/>
        <w:rPr>
          <w:sz w:val="18"/>
        </w:rPr>
      </w:pPr>
      <w:r>
        <w:rPr>
          <w:sz w:val="18"/>
        </w:rPr>
        <w:t>Verificadores</w:t>
      </w:r>
    </w:p>
    <w:p w:rsidR="00A63476" w:rsidRDefault="00D22874">
      <w:pPr>
        <w:pStyle w:val="Textoindependiente"/>
        <w:spacing w:before="133" w:line="266" w:lineRule="auto"/>
      </w:pPr>
      <w:r>
        <w:t xml:space="preserve">La CONAVI podrá optar por la contratación de personas físicas o morales previamente inscritas ante </w:t>
      </w:r>
      <w:r>
        <w:t>la misma Comisión, para verificar el cumplimiento del acompañamiento técnico, así como de la correcta aplicación de los subsidios otorgados para el desarrollo del Programa.</w:t>
      </w:r>
    </w:p>
    <w:p w:rsidR="00A63476" w:rsidRDefault="00D22874">
      <w:pPr>
        <w:pStyle w:val="Ttulo1"/>
        <w:numPr>
          <w:ilvl w:val="2"/>
          <w:numId w:val="52"/>
        </w:numPr>
        <w:tabs>
          <w:tab w:val="left" w:pos="1301"/>
        </w:tabs>
        <w:spacing w:before="111"/>
        <w:ind w:left="1300" w:hanging="501"/>
        <w:jc w:val="both"/>
      </w:pPr>
      <w:r>
        <w:t>Vivienda en zonas urbanas</w:t>
      </w:r>
      <w:r>
        <w:rPr>
          <w:spacing w:val="-2"/>
        </w:rPr>
        <w:t xml:space="preserve"> </w:t>
      </w:r>
      <w:r>
        <w:t>marginadas</w:t>
      </w:r>
    </w:p>
    <w:p w:rsidR="00A63476" w:rsidRDefault="00D22874">
      <w:pPr>
        <w:spacing w:before="93"/>
        <w:ind w:left="800"/>
        <w:jc w:val="both"/>
        <w:rPr>
          <w:sz w:val="14"/>
        </w:rPr>
      </w:pPr>
      <w:r>
        <w:rPr>
          <w:w w:val="105"/>
          <w:sz w:val="18"/>
        </w:rPr>
        <w:t>O</w:t>
      </w:r>
      <w:r>
        <w:rPr>
          <w:w w:val="105"/>
          <w:sz w:val="14"/>
        </w:rPr>
        <w:t>BJETO DE LA FORMA DE INTERVENCIÓN</w:t>
      </w:r>
    </w:p>
    <w:p w:rsidR="00A63476" w:rsidRDefault="00D22874">
      <w:pPr>
        <w:pStyle w:val="Textoindependiente"/>
        <w:spacing w:before="93" w:line="247" w:lineRule="auto"/>
      </w:pPr>
      <w:r>
        <w:t xml:space="preserve">Se refiere a las intervenciones de vivienda en zonas urbanas específicas con altos y muy altos índices de marginación que, por su naturaleza funcional y demográfica (zonas metropolitanas, zonas fronterizas y zonas turísticas), requieren la convergencia de </w:t>
      </w:r>
      <w:r>
        <w:t>políticas y acciones de los distintos sectores del gobierno federal y de los órdenes de gobierno estatal y municipal.</w:t>
      </w:r>
    </w:p>
    <w:p w:rsidR="00A63476" w:rsidRDefault="00D22874">
      <w:pPr>
        <w:pStyle w:val="Textoindependiente"/>
        <w:spacing w:before="87" w:line="254" w:lineRule="auto"/>
      </w:pPr>
      <w:r>
        <w:t>Los esquemas de operación aplicables son: Subsidio proveniente de los gobiernos de las Entidades Federativas a través de los Organismos Es</w:t>
      </w:r>
      <w:r>
        <w:t xml:space="preserve">tatales de Vivienda, más subsidio </w:t>
      </w:r>
      <w:r>
        <w:rPr>
          <w:spacing w:val="-3"/>
        </w:rPr>
        <w:t xml:space="preserve">CONAVI, </w:t>
      </w:r>
      <w:r>
        <w:t xml:space="preserve">más ahorro previo de la persona beneficiaria.; Crédito otorgado por una entidad ejecutora, más subsidio </w:t>
      </w:r>
      <w:r>
        <w:rPr>
          <w:spacing w:val="-3"/>
        </w:rPr>
        <w:t xml:space="preserve">CONAVI, </w:t>
      </w:r>
      <w:r>
        <w:t xml:space="preserve">más ahorro </w:t>
      </w:r>
      <w:r>
        <w:rPr>
          <w:spacing w:val="-3"/>
        </w:rPr>
        <w:t xml:space="preserve">previo </w:t>
      </w:r>
      <w:r>
        <w:t xml:space="preserve">de la persona beneficiaria; </w:t>
      </w:r>
      <w:r>
        <w:rPr>
          <w:spacing w:val="-7"/>
        </w:rPr>
        <w:t xml:space="preserve">y, </w:t>
      </w:r>
      <w:r>
        <w:t xml:space="preserve">Subsidio </w:t>
      </w:r>
      <w:r>
        <w:rPr>
          <w:spacing w:val="-3"/>
        </w:rPr>
        <w:t>CONAVI</w:t>
      </w:r>
      <w:r>
        <w:rPr>
          <w:spacing w:val="4"/>
        </w:rPr>
        <w:t xml:space="preserve"> </w:t>
      </w:r>
      <w:r>
        <w:t>100%.</w:t>
      </w:r>
    </w:p>
    <w:p w:rsidR="00A63476" w:rsidRDefault="00D22874">
      <w:pPr>
        <w:spacing w:before="82"/>
        <w:ind w:left="800"/>
        <w:rPr>
          <w:sz w:val="14"/>
        </w:rPr>
      </w:pPr>
      <w:r>
        <w:rPr>
          <w:w w:val="105"/>
          <w:sz w:val="18"/>
        </w:rPr>
        <w:t>M</w:t>
      </w:r>
      <w:r>
        <w:rPr>
          <w:w w:val="105"/>
          <w:sz w:val="14"/>
        </w:rPr>
        <w:t>ODALIDADES DE APLICACIÓN DEL S</w:t>
      </w:r>
      <w:r>
        <w:rPr>
          <w:w w:val="105"/>
          <w:sz w:val="14"/>
        </w:rPr>
        <w:t>UBSIDIO Y LÍNEAS DE APOYO</w:t>
      </w:r>
    </w:p>
    <w:p w:rsidR="00A63476" w:rsidRDefault="00D22874">
      <w:pPr>
        <w:pStyle w:val="Textoindependiente"/>
        <w:spacing w:before="93" w:line="254" w:lineRule="auto"/>
      </w:pPr>
      <w:r>
        <w:t>Las modalidades para la aplicación del subsidio en esta forma de intervención son: Vivienda en Espacio Edificable Rural o Urbano; y, Mejoramiento de Unidades Habitacionales. Solo en caso de que fuera necesaria</w:t>
      </w:r>
    </w:p>
    <w:p w:rsidR="00A63476" w:rsidRDefault="00A63476">
      <w:pPr>
        <w:spacing w:line="254" w:lineRule="auto"/>
        <w:sectPr w:rsidR="00A63476">
          <w:pgSz w:w="12240" w:h="15840"/>
          <w:pgMar w:top="920" w:right="1040" w:bottom="280" w:left="1180" w:header="700" w:footer="0" w:gutter="0"/>
          <w:cols w:space="720"/>
        </w:sectPr>
      </w:pPr>
    </w:p>
    <w:p w:rsidR="00A63476" w:rsidRDefault="00A63476">
      <w:pPr>
        <w:pStyle w:val="Textoindependiente"/>
        <w:spacing w:before="8"/>
        <w:ind w:left="0" w:right="0" w:firstLine="0"/>
        <w:jc w:val="left"/>
        <w:rPr>
          <w:sz w:val="10"/>
        </w:rPr>
      </w:pPr>
    </w:p>
    <w:p w:rsidR="00A63476" w:rsidRDefault="00D22874">
      <w:pPr>
        <w:pStyle w:val="Textoindependiente"/>
        <w:spacing w:before="95" w:line="254" w:lineRule="auto"/>
        <w:ind w:firstLine="0"/>
      </w:pPr>
      <w:r>
        <w:t>la re</w:t>
      </w:r>
      <w:r>
        <w:t>ubicación de vivienda, podrá optarse por las modalidades de Vivienda en Conjunto Habitacional y Adquisición de Vivienda, aplican procesos de autoadministración o autoproducción con asistencia técnica. Así mismo se podrá optar por la contratación directa de</w:t>
      </w:r>
      <w:r>
        <w:t xml:space="preserve"> empresas constructoras u Organismos Ejecutores </w:t>
      </w:r>
      <w:r>
        <w:rPr>
          <w:spacing w:val="-6"/>
        </w:rPr>
        <w:t xml:space="preserve">de </w:t>
      </w:r>
      <w:r>
        <w:t>Obra, preferentemente locales, previamente acreditados ante</w:t>
      </w:r>
      <w:r>
        <w:rPr>
          <w:spacing w:val="-2"/>
        </w:rPr>
        <w:t xml:space="preserve"> </w:t>
      </w:r>
      <w:r>
        <w:rPr>
          <w:spacing w:val="-3"/>
        </w:rPr>
        <w:t>CONAVI.</w:t>
      </w:r>
    </w:p>
    <w:p w:rsidR="00A63476" w:rsidRDefault="00D22874">
      <w:pPr>
        <w:spacing w:before="82"/>
        <w:ind w:left="800"/>
        <w:rPr>
          <w:sz w:val="14"/>
        </w:rPr>
      </w:pPr>
      <w:r>
        <w:rPr>
          <w:w w:val="105"/>
          <w:sz w:val="18"/>
        </w:rPr>
        <w:t>P</w:t>
      </w:r>
      <w:r>
        <w:rPr>
          <w:w w:val="105"/>
          <w:sz w:val="14"/>
        </w:rPr>
        <w:t>OBLACIÓN BENEFICIARIA</w:t>
      </w:r>
    </w:p>
    <w:p w:rsidR="00A63476" w:rsidRDefault="00D22874">
      <w:pPr>
        <w:pStyle w:val="Textoindependiente"/>
        <w:spacing w:before="93" w:line="247" w:lineRule="auto"/>
      </w:pPr>
      <w:r>
        <w:t>En cuanto a la población beneficiaria, en ambos casos podrá recibir un subsidio para incorporarse al Programa de V</w:t>
      </w:r>
      <w:r>
        <w:t xml:space="preserve">ivienda, la población que se encuentre identificada dentro de los polígonos de intervención definidos por la SEDATU o por la CONAVI, que cumpla con los criterios y requisitos para la población objetivo dispuestos en el numeral 4.4. de las presentes Reglas </w:t>
      </w:r>
      <w:r>
        <w:t>de Operación.</w:t>
      </w:r>
    </w:p>
    <w:p w:rsidR="00A63476" w:rsidRDefault="00D22874">
      <w:pPr>
        <w:pStyle w:val="Textoindependiente"/>
        <w:spacing w:before="87" w:line="254" w:lineRule="auto"/>
      </w:pPr>
      <w:r>
        <w:t>Como parte de las acciones del Programa, podrán acceder al subsidio para intervención habitacional, quienes aun sin tener la propiedad regularizada, se hayan inscrito para tal efecto en el Programa para la Regularización de Asentamientos Huma</w:t>
      </w:r>
      <w:r>
        <w:t>nos (PRAH), coordinado por el INSUS, teniendo en cuenta que, en todo caso, los procesos se deben atender de manera simultánea y ser concluidos satisfactoriamente. En caso de incumplimiento se estará sujeto a las sanciones previstas en las presentes Reglas.</w:t>
      </w:r>
    </w:p>
    <w:p w:rsidR="00A63476" w:rsidRDefault="00D22874">
      <w:pPr>
        <w:pStyle w:val="Textoindependiente"/>
        <w:spacing w:before="83" w:line="249" w:lineRule="auto"/>
      </w:pPr>
      <w:r>
        <w:t>En caso de que, durante el proceso de diagnóstico para la definición de los polígonos a intervenir, se determine la necesidad de relocalizar o reubicar parcial o totalmente algún asentamiento, se podrá gestionar la reubicación en acompañamiento con el INS</w:t>
      </w:r>
      <w:r>
        <w:t>US, considerando dentro de los alcances del subsidio</w:t>
      </w:r>
      <w:r>
        <w:rPr>
          <w:spacing w:val="36"/>
        </w:rPr>
        <w:t xml:space="preserve"> </w:t>
      </w:r>
      <w:r>
        <w:t xml:space="preserve">la adquisición de un nuevo terreno. Se podrá diseñar la intervención, en las mismas condiciones señaladas </w:t>
      </w:r>
      <w:r>
        <w:rPr>
          <w:spacing w:val="-3"/>
        </w:rPr>
        <w:t xml:space="preserve">para </w:t>
      </w:r>
      <w:r>
        <w:t>la línea Reubicación de</w:t>
      </w:r>
      <w:r>
        <w:rPr>
          <w:spacing w:val="-1"/>
        </w:rPr>
        <w:t xml:space="preserve"> </w:t>
      </w:r>
      <w:r>
        <w:t>Vivienda.</w:t>
      </w:r>
    </w:p>
    <w:p w:rsidR="00A63476" w:rsidRDefault="00D22874">
      <w:pPr>
        <w:pStyle w:val="Textoindependiente"/>
        <w:spacing w:before="84" w:line="249" w:lineRule="auto"/>
      </w:pPr>
      <w:r>
        <w:t>Cabe hacer mención que, conforme a lo descrito en las cara</w:t>
      </w:r>
      <w:r>
        <w:t>cterísticas de la población objetivo, en caso de derechohabientes de INFONAVIT, FOVISSSTE o de otro Organismo de Seguridad Social federal estatal o municipal, que tienen un ingreso individual de hasta 2.8 veces el valor de la UMA, lo mismo que la población</w:t>
      </w:r>
      <w:r>
        <w:t xml:space="preserve"> no derechohabiente con ingreso individual de hasta 5 veces el valor de la UMA y que cuenten con un crédito de vivienda por parte de una Entidad Ejecutora, podrán optar por las modalidades Adquisición de Vivienda Nueva o Usada; Mejoramiento, Ampliación de </w:t>
      </w:r>
      <w:r>
        <w:t>Vivienda; y, Autoproducción de vivienda nueva.</w:t>
      </w:r>
    </w:p>
    <w:p w:rsidR="00A63476" w:rsidRDefault="00D22874">
      <w:pPr>
        <w:pStyle w:val="Textoindependiente"/>
        <w:spacing w:before="88" w:line="254" w:lineRule="auto"/>
        <w:ind w:right="663"/>
      </w:pPr>
      <w:r>
        <w:t>La población beneficiaria en esta forma de intervención también podrá ser aquélla no derechohabiente con ingreso individual de hasta cinco (5) veces el valor de la UMA, que habita en los polígonos señalados.</w:t>
      </w:r>
    </w:p>
    <w:p w:rsidR="00A63476" w:rsidRDefault="00D22874">
      <w:pPr>
        <w:pStyle w:val="Textoindependiente"/>
        <w:spacing w:before="81" w:line="247" w:lineRule="auto"/>
        <w:ind w:right="654"/>
      </w:pPr>
      <w:r>
        <w:t>En caso de que el subsidio para la persona beneficiaria se encuentre ligado con el subsidio otorgado por el Programa para la Regularización de Asentamientos Humanos (PRAH) del predio motivo de intervención; éste deberá iniciar y concluir su trámite de regu</w:t>
      </w:r>
      <w:r>
        <w:t>larización a través del INSUS. En caso de no realizarlo, deberá restituir el monto del subsidio otorgado, con los accesorios de Ley que correspondan.</w:t>
      </w:r>
    </w:p>
    <w:p w:rsidR="00A63476" w:rsidRDefault="00D22874">
      <w:pPr>
        <w:spacing w:before="88"/>
        <w:ind w:left="800"/>
        <w:rPr>
          <w:sz w:val="14"/>
        </w:rPr>
      </w:pPr>
      <w:r>
        <w:rPr>
          <w:w w:val="105"/>
          <w:sz w:val="18"/>
        </w:rPr>
        <w:t>P</w:t>
      </w:r>
      <w:r>
        <w:rPr>
          <w:w w:val="105"/>
          <w:sz w:val="14"/>
        </w:rPr>
        <w:t>OBLACIÓN PRIORITARIA</w:t>
      </w:r>
    </w:p>
    <w:p w:rsidR="00A63476" w:rsidRDefault="00D22874">
      <w:pPr>
        <w:pStyle w:val="Textoindependiente"/>
        <w:spacing w:before="113" w:line="242" w:lineRule="auto"/>
      </w:pPr>
      <w:r>
        <w:t xml:space="preserve">Población que habita en zonas urbanas con alto o muy alto índice de marginación y/o </w:t>
      </w:r>
      <w:r>
        <w:t>en zonas con altos índices de violencia e inseguridad, según los criterios establecidos por la Subsecretaría de Desarrollo Urbano y</w:t>
      </w:r>
      <w:r>
        <w:rPr>
          <w:spacing w:val="-1"/>
        </w:rPr>
        <w:t xml:space="preserve"> </w:t>
      </w:r>
      <w:r>
        <w:t>Vivienda.</w:t>
      </w:r>
    </w:p>
    <w:p w:rsidR="00A63476" w:rsidRDefault="00D22874">
      <w:pPr>
        <w:pStyle w:val="Ttulo2"/>
        <w:numPr>
          <w:ilvl w:val="0"/>
          <w:numId w:val="48"/>
        </w:numPr>
        <w:tabs>
          <w:tab w:val="left" w:pos="1219"/>
        </w:tabs>
        <w:spacing w:before="93"/>
        <w:jc w:val="both"/>
      </w:pPr>
      <w:r>
        <w:t>Vivienda en Conjunto</w:t>
      </w:r>
      <w:r>
        <w:rPr>
          <w:spacing w:val="-3"/>
        </w:rPr>
        <w:t xml:space="preserve"> </w:t>
      </w:r>
      <w:r>
        <w:t>Habitacional</w:t>
      </w:r>
    </w:p>
    <w:p w:rsidR="00A63476" w:rsidRDefault="00D22874">
      <w:pPr>
        <w:pStyle w:val="Textoindependiente"/>
        <w:spacing w:before="93" w:line="254" w:lineRule="auto"/>
      </w:pPr>
      <w:r>
        <w:t>Esta modalidad corresponde a la construcción de conjuntos habitacionales de vivienda nueva en desarrollos verticales u horizontales, priorizando los verticales, preferentemente con procesos participativos en el diseño y construcción de la vivienda.</w:t>
      </w:r>
    </w:p>
    <w:p w:rsidR="00A63476" w:rsidRDefault="00D22874">
      <w:pPr>
        <w:pStyle w:val="Textoindependiente"/>
        <w:spacing w:before="81" w:line="249" w:lineRule="auto"/>
      </w:pPr>
      <w:r>
        <w:t>El desa</w:t>
      </w:r>
      <w:r>
        <w:t>rrollo de Vivienda en Conjunto Habitacional está orientado a optimizar el uso del suelo habitacional en zonas urbanas que cuentan con servicios y equipamiento urbano disponible, constituye una estrategia de redensificación habitacional al interior de las c</w:t>
      </w:r>
      <w:r>
        <w:t>iudades. Se ubica en predios con uso habitacional y con factibilidad de servicios, en un proceso único de edificación que cumpla con las regulaciones de densidad, superficie construida, seguridad estructural, instalaciones, servicios, áreas de uso común en</w:t>
      </w:r>
      <w:r>
        <w:t>tre otros, establecidos por la reglamentación local correspondiente.</w:t>
      </w:r>
    </w:p>
    <w:p w:rsidR="00A63476" w:rsidRDefault="00D22874">
      <w:pPr>
        <w:pStyle w:val="Textoindependiente"/>
        <w:spacing w:before="109" w:line="254" w:lineRule="auto"/>
        <w:ind w:right="663"/>
      </w:pPr>
      <w:r>
        <w:t>Las líneas de apoyo aplicables son: Adquisición de suelo; Estudios y proyectos; Demolición; Edificación; Gastos complementarios; Obra de Alcance Mayor; Sustentabilidad; Espacio Auxiliar C</w:t>
      </w:r>
      <w:r>
        <w:t>omunitario.</w:t>
      </w:r>
    </w:p>
    <w:p w:rsidR="00A63476" w:rsidRDefault="00D22874">
      <w:pPr>
        <w:pStyle w:val="Prrafodelista"/>
        <w:numPr>
          <w:ilvl w:val="0"/>
          <w:numId w:val="49"/>
        </w:numPr>
        <w:tabs>
          <w:tab w:val="left" w:pos="1232"/>
        </w:tabs>
        <w:spacing w:before="121" w:line="254" w:lineRule="auto"/>
        <w:ind w:right="654" w:hanging="440"/>
        <w:rPr>
          <w:sz w:val="18"/>
        </w:rPr>
      </w:pPr>
      <w:r>
        <w:rPr>
          <w:sz w:val="18"/>
          <w:u w:val="single"/>
        </w:rPr>
        <w:t>Adquisición de suelo.</w:t>
      </w:r>
      <w:r>
        <w:rPr>
          <w:sz w:val="18"/>
        </w:rPr>
        <w:t xml:space="preserve"> La </w:t>
      </w:r>
      <w:r>
        <w:rPr>
          <w:spacing w:val="-3"/>
          <w:sz w:val="18"/>
        </w:rPr>
        <w:t xml:space="preserve">CONAVI </w:t>
      </w:r>
      <w:r>
        <w:rPr>
          <w:sz w:val="18"/>
        </w:rPr>
        <w:t>podrá otorgar subsidio de hasta por la cantidad equivalente a 45 veces el valor de la UMA por unidad de vivienda, para la adquisición de suelo urbano, para incorporarlo al desarrollo de un programa de vivienda en</w:t>
      </w:r>
      <w:r>
        <w:rPr>
          <w:sz w:val="18"/>
        </w:rPr>
        <w:t xml:space="preserve"> la modalidad de Vivienda en Conjunto Habitacional. En la adquisición de suelo para vivienda se tomará siempre en cuenta la variable </w:t>
      </w:r>
      <w:r>
        <w:rPr>
          <w:spacing w:val="-7"/>
          <w:sz w:val="18"/>
        </w:rPr>
        <w:t xml:space="preserve">de </w:t>
      </w:r>
      <w:r>
        <w:rPr>
          <w:sz w:val="18"/>
        </w:rPr>
        <w:t>riesgo de</w:t>
      </w:r>
      <w:r>
        <w:rPr>
          <w:spacing w:val="-1"/>
          <w:sz w:val="18"/>
        </w:rPr>
        <w:t xml:space="preserve"> </w:t>
      </w:r>
      <w:r>
        <w:rPr>
          <w:sz w:val="18"/>
        </w:rPr>
        <w:t>desastres.</w:t>
      </w:r>
    </w:p>
    <w:p w:rsidR="00A63476" w:rsidRDefault="00D22874">
      <w:pPr>
        <w:pStyle w:val="Prrafodelista"/>
        <w:numPr>
          <w:ilvl w:val="0"/>
          <w:numId w:val="49"/>
        </w:numPr>
        <w:tabs>
          <w:tab w:val="left" w:pos="1232"/>
        </w:tabs>
        <w:spacing w:before="103" w:line="266" w:lineRule="auto"/>
        <w:ind w:right="655" w:hanging="440"/>
        <w:rPr>
          <w:sz w:val="18"/>
        </w:rPr>
      </w:pPr>
      <w:r>
        <w:rPr>
          <w:sz w:val="18"/>
          <w:u w:val="single"/>
        </w:rPr>
        <w:t>Estudios y proyectos.</w:t>
      </w:r>
      <w:r>
        <w:rPr>
          <w:sz w:val="18"/>
        </w:rPr>
        <w:t xml:space="preserve"> Como parte integral de la construcción de vivienda en conjunto habitacional, </w:t>
      </w:r>
      <w:r>
        <w:rPr>
          <w:sz w:val="18"/>
        </w:rPr>
        <w:t xml:space="preserve">la </w:t>
      </w:r>
      <w:r>
        <w:rPr>
          <w:spacing w:val="-3"/>
          <w:sz w:val="18"/>
        </w:rPr>
        <w:t xml:space="preserve">CONAVI </w:t>
      </w:r>
      <w:r>
        <w:rPr>
          <w:sz w:val="18"/>
        </w:rPr>
        <w:t>podrá otorgar subsidio para desarrollar e integrar la documentación de carácter técnico, social, financiero, jurídico y administrativo que permita sustentar los proyectos propuestos para</w:t>
      </w:r>
      <w:r>
        <w:rPr>
          <w:spacing w:val="-5"/>
          <w:sz w:val="18"/>
        </w:rPr>
        <w:t xml:space="preserve"> </w:t>
      </w:r>
      <w:r>
        <w:rPr>
          <w:sz w:val="18"/>
        </w:rPr>
        <w:t>recibir</w:t>
      </w:r>
    </w:p>
    <w:p w:rsidR="00A63476" w:rsidRDefault="00A63476">
      <w:pPr>
        <w:spacing w:line="266" w:lineRule="auto"/>
        <w:jc w:val="both"/>
        <w:rPr>
          <w:sz w:val="18"/>
        </w:rPr>
        <w:sectPr w:rsidR="00A63476">
          <w:pgSz w:w="12240" w:h="15840"/>
          <w:pgMar w:top="920" w:right="1040" w:bottom="280" w:left="1180" w:header="700" w:footer="0" w:gutter="0"/>
          <w:cols w:space="720"/>
        </w:sectPr>
      </w:pPr>
    </w:p>
    <w:p w:rsidR="00A63476" w:rsidRDefault="00A63476">
      <w:pPr>
        <w:pStyle w:val="Textoindependiente"/>
        <w:spacing w:before="5"/>
        <w:ind w:left="0" w:right="0" w:firstLine="0"/>
        <w:jc w:val="left"/>
        <w:rPr>
          <w:sz w:val="12"/>
        </w:rPr>
      </w:pPr>
    </w:p>
    <w:p w:rsidR="00A63476" w:rsidRDefault="00D22874">
      <w:pPr>
        <w:pStyle w:val="Textoindependiente"/>
        <w:spacing w:before="95" w:line="254" w:lineRule="auto"/>
        <w:ind w:left="1240" w:firstLine="0"/>
      </w:pPr>
      <w:r>
        <w:t>el apoyo por la cantidad de hasta 2.</w:t>
      </w:r>
      <w:r>
        <w:t>5% del monto de la obra, por la totalidad de viviendas contempladas en el Conjunto Habitacional.</w:t>
      </w:r>
    </w:p>
    <w:p w:rsidR="00A63476" w:rsidRDefault="00D22874">
      <w:pPr>
        <w:pStyle w:val="Prrafodelista"/>
        <w:numPr>
          <w:ilvl w:val="0"/>
          <w:numId w:val="49"/>
        </w:numPr>
        <w:tabs>
          <w:tab w:val="left" w:pos="1232"/>
        </w:tabs>
        <w:spacing w:line="259" w:lineRule="auto"/>
        <w:ind w:right="655" w:hanging="440"/>
        <w:rPr>
          <w:sz w:val="18"/>
        </w:rPr>
      </w:pPr>
      <w:r>
        <w:rPr>
          <w:sz w:val="18"/>
          <w:u w:val="single"/>
        </w:rPr>
        <w:t>Edificación</w:t>
      </w:r>
      <w:r>
        <w:rPr>
          <w:sz w:val="18"/>
        </w:rPr>
        <w:t xml:space="preserve">. Como parte integral de la construcción de vivienda en conjunto habitacional, la </w:t>
      </w:r>
      <w:r>
        <w:rPr>
          <w:spacing w:val="-3"/>
          <w:sz w:val="18"/>
        </w:rPr>
        <w:t xml:space="preserve">CONAVI </w:t>
      </w:r>
      <w:r>
        <w:rPr>
          <w:sz w:val="18"/>
        </w:rPr>
        <w:t>podrá otorgar subsidio de hasta por la cantidad equivalente</w:t>
      </w:r>
      <w:r>
        <w:rPr>
          <w:sz w:val="18"/>
        </w:rPr>
        <w:t xml:space="preserve"> a </w:t>
      </w:r>
      <w:r>
        <w:rPr>
          <w:spacing w:val="-5"/>
          <w:sz w:val="18"/>
        </w:rPr>
        <w:t xml:space="preserve">113 </w:t>
      </w:r>
      <w:r>
        <w:rPr>
          <w:sz w:val="18"/>
        </w:rPr>
        <w:t xml:space="preserve">veces el valor de la UMA, por unidad de vivienda, para los trabajos de construcción de vivienda nueva mediante la contratación </w:t>
      </w:r>
      <w:r>
        <w:rPr>
          <w:spacing w:val="-6"/>
          <w:sz w:val="18"/>
        </w:rPr>
        <w:t xml:space="preserve">de </w:t>
      </w:r>
      <w:r>
        <w:rPr>
          <w:sz w:val="18"/>
        </w:rPr>
        <w:t xml:space="preserve">empresas constructoras, previamente registradas ante la Comisión, que apliquen procesos industrializados o a través de </w:t>
      </w:r>
      <w:r>
        <w:rPr>
          <w:sz w:val="18"/>
        </w:rPr>
        <w:t xml:space="preserve">procesos de autoadministración, en los que participan directamente </w:t>
      </w:r>
      <w:r>
        <w:rPr>
          <w:spacing w:val="-4"/>
          <w:sz w:val="18"/>
        </w:rPr>
        <w:t xml:space="preserve">las </w:t>
      </w:r>
      <w:r>
        <w:rPr>
          <w:sz w:val="18"/>
        </w:rPr>
        <w:t xml:space="preserve">personas beneficiarias y su equipo técnico, validado por la propia </w:t>
      </w:r>
      <w:r>
        <w:rPr>
          <w:spacing w:val="-3"/>
          <w:sz w:val="18"/>
        </w:rPr>
        <w:t>CONAVI.</w:t>
      </w:r>
    </w:p>
    <w:p w:rsidR="00A63476" w:rsidRDefault="00D22874">
      <w:pPr>
        <w:pStyle w:val="Prrafodelista"/>
        <w:numPr>
          <w:ilvl w:val="0"/>
          <w:numId w:val="49"/>
        </w:numPr>
        <w:tabs>
          <w:tab w:val="left" w:pos="1232"/>
        </w:tabs>
        <w:spacing w:before="98" w:line="254" w:lineRule="auto"/>
        <w:ind w:right="655" w:hanging="440"/>
        <w:rPr>
          <w:sz w:val="18"/>
        </w:rPr>
      </w:pPr>
      <w:r>
        <w:rPr>
          <w:sz w:val="18"/>
          <w:u w:val="single"/>
        </w:rPr>
        <w:t>Espacio Auxiliar Comunitario</w:t>
      </w:r>
      <w:r>
        <w:rPr>
          <w:sz w:val="18"/>
        </w:rPr>
        <w:t xml:space="preserve">. Con la finalidad de contribuir al desarrollo de actividades culturales o productivas, de las comunidades y como parte integral de la construcción de vivienda en conjunto habitacional, la </w:t>
      </w:r>
      <w:r>
        <w:rPr>
          <w:spacing w:val="-3"/>
          <w:sz w:val="18"/>
        </w:rPr>
        <w:t xml:space="preserve">CONAVI </w:t>
      </w:r>
      <w:r>
        <w:rPr>
          <w:sz w:val="18"/>
        </w:rPr>
        <w:t>podrá otorgar subsidio comunitario equivalente, hasta por la</w:t>
      </w:r>
      <w:r>
        <w:rPr>
          <w:sz w:val="18"/>
        </w:rPr>
        <w:t xml:space="preserve"> cantidad equivalente a 172 veces el valor de la UMA y que corresponde al subsidio total de una vivienda, </w:t>
      </w:r>
      <w:r>
        <w:rPr>
          <w:spacing w:val="-6"/>
          <w:sz w:val="18"/>
        </w:rPr>
        <w:t xml:space="preserve">que </w:t>
      </w:r>
      <w:r>
        <w:rPr>
          <w:sz w:val="18"/>
        </w:rPr>
        <w:t>se distribuirá entre todos los beneficiarios del</w:t>
      </w:r>
      <w:r>
        <w:rPr>
          <w:spacing w:val="-1"/>
          <w:sz w:val="18"/>
        </w:rPr>
        <w:t xml:space="preserve"> </w:t>
      </w:r>
      <w:r>
        <w:rPr>
          <w:sz w:val="18"/>
        </w:rPr>
        <w:t>proyecto.</w:t>
      </w:r>
    </w:p>
    <w:p w:rsidR="00A63476" w:rsidRDefault="00D22874">
      <w:pPr>
        <w:pStyle w:val="Prrafodelista"/>
        <w:numPr>
          <w:ilvl w:val="0"/>
          <w:numId w:val="49"/>
        </w:numPr>
        <w:tabs>
          <w:tab w:val="left" w:pos="1232"/>
        </w:tabs>
        <w:spacing w:before="123" w:line="254" w:lineRule="auto"/>
        <w:ind w:right="655" w:hanging="440"/>
        <w:rPr>
          <w:sz w:val="18"/>
        </w:rPr>
      </w:pPr>
      <w:r>
        <w:rPr>
          <w:sz w:val="18"/>
          <w:u w:val="single"/>
        </w:rPr>
        <w:t>Demolición</w:t>
      </w:r>
      <w:r>
        <w:rPr>
          <w:sz w:val="18"/>
        </w:rPr>
        <w:t>. Como parte integral de la construcción de vivienda en conjunto habitacional</w:t>
      </w:r>
      <w:r>
        <w:rPr>
          <w:sz w:val="18"/>
        </w:rPr>
        <w:t xml:space="preserve">, la </w:t>
      </w:r>
      <w:r>
        <w:rPr>
          <w:spacing w:val="-3"/>
          <w:sz w:val="18"/>
        </w:rPr>
        <w:t xml:space="preserve">CONAVI </w:t>
      </w:r>
      <w:r>
        <w:rPr>
          <w:sz w:val="18"/>
        </w:rPr>
        <w:t>podrá otorgar subsidio hasta por la cantidad equivalente a 6 veces el valor de la UMA, por unidad de vivienda para demoler las construcciones existentes en un terreno donde se desarrollarán viviendas nuevas.</w:t>
      </w:r>
    </w:p>
    <w:p w:rsidR="00A63476" w:rsidRDefault="00D22874">
      <w:pPr>
        <w:pStyle w:val="Prrafodelista"/>
        <w:numPr>
          <w:ilvl w:val="0"/>
          <w:numId w:val="49"/>
        </w:numPr>
        <w:tabs>
          <w:tab w:val="left" w:pos="1232"/>
        </w:tabs>
        <w:spacing w:before="103" w:line="264" w:lineRule="auto"/>
        <w:ind w:right="655" w:hanging="440"/>
        <w:rPr>
          <w:sz w:val="18"/>
        </w:rPr>
      </w:pPr>
      <w:r>
        <w:rPr>
          <w:sz w:val="18"/>
          <w:u w:val="single"/>
        </w:rPr>
        <w:t>Gastos complementarios</w:t>
      </w:r>
      <w:r>
        <w:rPr>
          <w:sz w:val="18"/>
        </w:rPr>
        <w:t>. Como parte i</w:t>
      </w:r>
      <w:r>
        <w:rPr>
          <w:sz w:val="18"/>
        </w:rPr>
        <w:t xml:space="preserve">ntegral de la construcción de vivienda en conjunto habitacional, la </w:t>
      </w:r>
      <w:r>
        <w:rPr>
          <w:spacing w:val="-3"/>
          <w:sz w:val="18"/>
        </w:rPr>
        <w:t xml:space="preserve">CONAVI </w:t>
      </w:r>
      <w:r>
        <w:rPr>
          <w:sz w:val="18"/>
        </w:rPr>
        <w:t>podrá otorgar Subsidio destinado a cubrir los gastos relacionados con supervisión externa, laboratorio de control, Director Responsable de Obra, electrificación y escrituración hasta por la cantidad equivalente a 13 veces el valor de la UMA, por unidad de</w:t>
      </w:r>
      <w:r>
        <w:rPr>
          <w:spacing w:val="-2"/>
          <w:sz w:val="18"/>
        </w:rPr>
        <w:t xml:space="preserve"> </w:t>
      </w:r>
      <w:r>
        <w:rPr>
          <w:sz w:val="18"/>
        </w:rPr>
        <w:t>vivienda.</w:t>
      </w:r>
    </w:p>
    <w:p w:rsidR="00A63476" w:rsidRDefault="00D22874">
      <w:pPr>
        <w:pStyle w:val="Prrafodelista"/>
        <w:numPr>
          <w:ilvl w:val="0"/>
          <w:numId w:val="49"/>
        </w:numPr>
        <w:tabs>
          <w:tab w:val="left" w:pos="1232"/>
        </w:tabs>
        <w:spacing w:before="89" w:line="256" w:lineRule="auto"/>
        <w:ind w:right="655" w:hanging="440"/>
        <w:rPr>
          <w:sz w:val="18"/>
        </w:rPr>
      </w:pPr>
      <w:r>
        <w:rPr>
          <w:sz w:val="18"/>
          <w:u w:val="single"/>
        </w:rPr>
        <w:t>Obra de Alcance Mayor.</w:t>
      </w:r>
      <w:r>
        <w:rPr>
          <w:sz w:val="18"/>
        </w:rPr>
        <w:t xml:space="preserve"> Como parte integral de la construcción de vivienda en conjunto habitacional, la </w:t>
      </w:r>
      <w:r>
        <w:rPr>
          <w:spacing w:val="-3"/>
          <w:sz w:val="18"/>
        </w:rPr>
        <w:t xml:space="preserve">CONAVI </w:t>
      </w:r>
      <w:r>
        <w:rPr>
          <w:sz w:val="18"/>
        </w:rPr>
        <w:t>podrá otorgar subsidio que se aplica en los predios cuyo número de acciones de vivienda y capacidad de servicios de las instalaciones do</w:t>
      </w:r>
      <w:r>
        <w:rPr>
          <w:sz w:val="18"/>
        </w:rPr>
        <w:t xml:space="preserve">mésticas, así como por su disposición en el terreno y su diseño de conjunto, requieren obras de mayor alcance, en cuanto al suministro de servicios básicos (agua potable, drenaje, energía eléctrica y alumbrado exterior), así como para el </w:t>
      </w:r>
      <w:r>
        <w:rPr>
          <w:spacing w:val="-3"/>
          <w:sz w:val="18"/>
        </w:rPr>
        <w:t xml:space="preserve">óptimo </w:t>
      </w:r>
      <w:r>
        <w:rPr>
          <w:sz w:val="18"/>
        </w:rPr>
        <w:t>funcionamie</w:t>
      </w:r>
      <w:r>
        <w:rPr>
          <w:sz w:val="18"/>
        </w:rPr>
        <w:t xml:space="preserve">nto interior de los conjuntos (áreas de circulación peatonal o vehicular). Tiene como finalidad reducir el costo que arrojan tales instalaciones, en virtud de la magnitud y complejidad de éstas y del proyecto de vivienda, hasta por la cantidad equivalente </w:t>
      </w:r>
      <w:r>
        <w:rPr>
          <w:sz w:val="18"/>
        </w:rPr>
        <w:t>de 13 veces el valor de la UMA, por unidad de vivienda.</w:t>
      </w:r>
    </w:p>
    <w:p w:rsidR="00A63476" w:rsidRDefault="00D22874">
      <w:pPr>
        <w:pStyle w:val="Prrafodelista"/>
        <w:numPr>
          <w:ilvl w:val="0"/>
          <w:numId w:val="49"/>
        </w:numPr>
        <w:tabs>
          <w:tab w:val="left" w:pos="1232"/>
        </w:tabs>
        <w:spacing w:before="107" w:line="259" w:lineRule="auto"/>
        <w:ind w:right="655" w:hanging="440"/>
        <w:rPr>
          <w:sz w:val="18"/>
        </w:rPr>
      </w:pPr>
      <w:r>
        <w:rPr>
          <w:sz w:val="18"/>
          <w:u w:val="single"/>
        </w:rPr>
        <w:t>Sustentabilidad</w:t>
      </w:r>
      <w:r>
        <w:rPr>
          <w:sz w:val="18"/>
        </w:rPr>
        <w:t xml:space="preserve">. La </w:t>
      </w:r>
      <w:r>
        <w:rPr>
          <w:spacing w:val="-3"/>
          <w:sz w:val="18"/>
        </w:rPr>
        <w:t xml:space="preserve">CONAVI </w:t>
      </w:r>
      <w:r>
        <w:rPr>
          <w:sz w:val="18"/>
        </w:rPr>
        <w:t>podrá otorgar subsidio hasta por la cantidad equivalente a 13 veces el valor de la UMA, por unidad de vivienda, para la aplicación de diseños e instalación de tecnologías qu</w:t>
      </w:r>
      <w:r>
        <w:rPr>
          <w:sz w:val="18"/>
        </w:rPr>
        <w:t xml:space="preserve">e permitan la disminución de emisiones de bióxido de carbono, el ahorro de energía y el ahorro </w:t>
      </w:r>
      <w:r>
        <w:rPr>
          <w:spacing w:val="-17"/>
          <w:sz w:val="18"/>
        </w:rPr>
        <w:t>y</w:t>
      </w:r>
      <w:r>
        <w:rPr>
          <w:spacing w:val="16"/>
          <w:sz w:val="18"/>
        </w:rPr>
        <w:t xml:space="preserve"> </w:t>
      </w:r>
      <w:r>
        <w:rPr>
          <w:sz w:val="18"/>
        </w:rPr>
        <w:t>manejo adecuado del agua en la vivienda, así como la protección y cuidado del medio ambiente. Estos diseños y tecnologías también contribuirán a reducir el rie</w:t>
      </w:r>
      <w:r>
        <w:rPr>
          <w:sz w:val="18"/>
        </w:rPr>
        <w:t>sgo de que la vivienda sufra daños por futuras contingencias y</w:t>
      </w:r>
      <w:r>
        <w:rPr>
          <w:spacing w:val="-1"/>
          <w:sz w:val="18"/>
        </w:rPr>
        <w:t xml:space="preserve"> </w:t>
      </w:r>
      <w:r>
        <w:rPr>
          <w:sz w:val="18"/>
        </w:rPr>
        <w:t>desastres.</w:t>
      </w:r>
    </w:p>
    <w:p w:rsidR="00A63476" w:rsidRDefault="00D22874">
      <w:pPr>
        <w:pStyle w:val="Ttulo2"/>
        <w:numPr>
          <w:ilvl w:val="0"/>
          <w:numId w:val="48"/>
        </w:numPr>
        <w:tabs>
          <w:tab w:val="left" w:pos="1219"/>
        </w:tabs>
        <w:spacing w:before="99"/>
        <w:jc w:val="both"/>
      </w:pPr>
      <w:r>
        <w:t>Vivienda en Espacio Edificable Rural o</w:t>
      </w:r>
      <w:r>
        <w:rPr>
          <w:spacing w:val="-5"/>
        </w:rPr>
        <w:t xml:space="preserve"> </w:t>
      </w:r>
      <w:r>
        <w:t>Urbano</w:t>
      </w:r>
    </w:p>
    <w:p w:rsidR="00A63476" w:rsidRDefault="00D22874">
      <w:pPr>
        <w:pStyle w:val="Textoindependiente"/>
        <w:spacing w:before="113" w:line="261" w:lineRule="auto"/>
      </w:pPr>
      <w:r>
        <w:t>La modalidad de Vivienda en Espacio Edificable Rural o Urbano tiene el propósito de atender problemas de hacinamiento, desdoblamiento fa</w:t>
      </w:r>
      <w:r>
        <w:t xml:space="preserve">miliar, vivienda precaria y en general vivienda que por su deterioro atenta contra las condiciones de habitabilidad, tanto en localidades rurales como en urbanas; también tiene </w:t>
      </w:r>
      <w:r>
        <w:rPr>
          <w:spacing w:val="-5"/>
        </w:rPr>
        <w:t xml:space="preserve">como </w:t>
      </w:r>
      <w:r>
        <w:t>finalidad contribuir a los procesos de consolidación y/o mejoramiento de l</w:t>
      </w:r>
      <w:r>
        <w:t xml:space="preserve">as colonias y barrios de las </w:t>
      </w:r>
      <w:r>
        <w:rPr>
          <w:spacing w:val="-3"/>
        </w:rPr>
        <w:t xml:space="preserve">zonas  </w:t>
      </w:r>
      <w:r>
        <w:t>intraurbanas de las ciudades.</w:t>
      </w:r>
    </w:p>
    <w:p w:rsidR="00A63476" w:rsidRDefault="00D22874">
      <w:pPr>
        <w:pStyle w:val="Textoindependiente"/>
        <w:spacing w:before="92" w:line="254" w:lineRule="auto"/>
        <w:ind w:right="663"/>
      </w:pPr>
      <w:r>
        <w:t>Las líneas de apoyo aplicables son: Mejoramiento de Vivienda; Ampliación de Vivienda; Vivienda Nueva; Sustentabilidad; Espacio Auxiliar Productivo.</w:t>
      </w:r>
    </w:p>
    <w:p w:rsidR="00A63476" w:rsidRDefault="00D22874">
      <w:pPr>
        <w:pStyle w:val="Prrafodelista"/>
        <w:numPr>
          <w:ilvl w:val="0"/>
          <w:numId w:val="49"/>
        </w:numPr>
        <w:tabs>
          <w:tab w:val="left" w:pos="1232"/>
        </w:tabs>
        <w:spacing w:before="81" w:line="254" w:lineRule="auto"/>
        <w:ind w:right="655" w:hanging="440"/>
        <w:rPr>
          <w:sz w:val="18"/>
        </w:rPr>
      </w:pPr>
      <w:r>
        <w:rPr>
          <w:sz w:val="18"/>
          <w:u w:val="single"/>
        </w:rPr>
        <w:t>Ampliación de vivienda</w:t>
      </w:r>
      <w:r>
        <w:rPr>
          <w:sz w:val="18"/>
        </w:rPr>
        <w:t xml:space="preserve">. La </w:t>
      </w:r>
      <w:r>
        <w:rPr>
          <w:spacing w:val="-3"/>
          <w:sz w:val="18"/>
        </w:rPr>
        <w:t xml:space="preserve">CONAVI </w:t>
      </w:r>
      <w:r>
        <w:rPr>
          <w:sz w:val="18"/>
        </w:rPr>
        <w:t>podrá ot</w:t>
      </w:r>
      <w:r>
        <w:rPr>
          <w:sz w:val="18"/>
        </w:rPr>
        <w:t>orgar subsidio de hasta por la cantidad equivalente a 50 veces el valor de la UMA, por unidad de vivienda con el propósito de incrementar la superficie de construcción habitable de una vivienda edificada con anterioridad, a fin de disminuir el hacinamiento</w:t>
      </w:r>
      <w:r>
        <w:rPr>
          <w:sz w:val="18"/>
        </w:rPr>
        <w:t xml:space="preserve"> en la vivienda o mejorar sus condiciones de habitabilidad.</w:t>
      </w:r>
    </w:p>
    <w:p w:rsidR="00A63476" w:rsidRDefault="00D22874">
      <w:pPr>
        <w:pStyle w:val="Prrafodelista"/>
        <w:numPr>
          <w:ilvl w:val="0"/>
          <w:numId w:val="49"/>
        </w:numPr>
        <w:tabs>
          <w:tab w:val="left" w:pos="1232"/>
        </w:tabs>
        <w:spacing w:before="82" w:line="249" w:lineRule="auto"/>
        <w:ind w:right="655" w:hanging="440"/>
        <w:rPr>
          <w:sz w:val="18"/>
        </w:rPr>
      </w:pPr>
      <w:r>
        <w:rPr>
          <w:sz w:val="18"/>
          <w:u w:val="single"/>
        </w:rPr>
        <w:t>Mejoramiento de Vivienda</w:t>
      </w:r>
      <w:r>
        <w:rPr>
          <w:sz w:val="18"/>
        </w:rPr>
        <w:t xml:space="preserve">. La </w:t>
      </w:r>
      <w:r>
        <w:rPr>
          <w:spacing w:val="-3"/>
          <w:sz w:val="18"/>
        </w:rPr>
        <w:t xml:space="preserve">CONAVI </w:t>
      </w:r>
      <w:r>
        <w:rPr>
          <w:sz w:val="18"/>
        </w:rPr>
        <w:t>podrá otorgar subsidio con el propósito de la mejora de la vivienda, que podrá responder a la rehabilitación de vivienda en la intervención de sus elementos estructurales (losas, columnas y trabes), la readecuación del espacio habitable, el cambio de insta</w:t>
      </w:r>
      <w:r>
        <w:rPr>
          <w:sz w:val="18"/>
        </w:rPr>
        <w:t>laciones ocultas, entre otros; así como aquellos conceptos que no afectan elementos estructurales, sin embargo inciden en la vida útil de la vivienda tales como; la impermeabilización, aplanados,</w:t>
      </w:r>
      <w:r>
        <w:rPr>
          <w:spacing w:val="20"/>
          <w:sz w:val="18"/>
        </w:rPr>
        <w:t xml:space="preserve"> </w:t>
      </w:r>
      <w:r>
        <w:rPr>
          <w:sz w:val="18"/>
        </w:rPr>
        <w:t>instalaciones</w:t>
      </w:r>
      <w:r>
        <w:rPr>
          <w:spacing w:val="21"/>
          <w:sz w:val="18"/>
        </w:rPr>
        <w:t xml:space="preserve"> </w:t>
      </w:r>
      <w:r>
        <w:rPr>
          <w:sz w:val="18"/>
        </w:rPr>
        <w:t>hidrosanitarias</w:t>
      </w:r>
      <w:r>
        <w:rPr>
          <w:spacing w:val="21"/>
          <w:sz w:val="18"/>
        </w:rPr>
        <w:t xml:space="preserve"> </w:t>
      </w:r>
      <w:r>
        <w:rPr>
          <w:sz w:val="18"/>
        </w:rPr>
        <w:t>expuestas</w:t>
      </w:r>
      <w:r>
        <w:rPr>
          <w:spacing w:val="20"/>
          <w:sz w:val="18"/>
        </w:rPr>
        <w:t xml:space="preserve"> </w:t>
      </w:r>
      <w:r>
        <w:rPr>
          <w:sz w:val="18"/>
        </w:rPr>
        <w:t>ahorradoras</w:t>
      </w:r>
      <w:r>
        <w:rPr>
          <w:spacing w:val="21"/>
          <w:sz w:val="18"/>
        </w:rPr>
        <w:t xml:space="preserve"> </w:t>
      </w:r>
      <w:r>
        <w:rPr>
          <w:sz w:val="18"/>
        </w:rPr>
        <w:t>de</w:t>
      </w:r>
      <w:r>
        <w:rPr>
          <w:spacing w:val="21"/>
          <w:sz w:val="18"/>
        </w:rPr>
        <w:t xml:space="preserve"> </w:t>
      </w:r>
      <w:r>
        <w:rPr>
          <w:sz w:val="18"/>
        </w:rPr>
        <w:t>agua,</w:t>
      </w:r>
      <w:r>
        <w:rPr>
          <w:spacing w:val="20"/>
          <w:sz w:val="18"/>
        </w:rPr>
        <w:t xml:space="preserve"> </w:t>
      </w:r>
      <w:r>
        <w:rPr>
          <w:sz w:val="18"/>
        </w:rPr>
        <w:t>cableado</w:t>
      </w:r>
      <w:r>
        <w:rPr>
          <w:spacing w:val="21"/>
          <w:sz w:val="18"/>
        </w:rPr>
        <w:t xml:space="preserve"> </w:t>
      </w:r>
      <w:r>
        <w:rPr>
          <w:sz w:val="18"/>
        </w:rPr>
        <w:t>eléctrico</w:t>
      </w:r>
      <w:r>
        <w:rPr>
          <w:spacing w:val="21"/>
          <w:sz w:val="18"/>
        </w:rPr>
        <w:t xml:space="preserve"> </w:t>
      </w:r>
      <w:r>
        <w:rPr>
          <w:sz w:val="18"/>
        </w:rPr>
        <w:t>y</w:t>
      </w:r>
    </w:p>
    <w:p w:rsidR="00A63476" w:rsidRDefault="00A63476">
      <w:pPr>
        <w:spacing w:line="249" w:lineRule="auto"/>
        <w:jc w:val="both"/>
        <w:rPr>
          <w:sz w:val="18"/>
        </w:rPr>
        <w:sectPr w:rsidR="00A63476">
          <w:pgSz w:w="12240" w:h="15840"/>
          <w:pgMar w:top="920" w:right="1040" w:bottom="280" w:left="1180" w:header="700" w:footer="0" w:gutter="0"/>
          <w:cols w:space="720"/>
        </w:sectPr>
      </w:pPr>
    </w:p>
    <w:p w:rsidR="00A63476" w:rsidRDefault="00A63476">
      <w:pPr>
        <w:pStyle w:val="Textoindependiente"/>
        <w:spacing w:before="8"/>
        <w:ind w:left="0" w:right="0" w:firstLine="0"/>
        <w:jc w:val="left"/>
        <w:rPr>
          <w:sz w:val="10"/>
        </w:rPr>
      </w:pPr>
    </w:p>
    <w:p w:rsidR="00A63476" w:rsidRDefault="00D22874">
      <w:pPr>
        <w:pStyle w:val="Textoindependiente"/>
        <w:spacing w:before="95" w:line="254" w:lineRule="auto"/>
        <w:ind w:left="1240" w:firstLine="0"/>
      </w:pPr>
      <w:r>
        <w:t>lámparas ahorradoras de energía, cambio de pisos, entre otros acabados, hasta por la cantidad el equivalente de 25 veces el valor de la UMA, por unidad de vivienda.</w:t>
      </w:r>
    </w:p>
    <w:p w:rsidR="00A63476" w:rsidRDefault="00D22874">
      <w:pPr>
        <w:pStyle w:val="Prrafodelista"/>
        <w:numPr>
          <w:ilvl w:val="0"/>
          <w:numId w:val="49"/>
        </w:numPr>
        <w:tabs>
          <w:tab w:val="left" w:pos="1232"/>
        </w:tabs>
        <w:spacing w:line="247" w:lineRule="auto"/>
        <w:ind w:right="655" w:hanging="440"/>
        <w:rPr>
          <w:sz w:val="18"/>
        </w:rPr>
      </w:pPr>
      <w:r>
        <w:rPr>
          <w:sz w:val="18"/>
          <w:u w:val="single"/>
        </w:rPr>
        <w:t>Vivienda Nueva</w:t>
      </w:r>
      <w:r>
        <w:rPr>
          <w:sz w:val="18"/>
        </w:rPr>
        <w:t xml:space="preserve">. La </w:t>
      </w:r>
      <w:r>
        <w:rPr>
          <w:spacing w:val="-3"/>
          <w:sz w:val="18"/>
        </w:rPr>
        <w:t xml:space="preserve">CONAVI </w:t>
      </w:r>
      <w:r>
        <w:rPr>
          <w:sz w:val="18"/>
        </w:rPr>
        <w:t xml:space="preserve">podrá otorgar subsidio para </w:t>
      </w:r>
      <w:r>
        <w:rPr>
          <w:sz w:val="18"/>
        </w:rPr>
        <w:t xml:space="preserve">la construcción de vivienda nueva en Espacio Edificable Rural o Urbano, con espacios habitables y complementarios que estén en correspondencia con el contexto cultural y regional, que se puede generar en espacios </w:t>
      </w:r>
      <w:r>
        <w:rPr>
          <w:spacing w:val="-2"/>
          <w:sz w:val="18"/>
        </w:rPr>
        <w:t xml:space="preserve">edificables, </w:t>
      </w:r>
      <w:r>
        <w:rPr>
          <w:sz w:val="18"/>
        </w:rPr>
        <w:t>hasta por la cantidad equivale</w:t>
      </w:r>
      <w:r>
        <w:rPr>
          <w:sz w:val="18"/>
        </w:rPr>
        <w:t>nte a 127 veces el valor de la UMA por unidad de</w:t>
      </w:r>
      <w:r>
        <w:rPr>
          <w:spacing w:val="-11"/>
          <w:sz w:val="18"/>
        </w:rPr>
        <w:t xml:space="preserve"> </w:t>
      </w:r>
      <w:r>
        <w:rPr>
          <w:sz w:val="18"/>
        </w:rPr>
        <w:t>vivienda.</w:t>
      </w:r>
    </w:p>
    <w:p w:rsidR="00A63476" w:rsidRDefault="00D22874">
      <w:pPr>
        <w:pStyle w:val="Prrafodelista"/>
        <w:numPr>
          <w:ilvl w:val="0"/>
          <w:numId w:val="49"/>
        </w:numPr>
        <w:tabs>
          <w:tab w:val="left" w:pos="1232"/>
        </w:tabs>
        <w:spacing w:before="107" w:line="249" w:lineRule="auto"/>
        <w:ind w:right="655" w:hanging="440"/>
        <w:rPr>
          <w:sz w:val="18"/>
        </w:rPr>
      </w:pPr>
      <w:r>
        <w:rPr>
          <w:sz w:val="18"/>
          <w:u w:val="single"/>
        </w:rPr>
        <w:t>Sustentabilidad</w:t>
      </w:r>
      <w:r>
        <w:rPr>
          <w:sz w:val="18"/>
        </w:rPr>
        <w:t xml:space="preserve">. La </w:t>
      </w:r>
      <w:r>
        <w:rPr>
          <w:spacing w:val="-3"/>
          <w:sz w:val="18"/>
        </w:rPr>
        <w:t xml:space="preserve">CONAVI </w:t>
      </w:r>
      <w:r>
        <w:rPr>
          <w:sz w:val="18"/>
        </w:rPr>
        <w:t xml:space="preserve">podrá otorgar subsidio hasta por la cantidad equivalente a 13 veces el valor de la UMA, por unidad de vivienda, para la aplicación de diseños e instalación de tecnologías que permitan la disminución de emisiones de bióxido de carbono, el ahorro de energía </w:t>
      </w:r>
      <w:r>
        <w:rPr>
          <w:sz w:val="18"/>
        </w:rPr>
        <w:t xml:space="preserve">y el ahorro </w:t>
      </w:r>
      <w:r>
        <w:rPr>
          <w:spacing w:val="-17"/>
          <w:sz w:val="18"/>
        </w:rPr>
        <w:t>y</w:t>
      </w:r>
      <w:r>
        <w:rPr>
          <w:spacing w:val="16"/>
          <w:sz w:val="18"/>
        </w:rPr>
        <w:t xml:space="preserve"> </w:t>
      </w:r>
      <w:r>
        <w:rPr>
          <w:sz w:val="18"/>
        </w:rPr>
        <w:t>manejo adecuado del agua en la vivienda, así como la protección y cuidado del medio ambiente. Estos diseños y tecnologías también contribuirán a reducir el riesgo de que la vivienda sufra daños por futuras contingencias y</w:t>
      </w:r>
      <w:r>
        <w:rPr>
          <w:spacing w:val="-1"/>
          <w:sz w:val="18"/>
        </w:rPr>
        <w:t xml:space="preserve"> </w:t>
      </w:r>
      <w:r>
        <w:rPr>
          <w:sz w:val="18"/>
        </w:rPr>
        <w:t>desastres.</w:t>
      </w:r>
    </w:p>
    <w:p w:rsidR="00A63476" w:rsidRDefault="00D22874">
      <w:pPr>
        <w:pStyle w:val="Prrafodelista"/>
        <w:numPr>
          <w:ilvl w:val="0"/>
          <w:numId w:val="49"/>
        </w:numPr>
        <w:tabs>
          <w:tab w:val="left" w:pos="1232"/>
        </w:tabs>
        <w:spacing w:before="88" w:line="249" w:lineRule="auto"/>
        <w:ind w:right="655" w:hanging="440"/>
        <w:rPr>
          <w:sz w:val="18"/>
        </w:rPr>
      </w:pPr>
      <w:r>
        <w:rPr>
          <w:sz w:val="18"/>
          <w:u w:val="single"/>
        </w:rPr>
        <w:t>Espacio A</w:t>
      </w:r>
      <w:r>
        <w:rPr>
          <w:sz w:val="18"/>
          <w:u w:val="single"/>
        </w:rPr>
        <w:t>uxiliar Productivo</w:t>
      </w:r>
      <w:r>
        <w:rPr>
          <w:sz w:val="18"/>
        </w:rPr>
        <w:t xml:space="preserve">. Con la finalidad de contribuir a la economía familiar y como parte integral de la ampliación o construcción de vivienda en Espacio Edificable Rural o Urbano, la </w:t>
      </w:r>
      <w:r>
        <w:rPr>
          <w:spacing w:val="-3"/>
          <w:sz w:val="18"/>
        </w:rPr>
        <w:t xml:space="preserve">CONAVI </w:t>
      </w:r>
      <w:r>
        <w:rPr>
          <w:sz w:val="18"/>
        </w:rPr>
        <w:t>podrá otorgar subsidio complementario para la construcción de locale</w:t>
      </w:r>
      <w:r>
        <w:rPr>
          <w:sz w:val="18"/>
        </w:rPr>
        <w:t>s auxiliares, hasta por la cantidad equivalente a 64 veces el valor de la UMA que corresponde al 50% del subsidio para la construcción de una vivienda.</w:t>
      </w:r>
    </w:p>
    <w:p w:rsidR="00A63476" w:rsidRDefault="00D22874">
      <w:pPr>
        <w:pStyle w:val="Ttulo2"/>
        <w:numPr>
          <w:ilvl w:val="0"/>
          <w:numId w:val="48"/>
        </w:numPr>
        <w:tabs>
          <w:tab w:val="left" w:pos="1219"/>
        </w:tabs>
        <w:spacing w:before="104"/>
        <w:jc w:val="both"/>
      </w:pPr>
      <w:r>
        <w:t>Adquisición de</w:t>
      </w:r>
      <w:r>
        <w:rPr>
          <w:spacing w:val="-2"/>
        </w:rPr>
        <w:t xml:space="preserve"> </w:t>
      </w:r>
      <w:r>
        <w:t>Vivienda</w:t>
      </w:r>
    </w:p>
    <w:p w:rsidR="00A63476" w:rsidRDefault="00D22874">
      <w:pPr>
        <w:pStyle w:val="Textoindependiente"/>
        <w:spacing w:before="113" w:line="247" w:lineRule="auto"/>
      </w:pPr>
      <w:r>
        <w:t xml:space="preserve">Esta modalidad corresponde a la adquisición de vivienda terminada, individual o </w:t>
      </w:r>
      <w:r>
        <w:t>en conjunto, realizada por terceros, en un proceso único de edificación, que cumpla con las necesidades de densidad, superficie construida, seguridad estructural, instalaciones, servicios, áreas de uso común, entre otros, establecidos por  la reglamentació</w:t>
      </w:r>
      <w:r>
        <w:t>n local correspondiente.</w:t>
      </w:r>
    </w:p>
    <w:p w:rsidR="00A63476" w:rsidRDefault="00D22874">
      <w:pPr>
        <w:pStyle w:val="Textoindependiente"/>
        <w:spacing w:before="107" w:line="242" w:lineRule="auto"/>
      </w:pPr>
      <w:r>
        <w:t>La vivienda podrá ser nueva o usada y deberá cumplir con el uso del suelo habitacional en las zonas urbanas, contar con servicios que garanticen condiciones de habitabilidad y no estar ubicada en sitios de riesgo.</w:t>
      </w:r>
    </w:p>
    <w:p w:rsidR="00A63476" w:rsidRDefault="00D22874">
      <w:pPr>
        <w:pStyle w:val="Textoindependiente"/>
        <w:spacing w:before="113"/>
        <w:ind w:left="800" w:right="0" w:firstLine="0"/>
      </w:pPr>
      <w:r>
        <w:t>Las líneas de apoyo aplicables son: Adquisición de vivienda nueva y Adquisición de vivienda usada.</w:t>
      </w:r>
    </w:p>
    <w:p w:rsidR="00A63476" w:rsidRDefault="00D22874">
      <w:pPr>
        <w:pStyle w:val="Prrafodelista"/>
        <w:numPr>
          <w:ilvl w:val="0"/>
          <w:numId w:val="49"/>
        </w:numPr>
        <w:tabs>
          <w:tab w:val="left" w:pos="1232"/>
        </w:tabs>
        <w:spacing w:before="93" w:line="249" w:lineRule="auto"/>
        <w:ind w:right="655" w:hanging="440"/>
        <w:rPr>
          <w:sz w:val="18"/>
        </w:rPr>
      </w:pPr>
      <w:r>
        <w:rPr>
          <w:sz w:val="18"/>
          <w:u w:val="single"/>
        </w:rPr>
        <w:t>Adquisición de Vivienda Nueva.</w:t>
      </w:r>
      <w:r>
        <w:rPr>
          <w:sz w:val="18"/>
        </w:rPr>
        <w:t xml:space="preserve"> La </w:t>
      </w:r>
      <w:r>
        <w:rPr>
          <w:spacing w:val="-3"/>
          <w:sz w:val="18"/>
        </w:rPr>
        <w:t xml:space="preserve">CONAVI </w:t>
      </w:r>
      <w:r>
        <w:rPr>
          <w:sz w:val="18"/>
        </w:rPr>
        <w:t>podrá otorgar subsidio de hasta por la cantidad equivalente a 172 veces el valor de la UMA por unidad de vivienda, c</w:t>
      </w:r>
      <w:r>
        <w:rPr>
          <w:sz w:val="18"/>
        </w:rPr>
        <w:t>on el propósito de adquirir vivienda terminada, individual o en conjunto, ubicada fuera de zonas de riesgo, que nunca ha sido ocupada, realizada por terceros, en un proceso único de edificación, que cumpla con las necesidades de densidad, superficie constr</w:t>
      </w:r>
      <w:r>
        <w:rPr>
          <w:sz w:val="18"/>
        </w:rPr>
        <w:t>uida, seguridad estructural, instalaciones, servicios, áreas de uso común, entre otros, establecidos por la reglamentación local</w:t>
      </w:r>
      <w:r>
        <w:rPr>
          <w:spacing w:val="-3"/>
          <w:sz w:val="18"/>
        </w:rPr>
        <w:t xml:space="preserve"> </w:t>
      </w:r>
      <w:r>
        <w:rPr>
          <w:sz w:val="18"/>
        </w:rPr>
        <w:t>correspondiente;</w:t>
      </w:r>
    </w:p>
    <w:p w:rsidR="00A63476" w:rsidRDefault="00D22874">
      <w:pPr>
        <w:pStyle w:val="Prrafodelista"/>
        <w:numPr>
          <w:ilvl w:val="0"/>
          <w:numId w:val="49"/>
        </w:numPr>
        <w:tabs>
          <w:tab w:val="left" w:pos="1232"/>
        </w:tabs>
        <w:spacing w:before="109" w:line="249" w:lineRule="auto"/>
        <w:ind w:right="655" w:hanging="440"/>
        <w:rPr>
          <w:sz w:val="18"/>
        </w:rPr>
      </w:pPr>
      <w:r>
        <w:rPr>
          <w:sz w:val="18"/>
          <w:u w:val="single"/>
        </w:rPr>
        <w:t>Adquisición de Vivienda Usada.</w:t>
      </w:r>
      <w:r>
        <w:rPr>
          <w:sz w:val="18"/>
        </w:rPr>
        <w:t xml:space="preserve"> La </w:t>
      </w:r>
      <w:r>
        <w:rPr>
          <w:spacing w:val="-3"/>
          <w:sz w:val="18"/>
        </w:rPr>
        <w:t xml:space="preserve">CONAVI </w:t>
      </w:r>
      <w:r>
        <w:rPr>
          <w:sz w:val="18"/>
        </w:rPr>
        <w:t>podrá otorgar subsidio de hasta por la cantidad equivalente a 143 vec</w:t>
      </w:r>
      <w:r>
        <w:rPr>
          <w:sz w:val="18"/>
        </w:rPr>
        <w:t xml:space="preserve">es el valor de la UMA por unidad de vivienda con el propósito de adquirir vivienda terminada, en segunda o posterior transmisión, individual o en conjunto, ubicada fuera </w:t>
      </w:r>
      <w:r>
        <w:rPr>
          <w:spacing w:val="-6"/>
          <w:sz w:val="18"/>
        </w:rPr>
        <w:t xml:space="preserve">de </w:t>
      </w:r>
      <w:r>
        <w:rPr>
          <w:sz w:val="18"/>
        </w:rPr>
        <w:t>zonas de riesgo, realizada por terceros, que cumpla con las necesidades de densidad</w:t>
      </w:r>
      <w:r>
        <w:rPr>
          <w:sz w:val="18"/>
        </w:rPr>
        <w:t>, superficie construida, seguridad estructural, instalaciones, servicios, áreas de uso común, entre otros, establecidos por la reglamentación local</w:t>
      </w:r>
      <w:r>
        <w:rPr>
          <w:spacing w:val="-1"/>
          <w:sz w:val="18"/>
        </w:rPr>
        <w:t xml:space="preserve"> </w:t>
      </w:r>
      <w:r>
        <w:rPr>
          <w:sz w:val="18"/>
        </w:rPr>
        <w:t>correspondiente.</w:t>
      </w:r>
    </w:p>
    <w:p w:rsidR="00A63476" w:rsidRDefault="00D22874">
      <w:pPr>
        <w:pStyle w:val="Ttulo2"/>
        <w:numPr>
          <w:ilvl w:val="0"/>
          <w:numId w:val="48"/>
        </w:numPr>
        <w:tabs>
          <w:tab w:val="left" w:pos="1219"/>
        </w:tabs>
        <w:spacing w:before="108"/>
        <w:jc w:val="both"/>
      </w:pPr>
      <w:r>
        <w:t>Mejoramiento de Unidades</w:t>
      </w:r>
      <w:r>
        <w:rPr>
          <w:spacing w:val="-1"/>
        </w:rPr>
        <w:t xml:space="preserve"> </w:t>
      </w:r>
      <w:r>
        <w:t>Habitacionales</w:t>
      </w:r>
    </w:p>
    <w:p w:rsidR="00A63476" w:rsidRDefault="00D22874">
      <w:pPr>
        <w:pStyle w:val="Textoindependiente"/>
        <w:spacing w:before="93" w:line="249" w:lineRule="auto"/>
      </w:pPr>
      <w:r>
        <w:t>La modalidad de Mejoramiento de Unidades Habitacion</w:t>
      </w:r>
      <w:r>
        <w:t xml:space="preserve">ales consiste en apoyar proyectos para la realización de obras para habilitar o rehabilitar las áreas y bienes de uso común que se encuentran en </w:t>
      </w:r>
      <w:r>
        <w:rPr>
          <w:spacing w:val="-6"/>
        </w:rPr>
        <w:t xml:space="preserve">las </w:t>
      </w:r>
      <w:r>
        <w:t xml:space="preserve">unidades y desarrollos habitacionales con deterioro o inseguridad, considerando criterios de diseño </w:t>
      </w:r>
      <w:r>
        <w:rPr>
          <w:spacing w:val="-6"/>
        </w:rPr>
        <w:t xml:space="preserve">con </w:t>
      </w:r>
      <w:r>
        <w:t>acc</w:t>
      </w:r>
      <w:r>
        <w:t xml:space="preserve">eso universal; con la finalidad de mejorar el funcionamiento, rehabilitar su imagen, evitar su deterioro </w:t>
      </w:r>
      <w:r>
        <w:rPr>
          <w:spacing w:val="-15"/>
        </w:rPr>
        <w:t xml:space="preserve">y </w:t>
      </w:r>
      <w:r>
        <w:t>prolongar su vida útil.</w:t>
      </w:r>
    </w:p>
    <w:p w:rsidR="00A63476" w:rsidRDefault="00D22874">
      <w:pPr>
        <w:pStyle w:val="Textoindependiente"/>
        <w:spacing w:before="104" w:line="254" w:lineRule="auto"/>
        <w:ind w:right="663"/>
      </w:pPr>
      <w:r>
        <w:t>Se apoyará la realización de acciones de mejoramiento de viviendas en su exterior y áreas comunes para mejorar la imagen urba</w:t>
      </w:r>
      <w:r>
        <w:t>na y su entorno.</w:t>
      </w:r>
    </w:p>
    <w:p w:rsidR="00A63476" w:rsidRDefault="00D22874">
      <w:pPr>
        <w:pStyle w:val="Textoindependiente"/>
        <w:spacing w:before="101"/>
        <w:ind w:left="800" w:right="0" w:firstLine="0"/>
      </w:pPr>
      <w:r>
        <w:t>Las líneas de apoyo aplicables son: Instalaciones Generales y Áreas Comunes; y, Sustentabilidad.</w:t>
      </w:r>
    </w:p>
    <w:p w:rsidR="00A63476" w:rsidRDefault="00D22874">
      <w:pPr>
        <w:pStyle w:val="Prrafodelista"/>
        <w:numPr>
          <w:ilvl w:val="0"/>
          <w:numId w:val="49"/>
        </w:numPr>
        <w:tabs>
          <w:tab w:val="left" w:pos="1232"/>
        </w:tabs>
        <w:spacing w:before="113" w:line="249" w:lineRule="auto"/>
        <w:ind w:right="655" w:hanging="440"/>
        <w:rPr>
          <w:sz w:val="18"/>
        </w:rPr>
      </w:pPr>
      <w:r>
        <w:rPr>
          <w:sz w:val="18"/>
          <w:u w:val="single"/>
        </w:rPr>
        <w:t>Sustentabilidad</w:t>
      </w:r>
      <w:r>
        <w:rPr>
          <w:sz w:val="18"/>
        </w:rPr>
        <w:t xml:space="preserve">. La </w:t>
      </w:r>
      <w:r>
        <w:rPr>
          <w:spacing w:val="-3"/>
          <w:sz w:val="18"/>
        </w:rPr>
        <w:t xml:space="preserve">CONAVI </w:t>
      </w:r>
      <w:r>
        <w:rPr>
          <w:sz w:val="18"/>
        </w:rPr>
        <w:t>podrá otorgar subsidio hasta por la cantidad equivalente a 13 veces el valor de la UMA, por unidad de vivienda, par</w:t>
      </w:r>
      <w:r>
        <w:rPr>
          <w:sz w:val="18"/>
        </w:rPr>
        <w:t xml:space="preserve">a la aplicación de diseños e instalación de tecnologías que permitan la disminución de emisiones de bióxido de carbono, el ahorro de energía y el ahorro </w:t>
      </w:r>
      <w:r>
        <w:rPr>
          <w:spacing w:val="-17"/>
          <w:sz w:val="18"/>
        </w:rPr>
        <w:t>y</w:t>
      </w:r>
      <w:r>
        <w:rPr>
          <w:spacing w:val="16"/>
          <w:sz w:val="18"/>
        </w:rPr>
        <w:t xml:space="preserve"> </w:t>
      </w:r>
      <w:r>
        <w:rPr>
          <w:sz w:val="18"/>
        </w:rPr>
        <w:t>manejo adecuado del agua en la vivienda, así como la protección y cuidado del medio ambiente. Estos d</w:t>
      </w:r>
      <w:r>
        <w:rPr>
          <w:sz w:val="18"/>
        </w:rPr>
        <w:t>iseños y tecnologías también contribuirán a reducir el riesgo de que la vivienda sufra daños por futuras contingencias y</w:t>
      </w:r>
      <w:r>
        <w:rPr>
          <w:spacing w:val="-1"/>
          <w:sz w:val="18"/>
        </w:rPr>
        <w:t xml:space="preserve"> </w:t>
      </w:r>
      <w:r>
        <w:rPr>
          <w:sz w:val="18"/>
        </w:rPr>
        <w:t>desastres.</w:t>
      </w:r>
    </w:p>
    <w:p w:rsidR="00A63476" w:rsidRDefault="00D22874">
      <w:pPr>
        <w:pStyle w:val="Prrafodelista"/>
        <w:numPr>
          <w:ilvl w:val="0"/>
          <w:numId w:val="49"/>
        </w:numPr>
        <w:tabs>
          <w:tab w:val="left" w:pos="1232"/>
        </w:tabs>
        <w:spacing w:before="88" w:line="254" w:lineRule="auto"/>
        <w:ind w:right="655" w:hanging="440"/>
        <w:rPr>
          <w:sz w:val="18"/>
        </w:rPr>
      </w:pPr>
      <w:r>
        <w:rPr>
          <w:sz w:val="18"/>
          <w:u w:val="single"/>
        </w:rPr>
        <w:t>Instalaciones Generales y Áreas Comunes</w:t>
      </w:r>
      <w:r>
        <w:rPr>
          <w:sz w:val="18"/>
        </w:rPr>
        <w:t xml:space="preserve">. La </w:t>
      </w:r>
      <w:r>
        <w:rPr>
          <w:spacing w:val="-3"/>
          <w:sz w:val="18"/>
        </w:rPr>
        <w:t xml:space="preserve">CONAVI </w:t>
      </w:r>
      <w:r>
        <w:rPr>
          <w:sz w:val="18"/>
        </w:rPr>
        <w:t>podrá otorgar subsidio hasta por 4 veces el valor</w:t>
      </w:r>
      <w:r>
        <w:rPr>
          <w:spacing w:val="21"/>
          <w:sz w:val="18"/>
        </w:rPr>
        <w:t xml:space="preserve"> </w:t>
      </w:r>
      <w:r>
        <w:rPr>
          <w:sz w:val="18"/>
        </w:rPr>
        <w:t>de</w:t>
      </w:r>
      <w:r>
        <w:rPr>
          <w:spacing w:val="21"/>
          <w:sz w:val="18"/>
        </w:rPr>
        <w:t xml:space="preserve"> </w:t>
      </w:r>
      <w:r>
        <w:rPr>
          <w:sz w:val="18"/>
        </w:rPr>
        <w:t>la</w:t>
      </w:r>
      <w:r>
        <w:rPr>
          <w:spacing w:val="21"/>
          <w:sz w:val="18"/>
        </w:rPr>
        <w:t xml:space="preserve"> </w:t>
      </w:r>
      <w:r>
        <w:rPr>
          <w:sz w:val="18"/>
        </w:rPr>
        <w:t>UMA</w:t>
      </w:r>
      <w:r>
        <w:rPr>
          <w:spacing w:val="12"/>
          <w:sz w:val="18"/>
        </w:rPr>
        <w:t xml:space="preserve"> </w:t>
      </w:r>
      <w:r>
        <w:rPr>
          <w:sz w:val="18"/>
        </w:rPr>
        <w:t>por</w:t>
      </w:r>
      <w:r>
        <w:rPr>
          <w:spacing w:val="21"/>
          <w:sz w:val="18"/>
        </w:rPr>
        <w:t xml:space="preserve"> </w:t>
      </w:r>
      <w:r>
        <w:rPr>
          <w:sz w:val="18"/>
        </w:rPr>
        <w:t>unidad</w:t>
      </w:r>
      <w:r>
        <w:rPr>
          <w:spacing w:val="21"/>
          <w:sz w:val="18"/>
        </w:rPr>
        <w:t xml:space="preserve"> </w:t>
      </w:r>
      <w:r>
        <w:rPr>
          <w:sz w:val="18"/>
        </w:rPr>
        <w:t>de</w:t>
      </w:r>
      <w:r>
        <w:rPr>
          <w:spacing w:val="21"/>
          <w:sz w:val="18"/>
        </w:rPr>
        <w:t xml:space="preserve"> </w:t>
      </w:r>
      <w:r>
        <w:rPr>
          <w:sz w:val="18"/>
        </w:rPr>
        <w:t>vivienda</w:t>
      </w:r>
      <w:r>
        <w:rPr>
          <w:spacing w:val="21"/>
          <w:sz w:val="18"/>
        </w:rPr>
        <w:t xml:space="preserve"> </w:t>
      </w:r>
      <w:r>
        <w:rPr>
          <w:sz w:val="18"/>
        </w:rPr>
        <w:t>para</w:t>
      </w:r>
      <w:r>
        <w:rPr>
          <w:spacing w:val="22"/>
          <w:sz w:val="18"/>
        </w:rPr>
        <w:t xml:space="preserve"> </w:t>
      </w:r>
      <w:r>
        <w:rPr>
          <w:sz w:val="18"/>
        </w:rPr>
        <w:t>la</w:t>
      </w:r>
      <w:r>
        <w:rPr>
          <w:spacing w:val="21"/>
          <w:sz w:val="18"/>
        </w:rPr>
        <w:t xml:space="preserve"> </w:t>
      </w:r>
      <w:r>
        <w:rPr>
          <w:sz w:val="18"/>
        </w:rPr>
        <w:t>realización</w:t>
      </w:r>
      <w:r>
        <w:rPr>
          <w:spacing w:val="21"/>
          <w:sz w:val="18"/>
        </w:rPr>
        <w:t xml:space="preserve"> </w:t>
      </w:r>
      <w:r>
        <w:rPr>
          <w:sz w:val="18"/>
        </w:rPr>
        <w:t>de</w:t>
      </w:r>
      <w:r>
        <w:rPr>
          <w:spacing w:val="21"/>
          <w:sz w:val="18"/>
        </w:rPr>
        <w:t xml:space="preserve"> </w:t>
      </w:r>
      <w:r>
        <w:rPr>
          <w:sz w:val="18"/>
        </w:rPr>
        <w:t>trabajos</w:t>
      </w:r>
      <w:r>
        <w:rPr>
          <w:spacing w:val="21"/>
          <w:sz w:val="18"/>
        </w:rPr>
        <w:t xml:space="preserve"> </w:t>
      </w:r>
      <w:r>
        <w:rPr>
          <w:sz w:val="18"/>
        </w:rPr>
        <w:t>de</w:t>
      </w:r>
      <w:r>
        <w:rPr>
          <w:spacing w:val="21"/>
          <w:sz w:val="18"/>
        </w:rPr>
        <w:t xml:space="preserve"> </w:t>
      </w:r>
      <w:r>
        <w:rPr>
          <w:sz w:val="18"/>
        </w:rPr>
        <w:t>mantenimiento,</w:t>
      </w:r>
    </w:p>
    <w:p w:rsidR="00A63476" w:rsidRDefault="00A63476">
      <w:pPr>
        <w:spacing w:line="254" w:lineRule="auto"/>
        <w:jc w:val="both"/>
        <w:rPr>
          <w:sz w:val="18"/>
        </w:rPr>
        <w:sectPr w:rsidR="00A63476">
          <w:pgSz w:w="12240" w:h="15840"/>
          <w:pgMar w:top="920" w:right="1040" w:bottom="280" w:left="1180" w:header="700" w:footer="0" w:gutter="0"/>
          <w:cols w:space="720"/>
        </w:sectPr>
      </w:pPr>
    </w:p>
    <w:p w:rsidR="00A63476" w:rsidRDefault="00A63476">
      <w:pPr>
        <w:pStyle w:val="Textoindependiente"/>
        <w:spacing w:before="8"/>
        <w:ind w:left="0" w:right="0" w:firstLine="0"/>
        <w:jc w:val="left"/>
        <w:rPr>
          <w:sz w:val="10"/>
        </w:rPr>
      </w:pPr>
    </w:p>
    <w:p w:rsidR="00A63476" w:rsidRDefault="00D22874">
      <w:pPr>
        <w:pStyle w:val="Textoindependiente"/>
        <w:spacing w:before="95" w:line="249" w:lineRule="auto"/>
        <w:ind w:left="1240" w:firstLine="0"/>
      </w:pPr>
      <w:r>
        <w:t xml:space="preserve">rehabilitación y reparación de áreas exteriores a las viviendas y zonas comunes en edificios multifamiliares de unidades habitacionales de interés social. Se puede aplicar en pintura </w:t>
      </w:r>
      <w:r>
        <w:rPr>
          <w:spacing w:val="-4"/>
        </w:rPr>
        <w:t xml:space="preserve">exterior, </w:t>
      </w:r>
      <w:r>
        <w:t>impermeabilización, reparación o sustitución de instalaciones h</w:t>
      </w:r>
      <w:r>
        <w:t xml:space="preserve">idro-sanitarias, eléctricas o  especiales, iluminación, seguridad, rehabilitación de cubos de escalera, herrerías, cosecha de </w:t>
      </w:r>
      <w:r>
        <w:rPr>
          <w:spacing w:val="-4"/>
        </w:rPr>
        <w:t xml:space="preserve">agua </w:t>
      </w:r>
      <w:r>
        <w:t>de lluvia, entre</w:t>
      </w:r>
      <w:r>
        <w:rPr>
          <w:spacing w:val="-1"/>
        </w:rPr>
        <w:t xml:space="preserve"> </w:t>
      </w:r>
      <w:r>
        <w:t>otros.</w:t>
      </w:r>
    </w:p>
    <w:p w:rsidR="00A63476" w:rsidRDefault="00D22874">
      <w:pPr>
        <w:pStyle w:val="Ttulo1"/>
        <w:spacing w:before="103"/>
        <w:ind w:left="875" w:right="1002"/>
        <w:jc w:val="center"/>
      </w:pPr>
      <w:r>
        <w:t>Tabla 2. VIVIENDA EN ZONAS URBANAS MARGINADAS</w:t>
      </w:r>
    </w:p>
    <w:p w:rsidR="00A63476" w:rsidRDefault="00D22874">
      <w:pPr>
        <w:spacing w:before="113"/>
        <w:ind w:left="876" w:right="1002"/>
        <w:jc w:val="center"/>
        <w:rPr>
          <w:b/>
          <w:sz w:val="18"/>
        </w:rPr>
      </w:pPr>
      <w:r>
        <w:rPr>
          <w:b/>
          <w:sz w:val="18"/>
        </w:rPr>
        <w:t>Líneas de apoyo y montos de subsidio según modalidad de</w:t>
      </w:r>
      <w:r>
        <w:rPr>
          <w:b/>
          <w:sz w:val="18"/>
        </w:rPr>
        <w:t xml:space="preserve"> aplicación del subsidio</w:t>
      </w:r>
    </w:p>
    <w:p w:rsidR="00A63476" w:rsidRDefault="00A63476">
      <w:pPr>
        <w:pStyle w:val="Textoindependiente"/>
        <w:spacing w:before="2" w:after="1"/>
        <w:ind w:left="0" w:right="0" w:firstLine="0"/>
        <w:jc w:val="left"/>
        <w:rPr>
          <w:b/>
          <w:sz w:val="11"/>
        </w:rPr>
      </w:pPr>
    </w:p>
    <w:tbl>
      <w:tblPr>
        <w:tblStyle w:val="TableNormal"/>
        <w:tblW w:w="0" w:type="auto"/>
        <w:tblInd w:w="1703" w:type="dxa"/>
        <w:tblBorders>
          <w:top w:val="single" w:sz="6" w:space="0" w:color="404040"/>
          <w:left w:val="single" w:sz="6" w:space="0" w:color="404040"/>
          <w:bottom w:val="single" w:sz="6" w:space="0" w:color="404040"/>
          <w:right w:val="single" w:sz="6" w:space="0" w:color="404040"/>
          <w:insideH w:val="single" w:sz="6" w:space="0" w:color="404040"/>
          <w:insideV w:val="single" w:sz="6" w:space="0" w:color="404040"/>
        </w:tblBorders>
        <w:tblLayout w:type="fixed"/>
        <w:tblLook w:val="01E0" w:firstRow="1" w:lastRow="1" w:firstColumn="1" w:lastColumn="1" w:noHBand="0" w:noVBand="0"/>
      </w:tblPr>
      <w:tblGrid>
        <w:gridCol w:w="2455"/>
        <w:gridCol w:w="1318"/>
        <w:gridCol w:w="676"/>
        <w:gridCol w:w="607"/>
        <w:gridCol w:w="710"/>
        <w:gridCol w:w="714"/>
      </w:tblGrid>
      <w:tr w:rsidR="00A63476">
        <w:trPr>
          <w:trHeight w:val="514"/>
        </w:trPr>
        <w:tc>
          <w:tcPr>
            <w:tcW w:w="2455" w:type="dxa"/>
            <w:vMerge w:val="restart"/>
          </w:tcPr>
          <w:p w:rsidR="00A63476" w:rsidRDefault="00A63476">
            <w:pPr>
              <w:pStyle w:val="TableParagraph"/>
              <w:rPr>
                <w:b/>
                <w:sz w:val="18"/>
              </w:rPr>
            </w:pPr>
          </w:p>
          <w:p w:rsidR="00A63476" w:rsidRDefault="00A63476">
            <w:pPr>
              <w:pStyle w:val="TableParagraph"/>
              <w:rPr>
                <w:b/>
                <w:sz w:val="18"/>
              </w:rPr>
            </w:pPr>
          </w:p>
          <w:p w:rsidR="00A63476" w:rsidRDefault="00A63476">
            <w:pPr>
              <w:pStyle w:val="TableParagraph"/>
              <w:rPr>
                <w:b/>
                <w:sz w:val="18"/>
              </w:rPr>
            </w:pPr>
          </w:p>
          <w:p w:rsidR="00A63476" w:rsidRDefault="00A63476">
            <w:pPr>
              <w:pStyle w:val="TableParagraph"/>
              <w:rPr>
                <w:b/>
                <w:sz w:val="18"/>
              </w:rPr>
            </w:pPr>
          </w:p>
          <w:p w:rsidR="00A63476" w:rsidRDefault="00A63476">
            <w:pPr>
              <w:pStyle w:val="TableParagraph"/>
              <w:rPr>
                <w:b/>
                <w:sz w:val="18"/>
              </w:rPr>
            </w:pPr>
          </w:p>
          <w:p w:rsidR="00A63476" w:rsidRDefault="00A63476">
            <w:pPr>
              <w:pStyle w:val="TableParagraph"/>
              <w:rPr>
                <w:b/>
                <w:sz w:val="18"/>
              </w:rPr>
            </w:pPr>
          </w:p>
          <w:p w:rsidR="00A63476" w:rsidRDefault="00A63476">
            <w:pPr>
              <w:pStyle w:val="TableParagraph"/>
              <w:rPr>
                <w:b/>
                <w:sz w:val="18"/>
              </w:rPr>
            </w:pPr>
          </w:p>
          <w:p w:rsidR="00A63476" w:rsidRDefault="00A63476">
            <w:pPr>
              <w:pStyle w:val="TableParagraph"/>
              <w:spacing w:before="3"/>
              <w:rPr>
                <w:b/>
                <w:sz w:val="14"/>
              </w:rPr>
            </w:pPr>
          </w:p>
          <w:p w:rsidR="00A63476" w:rsidRDefault="00D22874">
            <w:pPr>
              <w:pStyle w:val="TableParagraph"/>
              <w:ind w:left="583"/>
              <w:rPr>
                <w:b/>
                <w:sz w:val="16"/>
              </w:rPr>
            </w:pPr>
            <w:r>
              <w:rPr>
                <w:b/>
                <w:sz w:val="16"/>
              </w:rPr>
              <w:t>Líneas de Apoyo</w:t>
            </w:r>
          </w:p>
        </w:tc>
        <w:tc>
          <w:tcPr>
            <w:tcW w:w="1318" w:type="dxa"/>
            <w:vMerge w:val="restart"/>
            <w:tcBorders>
              <w:right w:val="single" w:sz="12" w:space="0" w:color="000000"/>
            </w:tcBorders>
          </w:tcPr>
          <w:p w:rsidR="00A63476" w:rsidRDefault="00A63476">
            <w:pPr>
              <w:pStyle w:val="TableParagraph"/>
              <w:rPr>
                <w:b/>
                <w:sz w:val="18"/>
              </w:rPr>
            </w:pPr>
          </w:p>
          <w:p w:rsidR="00A63476" w:rsidRDefault="00A63476">
            <w:pPr>
              <w:pStyle w:val="TableParagraph"/>
              <w:rPr>
                <w:b/>
                <w:sz w:val="18"/>
              </w:rPr>
            </w:pPr>
          </w:p>
          <w:p w:rsidR="00A63476" w:rsidRDefault="00A63476">
            <w:pPr>
              <w:pStyle w:val="TableParagraph"/>
              <w:rPr>
                <w:b/>
                <w:sz w:val="18"/>
              </w:rPr>
            </w:pPr>
          </w:p>
          <w:p w:rsidR="00A63476" w:rsidRDefault="00A63476">
            <w:pPr>
              <w:pStyle w:val="TableParagraph"/>
              <w:rPr>
                <w:b/>
                <w:sz w:val="18"/>
              </w:rPr>
            </w:pPr>
          </w:p>
          <w:p w:rsidR="00A63476" w:rsidRDefault="00A63476">
            <w:pPr>
              <w:pStyle w:val="TableParagraph"/>
              <w:rPr>
                <w:b/>
                <w:sz w:val="18"/>
              </w:rPr>
            </w:pPr>
          </w:p>
          <w:p w:rsidR="00A63476" w:rsidRDefault="00A63476">
            <w:pPr>
              <w:pStyle w:val="TableParagraph"/>
              <w:spacing w:before="2"/>
              <w:rPr>
                <w:b/>
                <w:sz w:val="19"/>
              </w:rPr>
            </w:pPr>
          </w:p>
          <w:p w:rsidR="00A63476" w:rsidRDefault="00D22874">
            <w:pPr>
              <w:pStyle w:val="TableParagraph"/>
              <w:spacing w:line="235" w:lineRule="auto"/>
              <w:ind w:left="88" w:right="75"/>
              <w:jc w:val="center"/>
              <w:rPr>
                <w:b/>
                <w:sz w:val="16"/>
              </w:rPr>
            </w:pPr>
            <w:r>
              <w:rPr>
                <w:b/>
                <w:sz w:val="16"/>
              </w:rPr>
              <w:t>Monto máximo del subsidio (UMA por unidad de vivienda)</w:t>
            </w:r>
          </w:p>
        </w:tc>
        <w:tc>
          <w:tcPr>
            <w:tcW w:w="2707" w:type="dxa"/>
            <w:gridSpan w:val="4"/>
            <w:tcBorders>
              <w:top w:val="single" w:sz="12" w:space="0" w:color="000000"/>
              <w:left w:val="single" w:sz="12" w:space="0" w:color="000000"/>
              <w:right w:val="single" w:sz="12" w:space="0" w:color="000000"/>
            </w:tcBorders>
          </w:tcPr>
          <w:p w:rsidR="00A63476" w:rsidRDefault="00D22874">
            <w:pPr>
              <w:pStyle w:val="TableParagraph"/>
              <w:spacing w:before="76" w:line="235" w:lineRule="auto"/>
              <w:ind w:left="1043" w:right="230" w:hanging="760"/>
              <w:rPr>
                <w:sz w:val="16"/>
              </w:rPr>
            </w:pPr>
            <w:r>
              <w:rPr>
                <w:sz w:val="16"/>
              </w:rPr>
              <w:t>Modalidades de aplicación del subsidio</w:t>
            </w:r>
          </w:p>
        </w:tc>
      </w:tr>
      <w:tr w:rsidR="00A63476">
        <w:trPr>
          <w:trHeight w:val="2854"/>
        </w:trPr>
        <w:tc>
          <w:tcPr>
            <w:tcW w:w="2455" w:type="dxa"/>
            <w:vMerge/>
            <w:tcBorders>
              <w:top w:val="nil"/>
            </w:tcBorders>
          </w:tcPr>
          <w:p w:rsidR="00A63476" w:rsidRDefault="00A63476">
            <w:pPr>
              <w:rPr>
                <w:sz w:val="2"/>
                <w:szCs w:val="2"/>
              </w:rPr>
            </w:pPr>
          </w:p>
        </w:tc>
        <w:tc>
          <w:tcPr>
            <w:tcW w:w="1318" w:type="dxa"/>
            <w:vMerge/>
            <w:tcBorders>
              <w:top w:val="nil"/>
              <w:right w:val="single" w:sz="12" w:space="0" w:color="000000"/>
            </w:tcBorders>
          </w:tcPr>
          <w:p w:rsidR="00A63476" w:rsidRDefault="00A63476">
            <w:pPr>
              <w:rPr>
                <w:sz w:val="2"/>
                <w:szCs w:val="2"/>
              </w:rPr>
            </w:pPr>
          </w:p>
        </w:tc>
        <w:tc>
          <w:tcPr>
            <w:tcW w:w="676" w:type="dxa"/>
            <w:tcBorders>
              <w:left w:val="single" w:sz="12" w:space="0" w:color="000000"/>
            </w:tcBorders>
          </w:tcPr>
          <w:p w:rsidR="00A63476" w:rsidRDefault="00A63476">
            <w:pPr>
              <w:pStyle w:val="TableParagraph"/>
              <w:rPr>
                <w:b/>
                <w:sz w:val="18"/>
              </w:rPr>
            </w:pPr>
          </w:p>
          <w:p w:rsidR="00A63476" w:rsidRDefault="00A63476">
            <w:pPr>
              <w:pStyle w:val="TableParagraph"/>
              <w:rPr>
                <w:b/>
                <w:sz w:val="19"/>
              </w:rPr>
            </w:pPr>
          </w:p>
          <w:p w:rsidR="00A63476" w:rsidRDefault="00D22874">
            <w:pPr>
              <w:pStyle w:val="TableParagraph"/>
              <w:spacing w:line="235" w:lineRule="auto"/>
              <w:ind w:left="203" w:right="92" w:hanging="14"/>
              <w:jc w:val="center"/>
              <w:rPr>
                <w:sz w:val="16"/>
              </w:rPr>
            </w:pPr>
            <w:r>
              <w:rPr>
                <w:sz w:val="16"/>
              </w:rPr>
              <w:t xml:space="preserve">VIVI END A EN CON JUN </w:t>
            </w:r>
            <w:r>
              <w:rPr>
                <w:spacing w:val="-3"/>
                <w:sz w:val="16"/>
              </w:rPr>
              <w:t xml:space="preserve">TO </w:t>
            </w:r>
            <w:r>
              <w:rPr>
                <w:sz w:val="16"/>
              </w:rPr>
              <w:t xml:space="preserve">HAB </w:t>
            </w:r>
            <w:r>
              <w:rPr>
                <w:spacing w:val="-3"/>
                <w:sz w:val="16"/>
              </w:rPr>
              <w:t xml:space="preserve">ITAC </w:t>
            </w:r>
            <w:r>
              <w:rPr>
                <w:sz w:val="16"/>
              </w:rPr>
              <w:t>ION AL</w:t>
            </w:r>
          </w:p>
        </w:tc>
        <w:tc>
          <w:tcPr>
            <w:tcW w:w="607" w:type="dxa"/>
          </w:tcPr>
          <w:p w:rsidR="00A63476" w:rsidRDefault="00D22874">
            <w:pPr>
              <w:pStyle w:val="TableParagraph"/>
              <w:spacing w:before="66" w:line="235" w:lineRule="auto"/>
              <w:ind w:left="154" w:right="68" w:firstLine="15"/>
              <w:jc w:val="center"/>
              <w:rPr>
                <w:sz w:val="16"/>
              </w:rPr>
            </w:pPr>
            <w:r>
              <w:rPr>
                <w:sz w:val="16"/>
              </w:rPr>
              <w:t>VIVI END A EN ESP ACI O EDI FIC ABL E RUR AL</w:t>
            </w:r>
            <w:r>
              <w:rPr>
                <w:spacing w:val="-6"/>
                <w:sz w:val="16"/>
              </w:rPr>
              <w:t xml:space="preserve"> </w:t>
            </w:r>
            <w:r>
              <w:rPr>
                <w:sz w:val="16"/>
              </w:rPr>
              <w:t>O URB ANO</w:t>
            </w:r>
          </w:p>
        </w:tc>
        <w:tc>
          <w:tcPr>
            <w:tcW w:w="710" w:type="dxa"/>
          </w:tcPr>
          <w:p w:rsidR="00A63476" w:rsidRDefault="00A63476">
            <w:pPr>
              <w:pStyle w:val="TableParagraph"/>
              <w:rPr>
                <w:b/>
                <w:sz w:val="18"/>
              </w:rPr>
            </w:pPr>
          </w:p>
          <w:p w:rsidR="00A63476" w:rsidRDefault="00A63476">
            <w:pPr>
              <w:pStyle w:val="TableParagraph"/>
              <w:rPr>
                <w:b/>
                <w:sz w:val="18"/>
              </w:rPr>
            </w:pPr>
          </w:p>
          <w:p w:rsidR="00A63476" w:rsidRDefault="00A63476">
            <w:pPr>
              <w:pStyle w:val="TableParagraph"/>
              <w:spacing w:before="4"/>
              <w:rPr>
                <w:b/>
                <w:sz w:val="25"/>
              </w:rPr>
            </w:pPr>
          </w:p>
          <w:p w:rsidR="00A63476" w:rsidRDefault="00D22874">
            <w:pPr>
              <w:pStyle w:val="TableParagraph"/>
              <w:spacing w:line="235" w:lineRule="auto"/>
              <w:ind w:left="208" w:right="139"/>
              <w:jc w:val="center"/>
              <w:rPr>
                <w:sz w:val="16"/>
              </w:rPr>
            </w:pPr>
            <w:r>
              <w:rPr>
                <w:sz w:val="16"/>
              </w:rPr>
              <w:t>ADQ UISI CIÓ N DE VIVI END A</w:t>
            </w:r>
          </w:p>
        </w:tc>
        <w:tc>
          <w:tcPr>
            <w:tcW w:w="714" w:type="dxa"/>
            <w:tcBorders>
              <w:right w:val="single" w:sz="12" w:space="0" w:color="000000"/>
            </w:tcBorders>
          </w:tcPr>
          <w:p w:rsidR="00A63476" w:rsidRDefault="00A63476">
            <w:pPr>
              <w:pStyle w:val="TableParagraph"/>
              <w:rPr>
                <w:b/>
                <w:sz w:val="18"/>
              </w:rPr>
            </w:pPr>
          </w:p>
          <w:p w:rsidR="00A63476" w:rsidRDefault="00A63476">
            <w:pPr>
              <w:pStyle w:val="TableParagraph"/>
              <w:rPr>
                <w:b/>
                <w:sz w:val="19"/>
              </w:rPr>
            </w:pPr>
          </w:p>
          <w:p w:rsidR="00A63476" w:rsidRDefault="00D22874">
            <w:pPr>
              <w:pStyle w:val="TableParagraph"/>
              <w:spacing w:line="235" w:lineRule="auto"/>
              <w:ind w:left="197" w:right="136" w:firstLine="5"/>
              <w:jc w:val="center"/>
              <w:rPr>
                <w:sz w:val="16"/>
              </w:rPr>
            </w:pPr>
            <w:r>
              <w:rPr>
                <w:sz w:val="16"/>
              </w:rPr>
              <w:t xml:space="preserve">MEJ ORA MIE NTO DE U. HAB </w:t>
            </w:r>
            <w:r>
              <w:rPr>
                <w:spacing w:val="-3"/>
                <w:sz w:val="16"/>
              </w:rPr>
              <w:t xml:space="preserve">ITAC </w:t>
            </w:r>
            <w:r>
              <w:rPr>
                <w:sz w:val="16"/>
              </w:rPr>
              <w:t>ION ALE S</w:t>
            </w:r>
          </w:p>
        </w:tc>
      </w:tr>
      <w:tr w:rsidR="00A63476">
        <w:trPr>
          <w:trHeight w:val="334"/>
        </w:trPr>
        <w:tc>
          <w:tcPr>
            <w:tcW w:w="2455" w:type="dxa"/>
          </w:tcPr>
          <w:p w:rsidR="00A63476" w:rsidRDefault="00D22874">
            <w:pPr>
              <w:pStyle w:val="TableParagraph"/>
              <w:spacing w:before="73"/>
              <w:ind w:left="83"/>
              <w:rPr>
                <w:sz w:val="16"/>
              </w:rPr>
            </w:pPr>
            <w:r>
              <w:rPr>
                <w:sz w:val="16"/>
              </w:rPr>
              <w:t>Reubicación de Vivienda</w:t>
            </w:r>
          </w:p>
        </w:tc>
        <w:tc>
          <w:tcPr>
            <w:tcW w:w="1318" w:type="dxa"/>
            <w:tcBorders>
              <w:right w:val="single" w:sz="12" w:space="0" w:color="000000"/>
            </w:tcBorders>
          </w:tcPr>
          <w:p w:rsidR="00A63476" w:rsidRDefault="00D22874">
            <w:pPr>
              <w:pStyle w:val="TableParagraph"/>
              <w:spacing w:before="73"/>
              <w:ind w:left="528"/>
              <w:rPr>
                <w:sz w:val="16"/>
              </w:rPr>
            </w:pPr>
            <w:r>
              <w:rPr>
                <w:sz w:val="16"/>
              </w:rPr>
              <w:t>172</w:t>
            </w:r>
          </w:p>
        </w:tc>
        <w:tc>
          <w:tcPr>
            <w:tcW w:w="676" w:type="dxa"/>
            <w:tcBorders>
              <w:left w:val="single" w:sz="12" w:space="0" w:color="000000"/>
            </w:tcBorders>
            <w:shd w:val="clear" w:color="auto" w:fill="D9D9D9"/>
          </w:tcPr>
          <w:p w:rsidR="00A63476" w:rsidRDefault="00D22874">
            <w:pPr>
              <w:pStyle w:val="TableParagraph"/>
              <w:spacing w:before="73"/>
              <w:ind w:left="19"/>
              <w:jc w:val="center"/>
              <w:rPr>
                <w:sz w:val="16"/>
              </w:rPr>
            </w:pPr>
            <w:r>
              <w:rPr>
                <w:sz w:val="16"/>
              </w:rPr>
              <w:t>X</w:t>
            </w:r>
          </w:p>
        </w:tc>
        <w:tc>
          <w:tcPr>
            <w:tcW w:w="607" w:type="dxa"/>
          </w:tcPr>
          <w:p w:rsidR="00A63476" w:rsidRDefault="00A63476">
            <w:pPr>
              <w:pStyle w:val="TableParagraph"/>
              <w:rPr>
                <w:rFonts w:ascii="Times New Roman"/>
                <w:sz w:val="16"/>
              </w:rPr>
            </w:pPr>
          </w:p>
        </w:tc>
        <w:tc>
          <w:tcPr>
            <w:tcW w:w="710" w:type="dxa"/>
            <w:shd w:val="clear" w:color="auto" w:fill="D9D9D9"/>
          </w:tcPr>
          <w:p w:rsidR="00A63476" w:rsidRDefault="00D22874">
            <w:pPr>
              <w:pStyle w:val="TableParagraph"/>
              <w:spacing w:before="73"/>
              <w:ind w:left="27"/>
              <w:jc w:val="center"/>
              <w:rPr>
                <w:sz w:val="16"/>
              </w:rPr>
            </w:pPr>
            <w:r>
              <w:rPr>
                <w:sz w:val="16"/>
              </w:rPr>
              <w:t>X</w:t>
            </w:r>
          </w:p>
        </w:tc>
        <w:tc>
          <w:tcPr>
            <w:tcW w:w="714" w:type="dxa"/>
            <w:tcBorders>
              <w:right w:val="single" w:sz="12" w:space="0" w:color="000000"/>
            </w:tcBorders>
          </w:tcPr>
          <w:p w:rsidR="00A63476" w:rsidRDefault="00A63476">
            <w:pPr>
              <w:pStyle w:val="TableParagraph"/>
              <w:rPr>
                <w:rFonts w:ascii="Times New Roman"/>
                <w:sz w:val="16"/>
              </w:rPr>
            </w:pPr>
          </w:p>
        </w:tc>
      </w:tr>
      <w:tr w:rsidR="00A63476">
        <w:trPr>
          <w:trHeight w:val="334"/>
        </w:trPr>
        <w:tc>
          <w:tcPr>
            <w:tcW w:w="2455" w:type="dxa"/>
          </w:tcPr>
          <w:p w:rsidR="00A63476" w:rsidRDefault="00D22874">
            <w:pPr>
              <w:pStyle w:val="TableParagraph"/>
              <w:spacing w:before="63"/>
              <w:ind w:left="83"/>
              <w:rPr>
                <w:sz w:val="16"/>
              </w:rPr>
            </w:pPr>
            <w:r>
              <w:rPr>
                <w:sz w:val="16"/>
              </w:rPr>
              <w:t>Acompañamiento Técnico</w:t>
            </w:r>
          </w:p>
        </w:tc>
        <w:tc>
          <w:tcPr>
            <w:tcW w:w="1318" w:type="dxa"/>
            <w:tcBorders>
              <w:right w:val="single" w:sz="12" w:space="0" w:color="000000"/>
            </w:tcBorders>
          </w:tcPr>
          <w:p w:rsidR="00A63476" w:rsidRDefault="00D22874">
            <w:pPr>
              <w:pStyle w:val="TableParagraph"/>
              <w:spacing w:before="63"/>
              <w:ind w:left="568"/>
              <w:rPr>
                <w:sz w:val="16"/>
              </w:rPr>
            </w:pPr>
            <w:r>
              <w:rPr>
                <w:sz w:val="16"/>
              </w:rPr>
              <w:t>13</w:t>
            </w:r>
          </w:p>
        </w:tc>
        <w:tc>
          <w:tcPr>
            <w:tcW w:w="676" w:type="dxa"/>
            <w:tcBorders>
              <w:left w:val="single" w:sz="12" w:space="0" w:color="000000"/>
            </w:tcBorders>
          </w:tcPr>
          <w:p w:rsidR="00A63476" w:rsidRDefault="00A63476">
            <w:pPr>
              <w:pStyle w:val="TableParagraph"/>
              <w:rPr>
                <w:rFonts w:ascii="Times New Roman"/>
                <w:sz w:val="16"/>
              </w:rPr>
            </w:pPr>
          </w:p>
        </w:tc>
        <w:tc>
          <w:tcPr>
            <w:tcW w:w="607" w:type="dxa"/>
          </w:tcPr>
          <w:p w:rsidR="00A63476" w:rsidRDefault="00A63476">
            <w:pPr>
              <w:pStyle w:val="TableParagraph"/>
              <w:rPr>
                <w:rFonts w:ascii="Times New Roman"/>
                <w:sz w:val="16"/>
              </w:rPr>
            </w:pPr>
          </w:p>
        </w:tc>
        <w:tc>
          <w:tcPr>
            <w:tcW w:w="710" w:type="dxa"/>
          </w:tcPr>
          <w:p w:rsidR="00A63476" w:rsidRDefault="00A63476">
            <w:pPr>
              <w:pStyle w:val="TableParagraph"/>
              <w:rPr>
                <w:rFonts w:ascii="Times New Roman"/>
                <w:sz w:val="16"/>
              </w:rPr>
            </w:pPr>
          </w:p>
        </w:tc>
        <w:tc>
          <w:tcPr>
            <w:tcW w:w="714" w:type="dxa"/>
            <w:tcBorders>
              <w:right w:val="single" w:sz="12" w:space="0" w:color="000000"/>
            </w:tcBorders>
          </w:tcPr>
          <w:p w:rsidR="00A63476" w:rsidRDefault="00A63476">
            <w:pPr>
              <w:pStyle w:val="TableParagraph"/>
              <w:rPr>
                <w:rFonts w:ascii="Times New Roman"/>
                <w:sz w:val="16"/>
              </w:rPr>
            </w:pPr>
          </w:p>
        </w:tc>
      </w:tr>
      <w:tr w:rsidR="00A63476">
        <w:trPr>
          <w:trHeight w:val="334"/>
        </w:trPr>
        <w:tc>
          <w:tcPr>
            <w:tcW w:w="2455" w:type="dxa"/>
          </w:tcPr>
          <w:p w:rsidR="00A63476" w:rsidRDefault="00D22874">
            <w:pPr>
              <w:pStyle w:val="TableParagraph"/>
              <w:spacing w:before="74"/>
              <w:ind w:left="83"/>
              <w:rPr>
                <w:sz w:val="16"/>
              </w:rPr>
            </w:pPr>
            <w:r>
              <w:rPr>
                <w:sz w:val="16"/>
              </w:rPr>
              <w:t>Adquisición de suelo</w:t>
            </w:r>
          </w:p>
        </w:tc>
        <w:tc>
          <w:tcPr>
            <w:tcW w:w="1318" w:type="dxa"/>
            <w:tcBorders>
              <w:right w:val="single" w:sz="12" w:space="0" w:color="000000"/>
            </w:tcBorders>
          </w:tcPr>
          <w:p w:rsidR="00A63476" w:rsidRDefault="00D22874">
            <w:pPr>
              <w:pStyle w:val="TableParagraph"/>
              <w:spacing w:before="74"/>
              <w:ind w:left="568"/>
              <w:rPr>
                <w:sz w:val="16"/>
              </w:rPr>
            </w:pPr>
            <w:r>
              <w:rPr>
                <w:sz w:val="16"/>
              </w:rPr>
              <w:t>45</w:t>
            </w:r>
          </w:p>
        </w:tc>
        <w:tc>
          <w:tcPr>
            <w:tcW w:w="676" w:type="dxa"/>
            <w:tcBorders>
              <w:left w:val="single" w:sz="12" w:space="0" w:color="000000"/>
            </w:tcBorders>
            <w:shd w:val="clear" w:color="auto" w:fill="D9D9D9"/>
          </w:tcPr>
          <w:p w:rsidR="00A63476" w:rsidRDefault="00D22874">
            <w:pPr>
              <w:pStyle w:val="TableParagraph"/>
              <w:spacing w:before="74"/>
              <w:ind w:left="19"/>
              <w:jc w:val="center"/>
              <w:rPr>
                <w:sz w:val="16"/>
              </w:rPr>
            </w:pPr>
            <w:r>
              <w:rPr>
                <w:sz w:val="16"/>
              </w:rPr>
              <w:t>X</w:t>
            </w:r>
          </w:p>
        </w:tc>
        <w:tc>
          <w:tcPr>
            <w:tcW w:w="607" w:type="dxa"/>
          </w:tcPr>
          <w:p w:rsidR="00A63476" w:rsidRDefault="00A63476">
            <w:pPr>
              <w:pStyle w:val="TableParagraph"/>
              <w:rPr>
                <w:rFonts w:ascii="Times New Roman"/>
                <w:sz w:val="16"/>
              </w:rPr>
            </w:pPr>
          </w:p>
        </w:tc>
        <w:tc>
          <w:tcPr>
            <w:tcW w:w="710" w:type="dxa"/>
          </w:tcPr>
          <w:p w:rsidR="00A63476" w:rsidRDefault="00A63476">
            <w:pPr>
              <w:pStyle w:val="TableParagraph"/>
              <w:rPr>
                <w:rFonts w:ascii="Times New Roman"/>
                <w:sz w:val="16"/>
              </w:rPr>
            </w:pPr>
          </w:p>
        </w:tc>
        <w:tc>
          <w:tcPr>
            <w:tcW w:w="714" w:type="dxa"/>
            <w:tcBorders>
              <w:right w:val="single" w:sz="12" w:space="0" w:color="000000"/>
            </w:tcBorders>
          </w:tcPr>
          <w:p w:rsidR="00A63476" w:rsidRDefault="00A63476">
            <w:pPr>
              <w:pStyle w:val="TableParagraph"/>
              <w:rPr>
                <w:rFonts w:ascii="Times New Roman"/>
                <w:sz w:val="16"/>
              </w:rPr>
            </w:pPr>
          </w:p>
        </w:tc>
      </w:tr>
      <w:tr w:rsidR="00A63476">
        <w:trPr>
          <w:trHeight w:val="334"/>
        </w:trPr>
        <w:tc>
          <w:tcPr>
            <w:tcW w:w="2455" w:type="dxa"/>
          </w:tcPr>
          <w:p w:rsidR="00A63476" w:rsidRDefault="00D22874">
            <w:pPr>
              <w:pStyle w:val="TableParagraph"/>
              <w:spacing w:before="64"/>
              <w:ind w:left="83"/>
              <w:rPr>
                <w:sz w:val="16"/>
              </w:rPr>
            </w:pPr>
            <w:r>
              <w:rPr>
                <w:sz w:val="16"/>
              </w:rPr>
              <w:t>Adquisición de Vivienda Nueva</w:t>
            </w:r>
          </w:p>
        </w:tc>
        <w:tc>
          <w:tcPr>
            <w:tcW w:w="1318" w:type="dxa"/>
            <w:tcBorders>
              <w:right w:val="single" w:sz="12" w:space="0" w:color="000000"/>
            </w:tcBorders>
          </w:tcPr>
          <w:p w:rsidR="00A63476" w:rsidRDefault="00D22874">
            <w:pPr>
              <w:pStyle w:val="TableParagraph"/>
              <w:spacing w:before="64"/>
              <w:ind w:left="528"/>
              <w:rPr>
                <w:sz w:val="16"/>
              </w:rPr>
            </w:pPr>
            <w:r>
              <w:rPr>
                <w:sz w:val="16"/>
              </w:rPr>
              <w:t>172</w:t>
            </w:r>
          </w:p>
        </w:tc>
        <w:tc>
          <w:tcPr>
            <w:tcW w:w="676" w:type="dxa"/>
            <w:tcBorders>
              <w:left w:val="single" w:sz="12" w:space="0" w:color="000000"/>
            </w:tcBorders>
          </w:tcPr>
          <w:p w:rsidR="00A63476" w:rsidRDefault="00A63476">
            <w:pPr>
              <w:pStyle w:val="TableParagraph"/>
              <w:rPr>
                <w:rFonts w:ascii="Times New Roman"/>
                <w:sz w:val="16"/>
              </w:rPr>
            </w:pPr>
          </w:p>
        </w:tc>
        <w:tc>
          <w:tcPr>
            <w:tcW w:w="607" w:type="dxa"/>
          </w:tcPr>
          <w:p w:rsidR="00A63476" w:rsidRDefault="00A63476">
            <w:pPr>
              <w:pStyle w:val="TableParagraph"/>
              <w:rPr>
                <w:rFonts w:ascii="Times New Roman"/>
                <w:sz w:val="16"/>
              </w:rPr>
            </w:pPr>
          </w:p>
        </w:tc>
        <w:tc>
          <w:tcPr>
            <w:tcW w:w="710" w:type="dxa"/>
            <w:shd w:val="clear" w:color="auto" w:fill="D9D9D9"/>
          </w:tcPr>
          <w:p w:rsidR="00A63476" w:rsidRDefault="00D22874">
            <w:pPr>
              <w:pStyle w:val="TableParagraph"/>
              <w:spacing w:before="64"/>
              <w:ind w:left="27"/>
              <w:jc w:val="center"/>
              <w:rPr>
                <w:sz w:val="16"/>
              </w:rPr>
            </w:pPr>
            <w:r>
              <w:rPr>
                <w:sz w:val="16"/>
              </w:rPr>
              <w:t>X</w:t>
            </w:r>
          </w:p>
        </w:tc>
        <w:tc>
          <w:tcPr>
            <w:tcW w:w="714" w:type="dxa"/>
            <w:tcBorders>
              <w:right w:val="single" w:sz="12" w:space="0" w:color="000000"/>
            </w:tcBorders>
          </w:tcPr>
          <w:p w:rsidR="00A63476" w:rsidRDefault="00A63476">
            <w:pPr>
              <w:pStyle w:val="TableParagraph"/>
              <w:rPr>
                <w:rFonts w:ascii="Times New Roman"/>
                <w:sz w:val="16"/>
              </w:rPr>
            </w:pPr>
          </w:p>
        </w:tc>
      </w:tr>
      <w:tr w:rsidR="00A63476">
        <w:trPr>
          <w:trHeight w:val="334"/>
        </w:trPr>
        <w:tc>
          <w:tcPr>
            <w:tcW w:w="2455" w:type="dxa"/>
          </w:tcPr>
          <w:p w:rsidR="00A63476" w:rsidRDefault="00D22874">
            <w:pPr>
              <w:pStyle w:val="TableParagraph"/>
              <w:spacing w:before="74"/>
              <w:ind w:left="83"/>
              <w:rPr>
                <w:sz w:val="16"/>
              </w:rPr>
            </w:pPr>
            <w:r>
              <w:rPr>
                <w:sz w:val="16"/>
              </w:rPr>
              <w:t>Adquisición de Vivienda Usada</w:t>
            </w:r>
          </w:p>
        </w:tc>
        <w:tc>
          <w:tcPr>
            <w:tcW w:w="1318" w:type="dxa"/>
            <w:tcBorders>
              <w:right w:val="single" w:sz="12" w:space="0" w:color="000000"/>
            </w:tcBorders>
          </w:tcPr>
          <w:p w:rsidR="00A63476" w:rsidRDefault="00D22874">
            <w:pPr>
              <w:pStyle w:val="TableParagraph"/>
              <w:spacing w:before="74"/>
              <w:ind w:left="528"/>
              <w:rPr>
                <w:sz w:val="16"/>
              </w:rPr>
            </w:pPr>
            <w:r>
              <w:rPr>
                <w:sz w:val="16"/>
              </w:rPr>
              <w:t>143</w:t>
            </w:r>
          </w:p>
        </w:tc>
        <w:tc>
          <w:tcPr>
            <w:tcW w:w="676" w:type="dxa"/>
            <w:tcBorders>
              <w:left w:val="single" w:sz="12" w:space="0" w:color="000000"/>
            </w:tcBorders>
          </w:tcPr>
          <w:p w:rsidR="00A63476" w:rsidRDefault="00A63476">
            <w:pPr>
              <w:pStyle w:val="TableParagraph"/>
              <w:rPr>
                <w:rFonts w:ascii="Times New Roman"/>
                <w:sz w:val="16"/>
              </w:rPr>
            </w:pPr>
          </w:p>
        </w:tc>
        <w:tc>
          <w:tcPr>
            <w:tcW w:w="607" w:type="dxa"/>
          </w:tcPr>
          <w:p w:rsidR="00A63476" w:rsidRDefault="00A63476">
            <w:pPr>
              <w:pStyle w:val="TableParagraph"/>
              <w:rPr>
                <w:rFonts w:ascii="Times New Roman"/>
                <w:sz w:val="16"/>
              </w:rPr>
            </w:pPr>
          </w:p>
        </w:tc>
        <w:tc>
          <w:tcPr>
            <w:tcW w:w="710" w:type="dxa"/>
            <w:shd w:val="clear" w:color="auto" w:fill="D9D9D9"/>
          </w:tcPr>
          <w:p w:rsidR="00A63476" w:rsidRDefault="00D22874">
            <w:pPr>
              <w:pStyle w:val="TableParagraph"/>
              <w:spacing w:before="74"/>
              <w:ind w:left="27"/>
              <w:jc w:val="center"/>
              <w:rPr>
                <w:sz w:val="16"/>
              </w:rPr>
            </w:pPr>
            <w:r>
              <w:rPr>
                <w:sz w:val="16"/>
              </w:rPr>
              <w:t>X</w:t>
            </w:r>
          </w:p>
        </w:tc>
        <w:tc>
          <w:tcPr>
            <w:tcW w:w="714" w:type="dxa"/>
            <w:tcBorders>
              <w:right w:val="single" w:sz="12" w:space="0" w:color="000000"/>
            </w:tcBorders>
          </w:tcPr>
          <w:p w:rsidR="00A63476" w:rsidRDefault="00A63476">
            <w:pPr>
              <w:pStyle w:val="TableParagraph"/>
              <w:rPr>
                <w:rFonts w:ascii="Times New Roman"/>
                <w:sz w:val="16"/>
              </w:rPr>
            </w:pPr>
          </w:p>
        </w:tc>
      </w:tr>
      <w:tr w:rsidR="00A63476">
        <w:trPr>
          <w:trHeight w:val="514"/>
        </w:trPr>
        <w:tc>
          <w:tcPr>
            <w:tcW w:w="2455" w:type="dxa"/>
          </w:tcPr>
          <w:p w:rsidR="00A63476" w:rsidRDefault="00A63476">
            <w:pPr>
              <w:pStyle w:val="TableParagraph"/>
              <w:spacing w:before="3"/>
              <w:rPr>
                <w:b/>
                <w:sz w:val="14"/>
              </w:rPr>
            </w:pPr>
          </w:p>
          <w:p w:rsidR="00A63476" w:rsidRDefault="00D22874">
            <w:pPr>
              <w:pStyle w:val="TableParagraph"/>
              <w:ind w:left="83"/>
              <w:rPr>
                <w:sz w:val="16"/>
              </w:rPr>
            </w:pPr>
            <w:r>
              <w:rPr>
                <w:sz w:val="16"/>
              </w:rPr>
              <w:t>Estudios y Proyectos</w:t>
            </w:r>
          </w:p>
        </w:tc>
        <w:tc>
          <w:tcPr>
            <w:tcW w:w="1318" w:type="dxa"/>
            <w:tcBorders>
              <w:right w:val="single" w:sz="12" w:space="0" w:color="000000"/>
            </w:tcBorders>
          </w:tcPr>
          <w:p w:rsidR="00A63476" w:rsidRDefault="00D22874">
            <w:pPr>
              <w:pStyle w:val="TableParagraph"/>
              <w:spacing w:before="67" w:line="235" w:lineRule="auto"/>
              <w:ind w:left="108" w:right="64" w:firstLine="20"/>
              <w:rPr>
                <w:sz w:val="16"/>
              </w:rPr>
            </w:pPr>
            <w:r>
              <w:rPr>
                <w:sz w:val="16"/>
              </w:rPr>
              <w:t>hasta 2.5% del valor de la obra</w:t>
            </w:r>
          </w:p>
        </w:tc>
        <w:tc>
          <w:tcPr>
            <w:tcW w:w="676" w:type="dxa"/>
            <w:tcBorders>
              <w:left w:val="single" w:sz="12" w:space="0" w:color="000000"/>
            </w:tcBorders>
            <w:shd w:val="clear" w:color="auto" w:fill="D9D9D9"/>
          </w:tcPr>
          <w:p w:rsidR="00A63476" w:rsidRDefault="00A63476">
            <w:pPr>
              <w:pStyle w:val="TableParagraph"/>
              <w:spacing w:before="3"/>
              <w:rPr>
                <w:b/>
                <w:sz w:val="14"/>
              </w:rPr>
            </w:pPr>
          </w:p>
          <w:p w:rsidR="00A63476" w:rsidRDefault="00D22874">
            <w:pPr>
              <w:pStyle w:val="TableParagraph"/>
              <w:ind w:left="19"/>
              <w:jc w:val="center"/>
              <w:rPr>
                <w:sz w:val="16"/>
              </w:rPr>
            </w:pPr>
            <w:r>
              <w:rPr>
                <w:sz w:val="16"/>
              </w:rPr>
              <w:t>X</w:t>
            </w:r>
          </w:p>
        </w:tc>
        <w:tc>
          <w:tcPr>
            <w:tcW w:w="607" w:type="dxa"/>
          </w:tcPr>
          <w:p w:rsidR="00A63476" w:rsidRDefault="00A63476">
            <w:pPr>
              <w:pStyle w:val="TableParagraph"/>
              <w:rPr>
                <w:rFonts w:ascii="Times New Roman"/>
                <w:sz w:val="16"/>
              </w:rPr>
            </w:pPr>
          </w:p>
        </w:tc>
        <w:tc>
          <w:tcPr>
            <w:tcW w:w="710" w:type="dxa"/>
          </w:tcPr>
          <w:p w:rsidR="00A63476" w:rsidRDefault="00A63476">
            <w:pPr>
              <w:pStyle w:val="TableParagraph"/>
              <w:rPr>
                <w:rFonts w:ascii="Times New Roman"/>
                <w:sz w:val="16"/>
              </w:rPr>
            </w:pPr>
          </w:p>
        </w:tc>
        <w:tc>
          <w:tcPr>
            <w:tcW w:w="714" w:type="dxa"/>
            <w:tcBorders>
              <w:right w:val="single" w:sz="12" w:space="0" w:color="000000"/>
            </w:tcBorders>
          </w:tcPr>
          <w:p w:rsidR="00A63476" w:rsidRDefault="00A63476">
            <w:pPr>
              <w:pStyle w:val="TableParagraph"/>
              <w:rPr>
                <w:rFonts w:ascii="Times New Roman"/>
                <w:sz w:val="16"/>
              </w:rPr>
            </w:pPr>
          </w:p>
        </w:tc>
      </w:tr>
      <w:tr w:rsidR="00A63476">
        <w:trPr>
          <w:trHeight w:val="334"/>
        </w:trPr>
        <w:tc>
          <w:tcPr>
            <w:tcW w:w="2455" w:type="dxa"/>
          </w:tcPr>
          <w:p w:rsidR="00A63476" w:rsidRDefault="00D22874">
            <w:pPr>
              <w:pStyle w:val="TableParagraph"/>
              <w:spacing w:before="75"/>
              <w:ind w:left="83"/>
              <w:rPr>
                <w:sz w:val="16"/>
              </w:rPr>
            </w:pPr>
            <w:r>
              <w:rPr>
                <w:sz w:val="16"/>
              </w:rPr>
              <w:t>Demolición</w:t>
            </w:r>
          </w:p>
        </w:tc>
        <w:tc>
          <w:tcPr>
            <w:tcW w:w="1318" w:type="dxa"/>
            <w:tcBorders>
              <w:right w:val="single" w:sz="12" w:space="0" w:color="000000"/>
            </w:tcBorders>
          </w:tcPr>
          <w:p w:rsidR="00A63476" w:rsidRDefault="00D22874">
            <w:pPr>
              <w:pStyle w:val="TableParagraph"/>
              <w:spacing w:before="75"/>
              <w:ind w:left="10"/>
              <w:jc w:val="center"/>
              <w:rPr>
                <w:sz w:val="16"/>
              </w:rPr>
            </w:pPr>
            <w:r>
              <w:rPr>
                <w:sz w:val="16"/>
              </w:rPr>
              <w:t>6</w:t>
            </w:r>
          </w:p>
        </w:tc>
        <w:tc>
          <w:tcPr>
            <w:tcW w:w="676" w:type="dxa"/>
            <w:tcBorders>
              <w:left w:val="single" w:sz="12" w:space="0" w:color="000000"/>
            </w:tcBorders>
            <w:shd w:val="clear" w:color="auto" w:fill="D9D9D9"/>
          </w:tcPr>
          <w:p w:rsidR="00A63476" w:rsidRDefault="00D22874">
            <w:pPr>
              <w:pStyle w:val="TableParagraph"/>
              <w:spacing w:before="75"/>
              <w:ind w:left="19"/>
              <w:jc w:val="center"/>
              <w:rPr>
                <w:sz w:val="16"/>
              </w:rPr>
            </w:pPr>
            <w:r>
              <w:rPr>
                <w:sz w:val="16"/>
              </w:rPr>
              <w:t>X</w:t>
            </w:r>
          </w:p>
        </w:tc>
        <w:tc>
          <w:tcPr>
            <w:tcW w:w="607" w:type="dxa"/>
          </w:tcPr>
          <w:p w:rsidR="00A63476" w:rsidRDefault="00A63476">
            <w:pPr>
              <w:pStyle w:val="TableParagraph"/>
              <w:rPr>
                <w:rFonts w:ascii="Times New Roman"/>
                <w:sz w:val="16"/>
              </w:rPr>
            </w:pPr>
          </w:p>
        </w:tc>
        <w:tc>
          <w:tcPr>
            <w:tcW w:w="710" w:type="dxa"/>
          </w:tcPr>
          <w:p w:rsidR="00A63476" w:rsidRDefault="00A63476">
            <w:pPr>
              <w:pStyle w:val="TableParagraph"/>
              <w:rPr>
                <w:rFonts w:ascii="Times New Roman"/>
                <w:sz w:val="16"/>
              </w:rPr>
            </w:pPr>
          </w:p>
        </w:tc>
        <w:tc>
          <w:tcPr>
            <w:tcW w:w="714" w:type="dxa"/>
            <w:tcBorders>
              <w:right w:val="single" w:sz="12" w:space="0" w:color="000000"/>
            </w:tcBorders>
          </w:tcPr>
          <w:p w:rsidR="00A63476" w:rsidRDefault="00A63476">
            <w:pPr>
              <w:pStyle w:val="TableParagraph"/>
              <w:rPr>
                <w:rFonts w:ascii="Times New Roman"/>
                <w:sz w:val="16"/>
              </w:rPr>
            </w:pPr>
          </w:p>
        </w:tc>
      </w:tr>
      <w:tr w:rsidR="00A63476">
        <w:trPr>
          <w:trHeight w:val="334"/>
        </w:trPr>
        <w:tc>
          <w:tcPr>
            <w:tcW w:w="2455" w:type="dxa"/>
          </w:tcPr>
          <w:p w:rsidR="00A63476" w:rsidRDefault="00D22874">
            <w:pPr>
              <w:pStyle w:val="TableParagraph"/>
              <w:spacing w:before="65"/>
              <w:ind w:left="83"/>
              <w:rPr>
                <w:sz w:val="16"/>
              </w:rPr>
            </w:pPr>
            <w:r>
              <w:rPr>
                <w:sz w:val="16"/>
              </w:rPr>
              <w:t>Edificación</w:t>
            </w:r>
          </w:p>
        </w:tc>
        <w:tc>
          <w:tcPr>
            <w:tcW w:w="1318" w:type="dxa"/>
            <w:tcBorders>
              <w:right w:val="single" w:sz="12" w:space="0" w:color="000000"/>
            </w:tcBorders>
          </w:tcPr>
          <w:p w:rsidR="00A63476" w:rsidRDefault="00D22874">
            <w:pPr>
              <w:pStyle w:val="TableParagraph"/>
              <w:spacing w:before="65"/>
              <w:ind w:left="528"/>
              <w:rPr>
                <w:sz w:val="16"/>
              </w:rPr>
            </w:pPr>
            <w:r>
              <w:rPr>
                <w:sz w:val="16"/>
              </w:rPr>
              <w:t>113</w:t>
            </w:r>
          </w:p>
        </w:tc>
        <w:tc>
          <w:tcPr>
            <w:tcW w:w="676" w:type="dxa"/>
            <w:tcBorders>
              <w:left w:val="single" w:sz="12" w:space="0" w:color="000000"/>
            </w:tcBorders>
            <w:shd w:val="clear" w:color="auto" w:fill="D9D9D9"/>
          </w:tcPr>
          <w:p w:rsidR="00A63476" w:rsidRDefault="00D22874">
            <w:pPr>
              <w:pStyle w:val="TableParagraph"/>
              <w:spacing w:before="65"/>
              <w:ind w:left="19"/>
              <w:jc w:val="center"/>
              <w:rPr>
                <w:sz w:val="16"/>
              </w:rPr>
            </w:pPr>
            <w:r>
              <w:rPr>
                <w:sz w:val="16"/>
              </w:rPr>
              <w:t>X</w:t>
            </w:r>
          </w:p>
        </w:tc>
        <w:tc>
          <w:tcPr>
            <w:tcW w:w="607" w:type="dxa"/>
          </w:tcPr>
          <w:p w:rsidR="00A63476" w:rsidRDefault="00A63476">
            <w:pPr>
              <w:pStyle w:val="TableParagraph"/>
              <w:rPr>
                <w:rFonts w:ascii="Times New Roman"/>
                <w:sz w:val="16"/>
              </w:rPr>
            </w:pPr>
          </w:p>
        </w:tc>
        <w:tc>
          <w:tcPr>
            <w:tcW w:w="710" w:type="dxa"/>
          </w:tcPr>
          <w:p w:rsidR="00A63476" w:rsidRDefault="00A63476">
            <w:pPr>
              <w:pStyle w:val="TableParagraph"/>
              <w:rPr>
                <w:rFonts w:ascii="Times New Roman"/>
                <w:sz w:val="16"/>
              </w:rPr>
            </w:pPr>
          </w:p>
        </w:tc>
        <w:tc>
          <w:tcPr>
            <w:tcW w:w="714" w:type="dxa"/>
            <w:tcBorders>
              <w:right w:val="single" w:sz="12" w:space="0" w:color="000000"/>
            </w:tcBorders>
          </w:tcPr>
          <w:p w:rsidR="00A63476" w:rsidRDefault="00A63476">
            <w:pPr>
              <w:pStyle w:val="TableParagraph"/>
              <w:rPr>
                <w:rFonts w:ascii="Times New Roman"/>
                <w:sz w:val="16"/>
              </w:rPr>
            </w:pPr>
          </w:p>
        </w:tc>
      </w:tr>
      <w:tr w:rsidR="00A63476">
        <w:trPr>
          <w:trHeight w:val="334"/>
        </w:trPr>
        <w:tc>
          <w:tcPr>
            <w:tcW w:w="2455" w:type="dxa"/>
          </w:tcPr>
          <w:p w:rsidR="00A63476" w:rsidRDefault="00D22874">
            <w:pPr>
              <w:pStyle w:val="TableParagraph"/>
              <w:spacing w:before="75"/>
              <w:ind w:left="83"/>
              <w:rPr>
                <w:sz w:val="16"/>
              </w:rPr>
            </w:pPr>
            <w:r>
              <w:rPr>
                <w:sz w:val="16"/>
              </w:rPr>
              <w:t>Obra de Alcance Mayor</w:t>
            </w:r>
          </w:p>
        </w:tc>
        <w:tc>
          <w:tcPr>
            <w:tcW w:w="1318" w:type="dxa"/>
            <w:tcBorders>
              <w:right w:val="single" w:sz="12" w:space="0" w:color="000000"/>
            </w:tcBorders>
          </w:tcPr>
          <w:p w:rsidR="00A63476" w:rsidRDefault="00D22874">
            <w:pPr>
              <w:pStyle w:val="TableParagraph"/>
              <w:spacing w:before="75"/>
              <w:ind w:left="568"/>
              <w:rPr>
                <w:sz w:val="16"/>
              </w:rPr>
            </w:pPr>
            <w:r>
              <w:rPr>
                <w:sz w:val="16"/>
              </w:rPr>
              <w:t>13</w:t>
            </w:r>
          </w:p>
        </w:tc>
        <w:tc>
          <w:tcPr>
            <w:tcW w:w="676" w:type="dxa"/>
            <w:tcBorders>
              <w:left w:val="single" w:sz="12" w:space="0" w:color="000000"/>
            </w:tcBorders>
            <w:shd w:val="clear" w:color="auto" w:fill="D9D9D9"/>
          </w:tcPr>
          <w:p w:rsidR="00A63476" w:rsidRDefault="00D22874">
            <w:pPr>
              <w:pStyle w:val="TableParagraph"/>
              <w:spacing w:before="75"/>
              <w:ind w:left="19"/>
              <w:jc w:val="center"/>
              <w:rPr>
                <w:sz w:val="16"/>
              </w:rPr>
            </w:pPr>
            <w:r>
              <w:rPr>
                <w:sz w:val="16"/>
              </w:rPr>
              <w:t>X</w:t>
            </w:r>
          </w:p>
        </w:tc>
        <w:tc>
          <w:tcPr>
            <w:tcW w:w="607" w:type="dxa"/>
          </w:tcPr>
          <w:p w:rsidR="00A63476" w:rsidRDefault="00A63476">
            <w:pPr>
              <w:pStyle w:val="TableParagraph"/>
              <w:rPr>
                <w:rFonts w:ascii="Times New Roman"/>
                <w:sz w:val="16"/>
              </w:rPr>
            </w:pPr>
          </w:p>
        </w:tc>
        <w:tc>
          <w:tcPr>
            <w:tcW w:w="710" w:type="dxa"/>
          </w:tcPr>
          <w:p w:rsidR="00A63476" w:rsidRDefault="00A63476">
            <w:pPr>
              <w:pStyle w:val="TableParagraph"/>
              <w:rPr>
                <w:rFonts w:ascii="Times New Roman"/>
                <w:sz w:val="16"/>
              </w:rPr>
            </w:pPr>
          </w:p>
        </w:tc>
        <w:tc>
          <w:tcPr>
            <w:tcW w:w="714" w:type="dxa"/>
            <w:tcBorders>
              <w:right w:val="single" w:sz="12" w:space="0" w:color="000000"/>
            </w:tcBorders>
          </w:tcPr>
          <w:p w:rsidR="00A63476" w:rsidRDefault="00A63476">
            <w:pPr>
              <w:pStyle w:val="TableParagraph"/>
              <w:rPr>
                <w:rFonts w:ascii="Times New Roman"/>
                <w:sz w:val="16"/>
              </w:rPr>
            </w:pPr>
          </w:p>
        </w:tc>
      </w:tr>
      <w:tr w:rsidR="00A63476">
        <w:trPr>
          <w:trHeight w:val="334"/>
        </w:trPr>
        <w:tc>
          <w:tcPr>
            <w:tcW w:w="2455" w:type="dxa"/>
          </w:tcPr>
          <w:p w:rsidR="00A63476" w:rsidRDefault="00D22874">
            <w:pPr>
              <w:pStyle w:val="TableParagraph"/>
              <w:spacing w:before="65"/>
              <w:ind w:left="83"/>
              <w:rPr>
                <w:sz w:val="16"/>
              </w:rPr>
            </w:pPr>
            <w:r>
              <w:rPr>
                <w:sz w:val="16"/>
              </w:rPr>
              <w:t>Ampliación de Vivienda</w:t>
            </w:r>
          </w:p>
        </w:tc>
        <w:tc>
          <w:tcPr>
            <w:tcW w:w="1318" w:type="dxa"/>
            <w:tcBorders>
              <w:right w:val="single" w:sz="12" w:space="0" w:color="000000"/>
            </w:tcBorders>
          </w:tcPr>
          <w:p w:rsidR="00A63476" w:rsidRDefault="00D22874">
            <w:pPr>
              <w:pStyle w:val="TableParagraph"/>
              <w:spacing w:before="65"/>
              <w:ind w:left="568"/>
              <w:rPr>
                <w:sz w:val="16"/>
              </w:rPr>
            </w:pPr>
            <w:r>
              <w:rPr>
                <w:sz w:val="16"/>
              </w:rPr>
              <w:t>50</w:t>
            </w:r>
          </w:p>
        </w:tc>
        <w:tc>
          <w:tcPr>
            <w:tcW w:w="676" w:type="dxa"/>
            <w:tcBorders>
              <w:left w:val="single" w:sz="12" w:space="0" w:color="000000"/>
            </w:tcBorders>
          </w:tcPr>
          <w:p w:rsidR="00A63476" w:rsidRDefault="00A63476">
            <w:pPr>
              <w:pStyle w:val="TableParagraph"/>
              <w:rPr>
                <w:rFonts w:ascii="Times New Roman"/>
                <w:sz w:val="16"/>
              </w:rPr>
            </w:pPr>
          </w:p>
        </w:tc>
        <w:tc>
          <w:tcPr>
            <w:tcW w:w="607" w:type="dxa"/>
            <w:shd w:val="clear" w:color="auto" w:fill="D9D9D9"/>
          </w:tcPr>
          <w:p w:rsidR="00A63476" w:rsidRDefault="00D22874">
            <w:pPr>
              <w:pStyle w:val="TableParagraph"/>
              <w:spacing w:before="65"/>
              <w:ind w:left="24"/>
              <w:jc w:val="center"/>
              <w:rPr>
                <w:sz w:val="16"/>
              </w:rPr>
            </w:pPr>
            <w:r>
              <w:rPr>
                <w:sz w:val="16"/>
              </w:rPr>
              <w:t>X</w:t>
            </w:r>
          </w:p>
        </w:tc>
        <w:tc>
          <w:tcPr>
            <w:tcW w:w="710" w:type="dxa"/>
          </w:tcPr>
          <w:p w:rsidR="00A63476" w:rsidRDefault="00A63476">
            <w:pPr>
              <w:pStyle w:val="TableParagraph"/>
              <w:rPr>
                <w:rFonts w:ascii="Times New Roman"/>
                <w:sz w:val="16"/>
              </w:rPr>
            </w:pPr>
          </w:p>
        </w:tc>
        <w:tc>
          <w:tcPr>
            <w:tcW w:w="714" w:type="dxa"/>
            <w:tcBorders>
              <w:right w:val="single" w:sz="12" w:space="0" w:color="000000"/>
            </w:tcBorders>
          </w:tcPr>
          <w:p w:rsidR="00A63476" w:rsidRDefault="00A63476">
            <w:pPr>
              <w:pStyle w:val="TableParagraph"/>
              <w:rPr>
                <w:rFonts w:ascii="Times New Roman"/>
                <w:sz w:val="16"/>
              </w:rPr>
            </w:pPr>
          </w:p>
        </w:tc>
      </w:tr>
      <w:tr w:rsidR="00A63476">
        <w:trPr>
          <w:trHeight w:val="334"/>
        </w:trPr>
        <w:tc>
          <w:tcPr>
            <w:tcW w:w="2455" w:type="dxa"/>
          </w:tcPr>
          <w:p w:rsidR="00A63476" w:rsidRDefault="00D22874">
            <w:pPr>
              <w:pStyle w:val="TableParagraph"/>
              <w:spacing w:before="75"/>
              <w:ind w:left="83"/>
              <w:rPr>
                <w:sz w:val="16"/>
              </w:rPr>
            </w:pPr>
            <w:r>
              <w:rPr>
                <w:sz w:val="16"/>
              </w:rPr>
              <w:t>Mejoramiento de vivienda</w:t>
            </w:r>
          </w:p>
        </w:tc>
        <w:tc>
          <w:tcPr>
            <w:tcW w:w="1318" w:type="dxa"/>
            <w:tcBorders>
              <w:right w:val="single" w:sz="12" w:space="0" w:color="000000"/>
            </w:tcBorders>
          </w:tcPr>
          <w:p w:rsidR="00A63476" w:rsidRDefault="00D22874">
            <w:pPr>
              <w:pStyle w:val="TableParagraph"/>
              <w:spacing w:before="75"/>
              <w:ind w:left="568"/>
              <w:rPr>
                <w:sz w:val="16"/>
              </w:rPr>
            </w:pPr>
            <w:r>
              <w:rPr>
                <w:sz w:val="16"/>
              </w:rPr>
              <w:t>25</w:t>
            </w:r>
          </w:p>
        </w:tc>
        <w:tc>
          <w:tcPr>
            <w:tcW w:w="676" w:type="dxa"/>
            <w:tcBorders>
              <w:left w:val="single" w:sz="12" w:space="0" w:color="000000"/>
            </w:tcBorders>
          </w:tcPr>
          <w:p w:rsidR="00A63476" w:rsidRDefault="00A63476">
            <w:pPr>
              <w:pStyle w:val="TableParagraph"/>
              <w:rPr>
                <w:rFonts w:ascii="Times New Roman"/>
                <w:sz w:val="16"/>
              </w:rPr>
            </w:pPr>
          </w:p>
        </w:tc>
        <w:tc>
          <w:tcPr>
            <w:tcW w:w="607" w:type="dxa"/>
            <w:shd w:val="clear" w:color="auto" w:fill="D9D9D9"/>
          </w:tcPr>
          <w:p w:rsidR="00A63476" w:rsidRDefault="00D22874">
            <w:pPr>
              <w:pStyle w:val="TableParagraph"/>
              <w:spacing w:before="75"/>
              <w:ind w:left="24"/>
              <w:jc w:val="center"/>
              <w:rPr>
                <w:sz w:val="16"/>
              </w:rPr>
            </w:pPr>
            <w:r>
              <w:rPr>
                <w:sz w:val="16"/>
              </w:rPr>
              <w:t>X</w:t>
            </w:r>
          </w:p>
        </w:tc>
        <w:tc>
          <w:tcPr>
            <w:tcW w:w="710" w:type="dxa"/>
          </w:tcPr>
          <w:p w:rsidR="00A63476" w:rsidRDefault="00A63476">
            <w:pPr>
              <w:pStyle w:val="TableParagraph"/>
              <w:rPr>
                <w:rFonts w:ascii="Times New Roman"/>
                <w:sz w:val="16"/>
              </w:rPr>
            </w:pPr>
          </w:p>
        </w:tc>
        <w:tc>
          <w:tcPr>
            <w:tcW w:w="714" w:type="dxa"/>
            <w:tcBorders>
              <w:right w:val="single" w:sz="12" w:space="0" w:color="000000"/>
            </w:tcBorders>
          </w:tcPr>
          <w:p w:rsidR="00A63476" w:rsidRDefault="00A63476">
            <w:pPr>
              <w:pStyle w:val="TableParagraph"/>
              <w:rPr>
                <w:rFonts w:ascii="Times New Roman"/>
                <w:sz w:val="16"/>
              </w:rPr>
            </w:pPr>
          </w:p>
        </w:tc>
      </w:tr>
      <w:tr w:rsidR="00A63476">
        <w:trPr>
          <w:trHeight w:val="514"/>
        </w:trPr>
        <w:tc>
          <w:tcPr>
            <w:tcW w:w="2455" w:type="dxa"/>
          </w:tcPr>
          <w:p w:rsidR="00A63476" w:rsidRDefault="00D22874">
            <w:pPr>
              <w:pStyle w:val="TableParagraph"/>
              <w:spacing w:before="69" w:line="235" w:lineRule="auto"/>
              <w:ind w:left="83" w:right="994"/>
              <w:rPr>
                <w:sz w:val="16"/>
              </w:rPr>
            </w:pPr>
            <w:r>
              <w:rPr>
                <w:sz w:val="16"/>
              </w:rPr>
              <w:t>Vivienda Nueva (O autoproducción)</w:t>
            </w:r>
          </w:p>
        </w:tc>
        <w:tc>
          <w:tcPr>
            <w:tcW w:w="1318" w:type="dxa"/>
            <w:tcBorders>
              <w:right w:val="single" w:sz="12" w:space="0" w:color="000000"/>
            </w:tcBorders>
          </w:tcPr>
          <w:p w:rsidR="00A63476" w:rsidRDefault="00A63476">
            <w:pPr>
              <w:pStyle w:val="TableParagraph"/>
              <w:spacing w:before="4"/>
              <w:rPr>
                <w:b/>
                <w:sz w:val="14"/>
              </w:rPr>
            </w:pPr>
          </w:p>
          <w:p w:rsidR="00A63476" w:rsidRDefault="00D22874">
            <w:pPr>
              <w:pStyle w:val="TableParagraph"/>
              <w:spacing w:before="1"/>
              <w:ind w:left="528"/>
              <w:rPr>
                <w:sz w:val="16"/>
              </w:rPr>
            </w:pPr>
            <w:r>
              <w:rPr>
                <w:sz w:val="16"/>
              </w:rPr>
              <w:t>127</w:t>
            </w:r>
          </w:p>
        </w:tc>
        <w:tc>
          <w:tcPr>
            <w:tcW w:w="676" w:type="dxa"/>
            <w:tcBorders>
              <w:left w:val="single" w:sz="12" w:space="0" w:color="000000"/>
            </w:tcBorders>
          </w:tcPr>
          <w:p w:rsidR="00A63476" w:rsidRDefault="00A63476">
            <w:pPr>
              <w:pStyle w:val="TableParagraph"/>
              <w:rPr>
                <w:rFonts w:ascii="Times New Roman"/>
                <w:sz w:val="16"/>
              </w:rPr>
            </w:pPr>
          </w:p>
        </w:tc>
        <w:tc>
          <w:tcPr>
            <w:tcW w:w="607" w:type="dxa"/>
            <w:shd w:val="clear" w:color="auto" w:fill="D9D9D9"/>
          </w:tcPr>
          <w:p w:rsidR="00A63476" w:rsidRDefault="00A63476">
            <w:pPr>
              <w:pStyle w:val="TableParagraph"/>
              <w:spacing w:before="4"/>
              <w:rPr>
                <w:b/>
                <w:sz w:val="14"/>
              </w:rPr>
            </w:pPr>
          </w:p>
          <w:p w:rsidR="00A63476" w:rsidRDefault="00D22874">
            <w:pPr>
              <w:pStyle w:val="TableParagraph"/>
              <w:spacing w:before="1"/>
              <w:ind w:left="24"/>
              <w:jc w:val="center"/>
              <w:rPr>
                <w:sz w:val="16"/>
              </w:rPr>
            </w:pPr>
            <w:r>
              <w:rPr>
                <w:sz w:val="16"/>
              </w:rPr>
              <w:t>X</w:t>
            </w:r>
          </w:p>
        </w:tc>
        <w:tc>
          <w:tcPr>
            <w:tcW w:w="710" w:type="dxa"/>
          </w:tcPr>
          <w:p w:rsidR="00A63476" w:rsidRDefault="00A63476">
            <w:pPr>
              <w:pStyle w:val="TableParagraph"/>
              <w:rPr>
                <w:rFonts w:ascii="Times New Roman"/>
                <w:sz w:val="16"/>
              </w:rPr>
            </w:pPr>
          </w:p>
        </w:tc>
        <w:tc>
          <w:tcPr>
            <w:tcW w:w="714" w:type="dxa"/>
            <w:tcBorders>
              <w:right w:val="single" w:sz="12" w:space="0" w:color="000000"/>
            </w:tcBorders>
          </w:tcPr>
          <w:p w:rsidR="00A63476" w:rsidRDefault="00A63476">
            <w:pPr>
              <w:pStyle w:val="TableParagraph"/>
              <w:rPr>
                <w:rFonts w:ascii="Times New Roman"/>
                <w:sz w:val="16"/>
              </w:rPr>
            </w:pPr>
          </w:p>
        </w:tc>
      </w:tr>
      <w:tr w:rsidR="00A63476">
        <w:trPr>
          <w:trHeight w:val="334"/>
        </w:trPr>
        <w:tc>
          <w:tcPr>
            <w:tcW w:w="2455" w:type="dxa"/>
          </w:tcPr>
          <w:p w:rsidR="00A63476" w:rsidRDefault="00D22874">
            <w:pPr>
              <w:pStyle w:val="TableParagraph"/>
              <w:spacing w:before="76"/>
              <w:ind w:left="83"/>
              <w:rPr>
                <w:sz w:val="16"/>
              </w:rPr>
            </w:pPr>
            <w:r>
              <w:rPr>
                <w:sz w:val="16"/>
              </w:rPr>
              <w:t>Sustentabilidad</w:t>
            </w:r>
          </w:p>
        </w:tc>
        <w:tc>
          <w:tcPr>
            <w:tcW w:w="1318" w:type="dxa"/>
            <w:tcBorders>
              <w:right w:val="single" w:sz="12" w:space="0" w:color="000000"/>
            </w:tcBorders>
          </w:tcPr>
          <w:p w:rsidR="00A63476" w:rsidRDefault="00D22874">
            <w:pPr>
              <w:pStyle w:val="TableParagraph"/>
              <w:spacing w:before="76"/>
              <w:ind w:left="568"/>
              <w:rPr>
                <w:sz w:val="16"/>
              </w:rPr>
            </w:pPr>
            <w:r>
              <w:rPr>
                <w:sz w:val="16"/>
              </w:rPr>
              <w:t>13</w:t>
            </w:r>
          </w:p>
        </w:tc>
        <w:tc>
          <w:tcPr>
            <w:tcW w:w="676" w:type="dxa"/>
            <w:tcBorders>
              <w:left w:val="single" w:sz="12" w:space="0" w:color="000000"/>
            </w:tcBorders>
            <w:shd w:val="clear" w:color="auto" w:fill="D9D9D9"/>
          </w:tcPr>
          <w:p w:rsidR="00A63476" w:rsidRDefault="00D22874">
            <w:pPr>
              <w:pStyle w:val="TableParagraph"/>
              <w:spacing w:before="76"/>
              <w:ind w:left="19"/>
              <w:jc w:val="center"/>
              <w:rPr>
                <w:sz w:val="16"/>
              </w:rPr>
            </w:pPr>
            <w:r>
              <w:rPr>
                <w:sz w:val="16"/>
              </w:rPr>
              <w:t>X</w:t>
            </w:r>
          </w:p>
        </w:tc>
        <w:tc>
          <w:tcPr>
            <w:tcW w:w="607" w:type="dxa"/>
            <w:shd w:val="clear" w:color="auto" w:fill="D9D9D9"/>
          </w:tcPr>
          <w:p w:rsidR="00A63476" w:rsidRDefault="00D22874">
            <w:pPr>
              <w:pStyle w:val="TableParagraph"/>
              <w:spacing w:before="76"/>
              <w:ind w:left="24"/>
              <w:jc w:val="center"/>
              <w:rPr>
                <w:sz w:val="16"/>
              </w:rPr>
            </w:pPr>
            <w:r>
              <w:rPr>
                <w:sz w:val="16"/>
              </w:rPr>
              <w:t>X</w:t>
            </w:r>
          </w:p>
        </w:tc>
        <w:tc>
          <w:tcPr>
            <w:tcW w:w="710" w:type="dxa"/>
          </w:tcPr>
          <w:p w:rsidR="00A63476" w:rsidRDefault="00A63476">
            <w:pPr>
              <w:pStyle w:val="TableParagraph"/>
              <w:rPr>
                <w:rFonts w:ascii="Times New Roman"/>
                <w:sz w:val="16"/>
              </w:rPr>
            </w:pPr>
          </w:p>
        </w:tc>
        <w:tc>
          <w:tcPr>
            <w:tcW w:w="714" w:type="dxa"/>
            <w:tcBorders>
              <w:right w:val="single" w:sz="12" w:space="0" w:color="000000"/>
            </w:tcBorders>
            <w:shd w:val="clear" w:color="auto" w:fill="D9D9D9"/>
          </w:tcPr>
          <w:p w:rsidR="00A63476" w:rsidRDefault="00D22874">
            <w:pPr>
              <w:pStyle w:val="TableParagraph"/>
              <w:spacing w:before="76"/>
              <w:ind w:left="10"/>
              <w:jc w:val="center"/>
              <w:rPr>
                <w:sz w:val="16"/>
              </w:rPr>
            </w:pPr>
            <w:r>
              <w:rPr>
                <w:sz w:val="16"/>
              </w:rPr>
              <w:t>X</w:t>
            </w:r>
          </w:p>
        </w:tc>
      </w:tr>
      <w:tr w:rsidR="00A63476">
        <w:trPr>
          <w:trHeight w:val="514"/>
        </w:trPr>
        <w:tc>
          <w:tcPr>
            <w:tcW w:w="2455" w:type="dxa"/>
          </w:tcPr>
          <w:p w:rsidR="00A63476" w:rsidRDefault="00D22874">
            <w:pPr>
              <w:pStyle w:val="TableParagraph"/>
              <w:spacing w:before="69" w:line="235" w:lineRule="auto"/>
              <w:ind w:left="83" w:right="495"/>
              <w:rPr>
                <w:sz w:val="16"/>
              </w:rPr>
            </w:pPr>
            <w:r>
              <w:rPr>
                <w:sz w:val="16"/>
              </w:rPr>
              <w:t>Instalaciones Generales y Áreas Comunes</w:t>
            </w:r>
          </w:p>
        </w:tc>
        <w:tc>
          <w:tcPr>
            <w:tcW w:w="1318" w:type="dxa"/>
            <w:tcBorders>
              <w:right w:val="single" w:sz="12" w:space="0" w:color="000000"/>
            </w:tcBorders>
          </w:tcPr>
          <w:p w:rsidR="00A63476" w:rsidRDefault="00A63476">
            <w:pPr>
              <w:pStyle w:val="TableParagraph"/>
              <w:spacing w:before="5"/>
              <w:rPr>
                <w:b/>
                <w:sz w:val="14"/>
              </w:rPr>
            </w:pPr>
          </w:p>
          <w:p w:rsidR="00A63476" w:rsidRDefault="00D22874">
            <w:pPr>
              <w:pStyle w:val="TableParagraph"/>
              <w:ind w:left="10"/>
              <w:jc w:val="center"/>
              <w:rPr>
                <w:sz w:val="16"/>
              </w:rPr>
            </w:pPr>
            <w:r>
              <w:rPr>
                <w:sz w:val="16"/>
              </w:rPr>
              <w:t>4</w:t>
            </w:r>
          </w:p>
        </w:tc>
        <w:tc>
          <w:tcPr>
            <w:tcW w:w="676" w:type="dxa"/>
            <w:tcBorders>
              <w:left w:val="single" w:sz="12" w:space="0" w:color="000000"/>
            </w:tcBorders>
          </w:tcPr>
          <w:p w:rsidR="00A63476" w:rsidRDefault="00A63476">
            <w:pPr>
              <w:pStyle w:val="TableParagraph"/>
              <w:rPr>
                <w:rFonts w:ascii="Times New Roman"/>
                <w:sz w:val="16"/>
              </w:rPr>
            </w:pPr>
          </w:p>
        </w:tc>
        <w:tc>
          <w:tcPr>
            <w:tcW w:w="607" w:type="dxa"/>
          </w:tcPr>
          <w:p w:rsidR="00A63476" w:rsidRDefault="00A63476">
            <w:pPr>
              <w:pStyle w:val="TableParagraph"/>
              <w:rPr>
                <w:rFonts w:ascii="Times New Roman"/>
                <w:sz w:val="16"/>
              </w:rPr>
            </w:pPr>
          </w:p>
        </w:tc>
        <w:tc>
          <w:tcPr>
            <w:tcW w:w="710" w:type="dxa"/>
          </w:tcPr>
          <w:p w:rsidR="00A63476" w:rsidRDefault="00A63476">
            <w:pPr>
              <w:pStyle w:val="TableParagraph"/>
              <w:rPr>
                <w:rFonts w:ascii="Times New Roman"/>
                <w:sz w:val="16"/>
              </w:rPr>
            </w:pPr>
          </w:p>
        </w:tc>
        <w:tc>
          <w:tcPr>
            <w:tcW w:w="714" w:type="dxa"/>
            <w:tcBorders>
              <w:right w:val="single" w:sz="12" w:space="0" w:color="000000"/>
            </w:tcBorders>
            <w:shd w:val="clear" w:color="auto" w:fill="D9D9D9"/>
          </w:tcPr>
          <w:p w:rsidR="00A63476" w:rsidRDefault="00A63476">
            <w:pPr>
              <w:pStyle w:val="TableParagraph"/>
              <w:spacing w:before="5"/>
              <w:rPr>
                <w:b/>
                <w:sz w:val="14"/>
              </w:rPr>
            </w:pPr>
          </w:p>
          <w:p w:rsidR="00A63476" w:rsidRDefault="00D22874">
            <w:pPr>
              <w:pStyle w:val="TableParagraph"/>
              <w:ind w:left="10"/>
              <w:jc w:val="center"/>
              <w:rPr>
                <w:sz w:val="16"/>
              </w:rPr>
            </w:pPr>
            <w:r>
              <w:rPr>
                <w:sz w:val="16"/>
              </w:rPr>
              <w:t>X</w:t>
            </w:r>
          </w:p>
        </w:tc>
      </w:tr>
      <w:tr w:rsidR="00A63476">
        <w:trPr>
          <w:trHeight w:val="334"/>
        </w:trPr>
        <w:tc>
          <w:tcPr>
            <w:tcW w:w="2455" w:type="dxa"/>
          </w:tcPr>
          <w:p w:rsidR="00A63476" w:rsidRDefault="00D22874">
            <w:pPr>
              <w:pStyle w:val="TableParagraph"/>
              <w:spacing w:before="76"/>
              <w:ind w:left="83"/>
              <w:rPr>
                <w:sz w:val="16"/>
              </w:rPr>
            </w:pPr>
            <w:r>
              <w:rPr>
                <w:sz w:val="16"/>
              </w:rPr>
              <w:t>Espacio Auxiliar Productivo</w:t>
            </w:r>
          </w:p>
        </w:tc>
        <w:tc>
          <w:tcPr>
            <w:tcW w:w="1318" w:type="dxa"/>
            <w:tcBorders>
              <w:right w:val="single" w:sz="12" w:space="0" w:color="000000"/>
            </w:tcBorders>
          </w:tcPr>
          <w:p w:rsidR="00A63476" w:rsidRDefault="00D22874">
            <w:pPr>
              <w:pStyle w:val="TableParagraph"/>
              <w:spacing w:before="76"/>
              <w:ind w:left="568"/>
              <w:rPr>
                <w:sz w:val="16"/>
              </w:rPr>
            </w:pPr>
            <w:r>
              <w:rPr>
                <w:sz w:val="16"/>
              </w:rPr>
              <w:t>64</w:t>
            </w:r>
          </w:p>
        </w:tc>
        <w:tc>
          <w:tcPr>
            <w:tcW w:w="676" w:type="dxa"/>
            <w:tcBorders>
              <w:left w:val="single" w:sz="12" w:space="0" w:color="000000"/>
            </w:tcBorders>
          </w:tcPr>
          <w:p w:rsidR="00A63476" w:rsidRDefault="00A63476">
            <w:pPr>
              <w:pStyle w:val="TableParagraph"/>
              <w:rPr>
                <w:rFonts w:ascii="Times New Roman"/>
                <w:sz w:val="16"/>
              </w:rPr>
            </w:pPr>
          </w:p>
        </w:tc>
        <w:tc>
          <w:tcPr>
            <w:tcW w:w="607" w:type="dxa"/>
            <w:shd w:val="clear" w:color="auto" w:fill="D9D9D9"/>
          </w:tcPr>
          <w:p w:rsidR="00A63476" w:rsidRDefault="00D22874">
            <w:pPr>
              <w:pStyle w:val="TableParagraph"/>
              <w:spacing w:before="76"/>
              <w:ind w:left="24"/>
              <w:jc w:val="center"/>
              <w:rPr>
                <w:sz w:val="16"/>
              </w:rPr>
            </w:pPr>
            <w:r>
              <w:rPr>
                <w:sz w:val="16"/>
              </w:rPr>
              <w:t>X</w:t>
            </w:r>
          </w:p>
        </w:tc>
        <w:tc>
          <w:tcPr>
            <w:tcW w:w="710" w:type="dxa"/>
          </w:tcPr>
          <w:p w:rsidR="00A63476" w:rsidRDefault="00A63476">
            <w:pPr>
              <w:pStyle w:val="TableParagraph"/>
              <w:rPr>
                <w:rFonts w:ascii="Times New Roman"/>
                <w:sz w:val="16"/>
              </w:rPr>
            </w:pPr>
          </w:p>
        </w:tc>
        <w:tc>
          <w:tcPr>
            <w:tcW w:w="714" w:type="dxa"/>
            <w:tcBorders>
              <w:right w:val="single" w:sz="12" w:space="0" w:color="000000"/>
            </w:tcBorders>
          </w:tcPr>
          <w:p w:rsidR="00A63476" w:rsidRDefault="00A63476">
            <w:pPr>
              <w:pStyle w:val="TableParagraph"/>
              <w:rPr>
                <w:rFonts w:ascii="Times New Roman"/>
                <w:sz w:val="16"/>
              </w:rPr>
            </w:pPr>
          </w:p>
        </w:tc>
      </w:tr>
      <w:tr w:rsidR="00A63476">
        <w:trPr>
          <w:trHeight w:val="334"/>
        </w:trPr>
        <w:tc>
          <w:tcPr>
            <w:tcW w:w="2455" w:type="dxa"/>
          </w:tcPr>
          <w:p w:rsidR="00A63476" w:rsidRDefault="00D22874">
            <w:pPr>
              <w:pStyle w:val="TableParagraph"/>
              <w:spacing w:before="67"/>
              <w:ind w:left="83"/>
              <w:rPr>
                <w:sz w:val="16"/>
              </w:rPr>
            </w:pPr>
            <w:r>
              <w:rPr>
                <w:sz w:val="16"/>
              </w:rPr>
              <w:t>Espacio Auxiliar Comunitario</w:t>
            </w:r>
          </w:p>
        </w:tc>
        <w:tc>
          <w:tcPr>
            <w:tcW w:w="1318" w:type="dxa"/>
            <w:tcBorders>
              <w:right w:val="single" w:sz="12" w:space="0" w:color="000000"/>
            </w:tcBorders>
          </w:tcPr>
          <w:p w:rsidR="00A63476" w:rsidRDefault="00D22874">
            <w:pPr>
              <w:pStyle w:val="TableParagraph"/>
              <w:spacing w:before="67"/>
              <w:ind w:left="528"/>
              <w:rPr>
                <w:sz w:val="16"/>
              </w:rPr>
            </w:pPr>
            <w:r>
              <w:rPr>
                <w:sz w:val="16"/>
              </w:rPr>
              <w:t>172</w:t>
            </w:r>
          </w:p>
        </w:tc>
        <w:tc>
          <w:tcPr>
            <w:tcW w:w="676" w:type="dxa"/>
            <w:tcBorders>
              <w:left w:val="single" w:sz="12" w:space="0" w:color="000000"/>
            </w:tcBorders>
            <w:shd w:val="clear" w:color="auto" w:fill="D9D9D9"/>
          </w:tcPr>
          <w:p w:rsidR="00A63476" w:rsidRDefault="00D22874">
            <w:pPr>
              <w:pStyle w:val="TableParagraph"/>
              <w:spacing w:before="67"/>
              <w:ind w:left="19"/>
              <w:jc w:val="center"/>
              <w:rPr>
                <w:sz w:val="16"/>
              </w:rPr>
            </w:pPr>
            <w:r>
              <w:rPr>
                <w:sz w:val="16"/>
              </w:rPr>
              <w:t>X</w:t>
            </w:r>
          </w:p>
        </w:tc>
        <w:tc>
          <w:tcPr>
            <w:tcW w:w="607" w:type="dxa"/>
          </w:tcPr>
          <w:p w:rsidR="00A63476" w:rsidRDefault="00A63476">
            <w:pPr>
              <w:pStyle w:val="TableParagraph"/>
              <w:rPr>
                <w:rFonts w:ascii="Times New Roman"/>
                <w:sz w:val="16"/>
              </w:rPr>
            </w:pPr>
          </w:p>
        </w:tc>
        <w:tc>
          <w:tcPr>
            <w:tcW w:w="710" w:type="dxa"/>
          </w:tcPr>
          <w:p w:rsidR="00A63476" w:rsidRDefault="00A63476">
            <w:pPr>
              <w:pStyle w:val="TableParagraph"/>
              <w:rPr>
                <w:rFonts w:ascii="Times New Roman"/>
                <w:sz w:val="16"/>
              </w:rPr>
            </w:pPr>
          </w:p>
        </w:tc>
        <w:tc>
          <w:tcPr>
            <w:tcW w:w="714" w:type="dxa"/>
            <w:tcBorders>
              <w:right w:val="single" w:sz="12" w:space="0" w:color="000000"/>
            </w:tcBorders>
          </w:tcPr>
          <w:p w:rsidR="00A63476" w:rsidRDefault="00A63476">
            <w:pPr>
              <w:pStyle w:val="TableParagraph"/>
              <w:rPr>
                <w:rFonts w:ascii="Times New Roman"/>
                <w:sz w:val="16"/>
              </w:rPr>
            </w:pPr>
          </w:p>
        </w:tc>
      </w:tr>
      <w:tr w:rsidR="00A63476">
        <w:trPr>
          <w:trHeight w:val="334"/>
        </w:trPr>
        <w:tc>
          <w:tcPr>
            <w:tcW w:w="2455" w:type="dxa"/>
          </w:tcPr>
          <w:p w:rsidR="00A63476" w:rsidRDefault="00D22874">
            <w:pPr>
              <w:pStyle w:val="TableParagraph"/>
              <w:spacing w:before="77"/>
              <w:ind w:left="83"/>
              <w:rPr>
                <w:sz w:val="16"/>
              </w:rPr>
            </w:pPr>
            <w:r>
              <w:rPr>
                <w:sz w:val="16"/>
              </w:rPr>
              <w:t>Gastos Complementarios</w:t>
            </w:r>
          </w:p>
        </w:tc>
        <w:tc>
          <w:tcPr>
            <w:tcW w:w="1318" w:type="dxa"/>
            <w:tcBorders>
              <w:right w:val="single" w:sz="12" w:space="0" w:color="000000"/>
            </w:tcBorders>
          </w:tcPr>
          <w:p w:rsidR="00A63476" w:rsidRDefault="00D22874">
            <w:pPr>
              <w:pStyle w:val="TableParagraph"/>
              <w:spacing w:before="77"/>
              <w:ind w:left="568"/>
              <w:rPr>
                <w:sz w:val="16"/>
              </w:rPr>
            </w:pPr>
            <w:r>
              <w:rPr>
                <w:sz w:val="16"/>
              </w:rPr>
              <w:t>13</w:t>
            </w:r>
          </w:p>
        </w:tc>
        <w:tc>
          <w:tcPr>
            <w:tcW w:w="676" w:type="dxa"/>
            <w:tcBorders>
              <w:left w:val="single" w:sz="12" w:space="0" w:color="000000"/>
              <w:bottom w:val="single" w:sz="12" w:space="0" w:color="000000"/>
            </w:tcBorders>
            <w:shd w:val="clear" w:color="auto" w:fill="D9D9D9"/>
          </w:tcPr>
          <w:p w:rsidR="00A63476" w:rsidRDefault="00D22874">
            <w:pPr>
              <w:pStyle w:val="TableParagraph"/>
              <w:spacing w:before="77"/>
              <w:ind w:left="19"/>
              <w:jc w:val="center"/>
              <w:rPr>
                <w:sz w:val="16"/>
              </w:rPr>
            </w:pPr>
            <w:r>
              <w:rPr>
                <w:sz w:val="16"/>
              </w:rPr>
              <w:t>X</w:t>
            </w:r>
          </w:p>
        </w:tc>
        <w:tc>
          <w:tcPr>
            <w:tcW w:w="607" w:type="dxa"/>
            <w:tcBorders>
              <w:bottom w:val="single" w:sz="12" w:space="0" w:color="000000"/>
            </w:tcBorders>
          </w:tcPr>
          <w:p w:rsidR="00A63476" w:rsidRDefault="00A63476">
            <w:pPr>
              <w:pStyle w:val="TableParagraph"/>
              <w:rPr>
                <w:rFonts w:ascii="Times New Roman"/>
                <w:sz w:val="16"/>
              </w:rPr>
            </w:pPr>
          </w:p>
        </w:tc>
        <w:tc>
          <w:tcPr>
            <w:tcW w:w="710" w:type="dxa"/>
            <w:tcBorders>
              <w:bottom w:val="single" w:sz="12" w:space="0" w:color="000000"/>
            </w:tcBorders>
          </w:tcPr>
          <w:p w:rsidR="00A63476" w:rsidRDefault="00A63476">
            <w:pPr>
              <w:pStyle w:val="TableParagraph"/>
              <w:rPr>
                <w:rFonts w:ascii="Times New Roman"/>
                <w:sz w:val="16"/>
              </w:rPr>
            </w:pPr>
          </w:p>
        </w:tc>
        <w:tc>
          <w:tcPr>
            <w:tcW w:w="714" w:type="dxa"/>
            <w:tcBorders>
              <w:bottom w:val="single" w:sz="12" w:space="0" w:color="000000"/>
              <w:right w:val="single" w:sz="12" w:space="0" w:color="000000"/>
            </w:tcBorders>
          </w:tcPr>
          <w:p w:rsidR="00A63476" w:rsidRDefault="00A63476">
            <w:pPr>
              <w:pStyle w:val="TableParagraph"/>
              <w:rPr>
                <w:rFonts w:ascii="Times New Roman"/>
                <w:sz w:val="16"/>
              </w:rPr>
            </w:pPr>
          </w:p>
        </w:tc>
      </w:tr>
    </w:tbl>
    <w:p w:rsidR="00A63476" w:rsidRDefault="00D22874">
      <w:pPr>
        <w:spacing w:before="133" w:line="242" w:lineRule="auto"/>
        <w:ind w:left="520" w:right="655" w:firstLine="280"/>
        <w:jc w:val="both"/>
        <w:rPr>
          <w:b/>
          <w:sz w:val="18"/>
        </w:rPr>
      </w:pPr>
      <w:r>
        <w:rPr>
          <w:b/>
          <w:sz w:val="18"/>
        </w:rPr>
        <w:t>Nota: Los montos del subsidio descritos incluyen 7% del pago por concepto de asistencia técnica. El porcentaje deberá ser referido contra el costo de la intervención y será aplicado como deductiva al subsidio aprobado.</w:t>
      </w:r>
    </w:p>
    <w:p w:rsidR="00A63476" w:rsidRDefault="00D22874">
      <w:pPr>
        <w:spacing w:before="113"/>
        <w:ind w:left="800"/>
        <w:rPr>
          <w:sz w:val="14"/>
        </w:rPr>
      </w:pPr>
      <w:r>
        <w:rPr>
          <w:w w:val="105"/>
          <w:sz w:val="18"/>
        </w:rPr>
        <w:t>I</w:t>
      </w:r>
      <w:r>
        <w:rPr>
          <w:w w:val="105"/>
          <w:sz w:val="14"/>
        </w:rPr>
        <w:t>NTEGRACIÓN DE LAS LÍNEAS DE APOYO</w:t>
      </w:r>
    </w:p>
    <w:p w:rsidR="00A63476" w:rsidRDefault="00D22874">
      <w:pPr>
        <w:pStyle w:val="Textoindependiente"/>
        <w:spacing w:before="78" w:line="232" w:lineRule="auto"/>
      </w:pPr>
      <w:r>
        <w:t>En la forma de intervención Vivienda en Zonas Urbanas Marginadas, para definir el techo máximo para el subsidio, la CONAVI revisará la solicitud y determinará la procedencia de la integración de las líneas de apoyo</w:t>
      </w:r>
    </w:p>
    <w:p w:rsidR="00A63476" w:rsidRDefault="00A63476">
      <w:pPr>
        <w:spacing w:line="232" w:lineRule="auto"/>
        <w:sectPr w:rsidR="00A63476">
          <w:pgSz w:w="12240" w:h="15840"/>
          <w:pgMar w:top="920" w:right="1040" w:bottom="280" w:left="1180" w:header="700" w:footer="0" w:gutter="0"/>
          <w:cols w:space="720"/>
        </w:sectPr>
      </w:pPr>
    </w:p>
    <w:p w:rsidR="00A63476" w:rsidRDefault="00A63476">
      <w:pPr>
        <w:pStyle w:val="Textoindependiente"/>
        <w:spacing w:before="8"/>
        <w:ind w:left="0" w:right="0" w:firstLine="0"/>
        <w:jc w:val="left"/>
        <w:rPr>
          <w:sz w:val="10"/>
        </w:rPr>
      </w:pPr>
    </w:p>
    <w:p w:rsidR="00A63476" w:rsidRDefault="00D22874">
      <w:pPr>
        <w:pStyle w:val="Textoindependiente"/>
        <w:spacing w:before="95" w:line="249" w:lineRule="auto"/>
        <w:ind w:firstLine="0"/>
      </w:pPr>
      <w:r>
        <w:t xml:space="preserve">aplicables, en cada modalidad. Para la modalidad de Vivienda en Conjunto Habitacional, en Reubicación, se podrá disponer de la integración de las Líneas de Apoyo correspondientes a: Adquisición de Suelo, Estudios </w:t>
      </w:r>
      <w:r>
        <w:rPr>
          <w:spacing w:val="-14"/>
        </w:rPr>
        <w:t xml:space="preserve">y </w:t>
      </w:r>
      <w:r>
        <w:t>Proyectos, Demolición, Ed</w:t>
      </w:r>
      <w:r>
        <w:t xml:space="preserve">ificación, Obra de Alcance Mayor, Sustentabilidad y Gastos Complementarios, pudiendo ser un subsidio máximo integral de hasta 139 veces el valor de la UMA por vivienda. Para </w:t>
      </w:r>
      <w:r>
        <w:rPr>
          <w:spacing w:val="-6"/>
        </w:rPr>
        <w:t xml:space="preserve">la </w:t>
      </w:r>
      <w:r>
        <w:t>modalidad de Vivienda en Espacio Edificable Rural o Urbano, se podrá disponer d</w:t>
      </w:r>
      <w:r>
        <w:t xml:space="preserve">e la integración de las Líneas de Apoyo correspondientes a: Mejoramiento de Vivienda, Sustentabilidad y Espacio Auxiliar </w:t>
      </w:r>
      <w:r>
        <w:rPr>
          <w:spacing w:val="-3"/>
        </w:rPr>
        <w:t xml:space="preserve">Productivo </w:t>
      </w:r>
      <w:r>
        <w:t>pudiendo ser un subsidio máximo integral de hasta de 127 veces el valor de la UMA por vivienda; cuando se integren, Ampliaci</w:t>
      </w:r>
      <w:r>
        <w:t xml:space="preserve">ón de Vivienda, Sustentabilidad y Espacio Auxiliar Productivo el monto máximo del subsidio será de hasta 102 veces el valor de la UMA por vivienda; cuando se integren las líneas de apoyo </w:t>
      </w:r>
      <w:r>
        <w:rPr>
          <w:spacing w:val="-3"/>
        </w:rPr>
        <w:t xml:space="preserve">Vivienda </w:t>
      </w:r>
      <w:r>
        <w:t>Nueva, Sustentabilidad y Espacio Auxiliar Productivo pudiend</w:t>
      </w:r>
      <w:r>
        <w:t xml:space="preserve">o ser un subsidio máximo integral de hasta 204 veces el valor de la UMA por vivienda. Para la modalidad de Adquisición de Vivienda, en reubicación, se </w:t>
      </w:r>
      <w:r>
        <w:rPr>
          <w:spacing w:val="-3"/>
        </w:rPr>
        <w:t xml:space="preserve">podrá </w:t>
      </w:r>
      <w:r>
        <w:t>disponer de la integración de las Líneas de Apoyo correspondientes a: Adquisición de Vivienda Nueva</w:t>
      </w:r>
      <w:r>
        <w:t xml:space="preserve"> </w:t>
      </w:r>
      <w:r>
        <w:rPr>
          <w:spacing w:val="-12"/>
        </w:rPr>
        <w:t xml:space="preserve">o </w:t>
      </w:r>
      <w:r>
        <w:t>Usada. Para la modalidad de Mejoramiento de Unidades Habitacionales, se podrá disponer de la integración de las Líneas de Apoyo correspondientes a: Sustentabilidad e Instalaciones Generales y Áreas Comunes, pudiendo ser un subsidio máximo integral de ha</w:t>
      </w:r>
      <w:r>
        <w:t>sta 17 veces el valor de la UMA por vivienda.</w:t>
      </w:r>
    </w:p>
    <w:p w:rsidR="00A63476" w:rsidRDefault="00D22874">
      <w:pPr>
        <w:spacing w:before="51"/>
        <w:ind w:left="800"/>
        <w:rPr>
          <w:sz w:val="14"/>
        </w:rPr>
      </w:pPr>
      <w:r>
        <w:rPr>
          <w:w w:val="105"/>
          <w:sz w:val="18"/>
        </w:rPr>
        <w:t>P</w:t>
      </w:r>
      <w:r>
        <w:rPr>
          <w:w w:val="105"/>
          <w:sz w:val="14"/>
        </w:rPr>
        <w:t>ARTICIPANTES</w:t>
      </w:r>
    </w:p>
    <w:p w:rsidR="00A63476" w:rsidRDefault="00D22874">
      <w:pPr>
        <w:pStyle w:val="Prrafodelista"/>
        <w:numPr>
          <w:ilvl w:val="0"/>
          <w:numId w:val="49"/>
        </w:numPr>
        <w:tabs>
          <w:tab w:val="left" w:pos="1232"/>
        </w:tabs>
        <w:spacing w:before="53"/>
        <w:ind w:left="1232"/>
        <w:rPr>
          <w:sz w:val="18"/>
        </w:rPr>
      </w:pPr>
      <w:r>
        <w:rPr>
          <w:sz w:val="18"/>
        </w:rPr>
        <w:t>Comisión Nacional de</w:t>
      </w:r>
      <w:r>
        <w:rPr>
          <w:spacing w:val="-1"/>
          <w:sz w:val="18"/>
        </w:rPr>
        <w:t xml:space="preserve"> </w:t>
      </w:r>
      <w:r>
        <w:rPr>
          <w:sz w:val="18"/>
        </w:rPr>
        <w:t>Vivienda</w:t>
      </w:r>
    </w:p>
    <w:p w:rsidR="00A63476" w:rsidRDefault="00D22874">
      <w:pPr>
        <w:pStyle w:val="Textoindependiente"/>
        <w:spacing w:before="73"/>
        <w:ind w:left="800" w:right="0" w:firstLine="0"/>
      </w:pPr>
      <w:r>
        <w:t>Instancia encargada de otorgar el subsidio federal.</w:t>
      </w:r>
    </w:p>
    <w:p w:rsidR="00A63476" w:rsidRDefault="00D22874">
      <w:pPr>
        <w:pStyle w:val="Prrafodelista"/>
        <w:numPr>
          <w:ilvl w:val="0"/>
          <w:numId w:val="49"/>
        </w:numPr>
        <w:tabs>
          <w:tab w:val="left" w:pos="1231"/>
          <w:tab w:val="left" w:pos="1232"/>
        </w:tabs>
        <w:spacing w:before="73"/>
        <w:ind w:left="1232"/>
        <w:jc w:val="left"/>
        <w:rPr>
          <w:sz w:val="18"/>
        </w:rPr>
      </w:pPr>
      <w:r>
        <w:rPr>
          <w:sz w:val="18"/>
        </w:rPr>
        <w:t>INSUS</w:t>
      </w:r>
    </w:p>
    <w:p w:rsidR="00A63476" w:rsidRDefault="00D22874">
      <w:pPr>
        <w:pStyle w:val="Textoindependiente"/>
        <w:spacing w:before="53" w:line="254" w:lineRule="auto"/>
      </w:pPr>
      <w:r>
        <w:t>Es la instancia del Gobierno Federal que, en el ámbito de sus atribuciones y como parte integral del Program</w:t>
      </w:r>
      <w:r>
        <w:t xml:space="preserve">a de Mejoramiento Urbano y participará con la Comisión atendiendo los trámites para </w:t>
      </w:r>
      <w:r>
        <w:rPr>
          <w:spacing w:val="-7"/>
        </w:rPr>
        <w:t xml:space="preserve">la  </w:t>
      </w:r>
      <w:r>
        <w:t>regularización de la propiedad de los espacios edificables urbanos contenidos dentro de los polígonos de intervención.</w:t>
      </w:r>
    </w:p>
    <w:p w:rsidR="00A63476" w:rsidRDefault="00D22874">
      <w:pPr>
        <w:pStyle w:val="Prrafodelista"/>
        <w:numPr>
          <w:ilvl w:val="0"/>
          <w:numId w:val="49"/>
        </w:numPr>
        <w:tabs>
          <w:tab w:val="left" w:pos="1232"/>
        </w:tabs>
        <w:spacing w:before="42"/>
        <w:ind w:left="1232"/>
        <w:rPr>
          <w:sz w:val="18"/>
        </w:rPr>
      </w:pPr>
      <w:r>
        <w:rPr>
          <w:sz w:val="18"/>
        </w:rPr>
        <w:t>Entidades federativas y municipios</w:t>
      </w:r>
    </w:p>
    <w:p w:rsidR="00A63476" w:rsidRDefault="00D22874">
      <w:pPr>
        <w:pStyle w:val="Textoindependiente"/>
        <w:spacing w:before="73" w:line="249" w:lineRule="auto"/>
      </w:pPr>
      <w:r>
        <w:t xml:space="preserve">Para apoyar a </w:t>
      </w:r>
      <w:r>
        <w:t>este sector de la población, los entidades federativas y municipios, a través de sus organismos de vivienda o de la instancia administrativa que para ese efecto asignen, podrán participar aplicando los subsidios en favor de las personas beneficiarias del p</w:t>
      </w:r>
      <w:r>
        <w:t xml:space="preserve">rograma, en una proporción igual o menor a la aplicada por el gobierno federal a través de la </w:t>
      </w:r>
      <w:r>
        <w:rPr>
          <w:spacing w:val="-3"/>
        </w:rPr>
        <w:t xml:space="preserve">CONAVI, </w:t>
      </w:r>
      <w:r>
        <w:t>suscribiendo para tal fin los instrumentos jurídicos que correspondan.</w:t>
      </w:r>
    </w:p>
    <w:p w:rsidR="00A63476" w:rsidRDefault="00D22874">
      <w:pPr>
        <w:pStyle w:val="Textoindependiente"/>
        <w:spacing w:before="44" w:line="249" w:lineRule="auto"/>
        <w:ind w:right="654"/>
      </w:pPr>
      <w:r>
        <w:t>Para tales efectos, la Comisión, por su cuenta o de manera conjunta con otras instituciones de la Administración Pública Federal, podrá celebrar convenios de colaboración con las entidades federativas o con los ayuntamientos con el fin de establecer compro</w:t>
      </w:r>
      <w:r>
        <w:t>misos para sumar recursos destinados a vivienda. En estos convenios de colaboración se establecerá la asignación de las entidades federativas o de los ayuntamientos, así como los recursos que deriven del Programa. En todo caso los gobiernos estatales o mun</w:t>
      </w:r>
      <w:r>
        <w:t>icipales deberán acreditar que sus respectivas aportaciones cuentan con un soporte programático o presupuestal.</w:t>
      </w:r>
    </w:p>
    <w:p w:rsidR="00A63476" w:rsidRDefault="00D22874">
      <w:pPr>
        <w:pStyle w:val="Textoindependiente"/>
        <w:spacing w:before="68" w:line="242" w:lineRule="auto"/>
      </w:pPr>
      <w:r>
        <w:t>De manera general podrán participar conforme a sus facultades y atribuciones en todas aquellas acciones que contribuyan a la materialización y a</w:t>
      </w:r>
      <w:r>
        <w:t>gilización del programa, en favor de la población y las localidades inscritas.</w:t>
      </w:r>
    </w:p>
    <w:p w:rsidR="00A63476" w:rsidRDefault="00D22874">
      <w:pPr>
        <w:pStyle w:val="Prrafodelista"/>
        <w:numPr>
          <w:ilvl w:val="0"/>
          <w:numId w:val="49"/>
        </w:numPr>
        <w:tabs>
          <w:tab w:val="left" w:pos="1232"/>
        </w:tabs>
        <w:spacing w:before="73"/>
        <w:ind w:left="1232"/>
        <w:rPr>
          <w:sz w:val="18"/>
        </w:rPr>
      </w:pPr>
      <w:r>
        <w:rPr>
          <w:sz w:val="18"/>
        </w:rPr>
        <w:t>Organismo Ejecutor de Obra</w:t>
      </w:r>
      <w:r>
        <w:rPr>
          <w:spacing w:val="-1"/>
          <w:sz w:val="18"/>
        </w:rPr>
        <w:t xml:space="preserve"> </w:t>
      </w:r>
      <w:r>
        <w:rPr>
          <w:sz w:val="18"/>
        </w:rPr>
        <w:t>(OEO)</w:t>
      </w:r>
    </w:p>
    <w:p w:rsidR="00A63476" w:rsidRDefault="00D22874">
      <w:pPr>
        <w:pStyle w:val="Textoindependiente"/>
        <w:spacing w:before="53" w:line="249" w:lineRule="auto"/>
      </w:pPr>
      <w:r>
        <w:t>El Organismo Ejecutor de Obra (OEO) acreditado ante la Comisión podrá ser asignado por las personas beneficiarias del programa, para desarrollar</w:t>
      </w:r>
      <w:r>
        <w:t>, acompañar y ejecutar los procesos constructivos en las modalidades de Vivienda Nueva en Conjunto Habitacional, y en Vivienda Nueva en Espacio Edificable Rural o Urbano. Los lineamientos para el proceso de registro como OEO se podrán consultar en la págin</w:t>
      </w:r>
      <w:r>
        <w:t xml:space="preserve">a </w:t>
      </w:r>
      <w:hyperlink r:id="rId22">
        <w:r>
          <w:rPr>
            <w:u w:val="single"/>
          </w:rPr>
          <w:t>www.gob.mx/conav</w:t>
        </w:r>
        <w:r>
          <w:t>i</w:t>
        </w:r>
      </w:hyperlink>
    </w:p>
    <w:p w:rsidR="00A63476" w:rsidRDefault="00D22874">
      <w:pPr>
        <w:pStyle w:val="Prrafodelista"/>
        <w:numPr>
          <w:ilvl w:val="0"/>
          <w:numId w:val="49"/>
        </w:numPr>
        <w:tabs>
          <w:tab w:val="left" w:pos="1232"/>
        </w:tabs>
        <w:spacing w:before="64"/>
        <w:ind w:left="1232"/>
        <w:rPr>
          <w:sz w:val="18"/>
        </w:rPr>
      </w:pPr>
      <w:r>
        <w:rPr>
          <w:sz w:val="18"/>
        </w:rPr>
        <w:t>Asistencia técnica</w:t>
      </w:r>
    </w:p>
    <w:p w:rsidR="00A63476" w:rsidRDefault="00D22874">
      <w:pPr>
        <w:pStyle w:val="Textoindependiente"/>
        <w:spacing w:before="73" w:line="247" w:lineRule="auto"/>
      </w:pPr>
      <w:r>
        <w:t>En todos los casos la intervención habitacional se hará con apoyo y acompañamiento de una asistencia técnica calificada que comprende aspectos técnicos, financieros, organizativos, legales y de gestión, adecuados a las características de las familias benef</w:t>
      </w:r>
      <w:r>
        <w:t>iciarias del programa y atendiendo las condiciones de habitabilidad y seguridad estructural.</w:t>
      </w:r>
    </w:p>
    <w:p w:rsidR="00A63476" w:rsidRDefault="00D22874">
      <w:pPr>
        <w:pStyle w:val="Textoindependiente"/>
        <w:spacing w:before="47" w:line="254" w:lineRule="auto"/>
      </w:pPr>
      <w:r>
        <w:t>La colaboración de los profesionales que participan en la asistencia técnica se establecerá por corredores, zonas o regiones que abarquen los sitios de intervenció</w:t>
      </w:r>
      <w:r>
        <w:t>n, de acuerdo con sus posibilidades de trabajo, respetando su labor en sus áreas de influencia, de modo tal que se pueda garantizar su participación y permanencia en el programa.</w:t>
      </w:r>
    </w:p>
    <w:p w:rsidR="00A63476" w:rsidRDefault="00D22874">
      <w:pPr>
        <w:pStyle w:val="Textoindependiente"/>
        <w:spacing w:before="42" w:line="254" w:lineRule="auto"/>
        <w:ind w:right="663"/>
      </w:pPr>
      <w:r>
        <w:t xml:space="preserve">Los lineamientos para el proceso de acreditación para la asistencia técnica, </w:t>
      </w:r>
      <w:r>
        <w:t xml:space="preserve">se podrán consultar en la </w:t>
      </w:r>
      <w:hyperlink r:id="rId23">
        <w:r>
          <w:t>página www.gob.mx/conavi</w:t>
        </w:r>
      </w:hyperlink>
    </w:p>
    <w:p w:rsidR="00A63476" w:rsidRDefault="00D22874">
      <w:pPr>
        <w:pStyle w:val="Prrafodelista"/>
        <w:numPr>
          <w:ilvl w:val="0"/>
          <w:numId w:val="49"/>
        </w:numPr>
        <w:tabs>
          <w:tab w:val="left" w:pos="1218"/>
        </w:tabs>
        <w:spacing w:before="62"/>
        <w:ind w:left="1218" w:hanging="418"/>
        <w:rPr>
          <w:sz w:val="18"/>
        </w:rPr>
      </w:pPr>
      <w:r>
        <w:rPr>
          <w:sz w:val="18"/>
        </w:rPr>
        <w:t>Supervisión técnica y</w:t>
      </w:r>
      <w:r>
        <w:rPr>
          <w:spacing w:val="-1"/>
          <w:sz w:val="18"/>
        </w:rPr>
        <w:t xml:space="preserve"> </w:t>
      </w:r>
      <w:r>
        <w:rPr>
          <w:sz w:val="18"/>
        </w:rPr>
        <w:t>administrativa</w:t>
      </w:r>
    </w:p>
    <w:p w:rsidR="00A63476" w:rsidRDefault="00A63476">
      <w:pPr>
        <w:jc w:val="both"/>
        <w:rPr>
          <w:sz w:val="18"/>
        </w:rPr>
        <w:sectPr w:rsidR="00A63476">
          <w:pgSz w:w="12240" w:h="15840"/>
          <w:pgMar w:top="920" w:right="1040" w:bottom="280" w:left="1180" w:header="700" w:footer="0" w:gutter="0"/>
          <w:cols w:space="720"/>
        </w:sectPr>
      </w:pPr>
    </w:p>
    <w:p w:rsidR="00A63476" w:rsidRDefault="00A63476">
      <w:pPr>
        <w:pStyle w:val="Textoindependiente"/>
        <w:spacing w:before="8"/>
        <w:ind w:left="0" w:right="0" w:firstLine="0"/>
        <w:jc w:val="left"/>
        <w:rPr>
          <w:sz w:val="10"/>
        </w:rPr>
      </w:pPr>
    </w:p>
    <w:p w:rsidR="00A63476" w:rsidRDefault="00D22874">
      <w:pPr>
        <w:pStyle w:val="Textoindependiente"/>
        <w:spacing w:before="95" w:line="254" w:lineRule="auto"/>
      </w:pPr>
      <w:r>
        <w:t>Se encargará de la supervisión técnica y administrativa de las obras durante el proceso de construcción de la</w:t>
      </w:r>
      <w:r>
        <w:t xml:space="preserve"> vivienda en cumplimiento de las condiciones aprobadas y conforme a los atributos en la vivienda establecidos por la CONAVI. Los lineamientos para el proceso de registro como supervisor de obra se podrán consultar en la página </w:t>
      </w:r>
      <w:hyperlink r:id="rId24">
        <w:r>
          <w:rPr>
            <w:u w:val="single"/>
          </w:rPr>
          <w:t>www.gob.mx/conav</w:t>
        </w:r>
        <w:r>
          <w:t>i</w:t>
        </w:r>
      </w:hyperlink>
    </w:p>
    <w:p w:rsidR="00A63476" w:rsidRDefault="00D22874">
      <w:pPr>
        <w:pStyle w:val="Prrafodelista"/>
        <w:numPr>
          <w:ilvl w:val="0"/>
          <w:numId w:val="49"/>
        </w:numPr>
        <w:tabs>
          <w:tab w:val="left" w:pos="1218"/>
        </w:tabs>
        <w:spacing w:before="82"/>
        <w:ind w:left="1218" w:hanging="418"/>
        <w:rPr>
          <w:sz w:val="18"/>
        </w:rPr>
      </w:pPr>
      <w:r>
        <w:rPr>
          <w:sz w:val="18"/>
        </w:rPr>
        <w:t>Verificadores</w:t>
      </w:r>
    </w:p>
    <w:p w:rsidR="00A63476" w:rsidRDefault="00D22874">
      <w:pPr>
        <w:pStyle w:val="Textoindependiente"/>
        <w:spacing w:before="113" w:line="254" w:lineRule="auto"/>
      </w:pPr>
      <w:r>
        <w:t>La CONAVI podrá optar por la contratación de personas físicas o morales previamente inscritas ante la misma Comisión, para verificar el cumplimiento del acompañamiento técnico, así como de la correcta aplicación de los subsidios otorgados para el desarroll</w:t>
      </w:r>
      <w:r>
        <w:t>o del Programa.</w:t>
      </w:r>
    </w:p>
    <w:p w:rsidR="00A63476" w:rsidRDefault="00D22874">
      <w:pPr>
        <w:pStyle w:val="Ttulo1"/>
        <w:numPr>
          <w:ilvl w:val="2"/>
          <w:numId w:val="52"/>
        </w:numPr>
        <w:tabs>
          <w:tab w:val="left" w:pos="1351"/>
        </w:tabs>
        <w:spacing w:before="102"/>
        <w:ind w:left="1350" w:hanging="551"/>
        <w:jc w:val="both"/>
      </w:pPr>
      <w:r>
        <w:t>Vivienda afectada por fenómenos</w:t>
      </w:r>
      <w:r>
        <w:rPr>
          <w:spacing w:val="-1"/>
        </w:rPr>
        <w:t xml:space="preserve"> </w:t>
      </w:r>
      <w:r>
        <w:t>naturales</w:t>
      </w:r>
    </w:p>
    <w:p w:rsidR="00A63476" w:rsidRDefault="00D22874">
      <w:pPr>
        <w:spacing w:before="113"/>
        <w:ind w:left="800"/>
        <w:rPr>
          <w:sz w:val="14"/>
        </w:rPr>
      </w:pPr>
      <w:r>
        <w:rPr>
          <w:w w:val="105"/>
          <w:sz w:val="18"/>
        </w:rPr>
        <w:t>O</w:t>
      </w:r>
      <w:r>
        <w:rPr>
          <w:w w:val="105"/>
          <w:sz w:val="14"/>
        </w:rPr>
        <w:t>BJETO DE LA FORMA DE INTERVENCIÓN</w:t>
      </w:r>
    </w:p>
    <w:p w:rsidR="00A63476" w:rsidRDefault="00D22874">
      <w:pPr>
        <w:pStyle w:val="Textoindependiente"/>
        <w:spacing w:before="93" w:line="254" w:lineRule="auto"/>
        <w:ind w:right="663"/>
      </w:pPr>
      <w:r>
        <w:t>Intervenir con acciones de vivienda en las zonas afectadas por fenómenos naturales, tanto en el ámbito rural como urbano.</w:t>
      </w:r>
    </w:p>
    <w:p w:rsidR="00A63476" w:rsidRDefault="00D22874">
      <w:pPr>
        <w:spacing w:before="101" w:line="372" w:lineRule="auto"/>
        <w:ind w:left="800" w:right="5128"/>
        <w:jc w:val="both"/>
        <w:rPr>
          <w:sz w:val="14"/>
        </w:rPr>
      </w:pPr>
      <w:r>
        <w:rPr>
          <w:sz w:val="18"/>
        </w:rPr>
        <w:t xml:space="preserve">El esquema que aplica es Subsidio </w:t>
      </w:r>
      <w:r>
        <w:rPr>
          <w:spacing w:val="-3"/>
          <w:sz w:val="18"/>
        </w:rPr>
        <w:t xml:space="preserve">CONAVI </w:t>
      </w:r>
      <w:r>
        <w:rPr>
          <w:spacing w:val="-4"/>
          <w:sz w:val="18"/>
        </w:rPr>
        <w:t xml:space="preserve">100%. </w:t>
      </w:r>
      <w:r>
        <w:rPr>
          <w:sz w:val="18"/>
        </w:rPr>
        <w:t>P</w:t>
      </w:r>
      <w:r>
        <w:rPr>
          <w:sz w:val="14"/>
        </w:rPr>
        <w:t>OBLACIÓN BENEFICIARIA</w:t>
      </w:r>
    </w:p>
    <w:p w:rsidR="00A63476" w:rsidRDefault="00D22874">
      <w:pPr>
        <w:pStyle w:val="Textoindependiente"/>
        <w:spacing w:line="254" w:lineRule="auto"/>
        <w:ind w:right="663"/>
      </w:pPr>
      <w:r>
        <w:t>Población que haya sido afectada por fenómenos naturales que no se encuentren incorporados en el Programa Nacional de Reconstrucción.</w:t>
      </w:r>
    </w:p>
    <w:p w:rsidR="00A63476" w:rsidRDefault="00D22874">
      <w:pPr>
        <w:pStyle w:val="Textoindependiente"/>
        <w:spacing w:before="80" w:line="254" w:lineRule="auto"/>
        <w:ind w:right="663"/>
      </w:pPr>
      <w:r>
        <w:t>En todos los casos el padrón es integrado por el gobierno estatal, el cual, a través de SEDAT</w:t>
      </w:r>
      <w:r>
        <w:t>U, solicita su atención a la Comisión.</w:t>
      </w:r>
    </w:p>
    <w:p w:rsidR="00A63476" w:rsidRDefault="00D22874">
      <w:pPr>
        <w:pStyle w:val="Textoindependiente"/>
        <w:spacing w:before="101" w:line="254" w:lineRule="auto"/>
      </w:pPr>
      <w:r>
        <w:t xml:space="preserve">Para la atención de las personas beneficiarias, en los casos de quienes hayan sido previamente atendidos con subsidios del FONDEN y requieran un apoyo adicional, se podrá otorgar un subsidio o apoyo complementario en </w:t>
      </w:r>
      <w:r>
        <w:t>la línea de apoyo que la intervención habitacional requiera.</w:t>
      </w:r>
    </w:p>
    <w:p w:rsidR="00A63476" w:rsidRDefault="00D22874">
      <w:pPr>
        <w:pStyle w:val="Textoindependiente"/>
        <w:spacing w:before="102" w:line="242" w:lineRule="auto"/>
      </w:pPr>
      <w:r>
        <w:t xml:space="preserve">El gobierno federal a través de la </w:t>
      </w:r>
      <w:r>
        <w:rPr>
          <w:spacing w:val="-3"/>
        </w:rPr>
        <w:t xml:space="preserve">CONAVI </w:t>
      </w:r>
      <w:r>
        <w:t>otorgará subsidio hasta de 100 % del costo de la afectación en la vivienda, de acuerdo con las consideraciones previstas en el numeral 4.3.1 de estas Reg</w:t>
      </w:r>
      <w:r>
        <w:t>las, respecto de  las consideraciones para las líneas de apoyo Reparación parcial de vivienda y Reparación total de vivienda.</w:t>
      </w:r>
    </w:p>
    <w:p w:rsidR="00A63476" w:rsidRDefault="00D22874">
      <w:pPr>
        <w:spacing w:before="112"/>
        <w:ind w:left="800"/>
        <w:rPr>
          <w:sz w:val="14"/>
        </w:rPr>
      </w:pPr>
      <w:r>
        <w:rPr>
          <w:w w:val="105"/>
          <w:sz w:val="18"/>
        </w:rPr>
        <w:t>P</w:t>
      </w:r>
      <w:r>
        <w:rPr>
          <w:w w:val="105"/>
          <w:sz w:val="14"/>
        </w:rPr>
        <w:t>OBLACIÓN PRIORITARIA</w:t>
      </w:r>
    </w:p>
    <w:p w:rsidR="00A63476" w:rsidRDefault="00D22874">
      <w:pPr>
        <w:pStyle w:val="Textoindependiente"/>
        <w:spacing w:before="113" w:line="259" w:lineRule="auto"/>
      </w:pPr>
      <w:r>
        <w:t xml:space="preserve">Los subsidios serán utilizados para cubrir necesidades de la población prioritaria: personas que habiten en </w:t>
      </w:r>
      <w:r>
        <w:t xml:space="preserve">zonas de población mayoritariamente indígena, en zonas con mayor grado de marginación o en situaciones de vulnerabilidad por condición de salud, según los mecanismos establecidos por la Secretaría de </w:t>
      </w:r>
      <w:r>
        <w:rPr>
          <w:spacing w:val="-3"/>
        </w:rPr>
        <w:t xml:space="preserve">Bienestar; </w:t>
      </w:r>
      <w:r>
        <w:t>así como la proporcionalidad y característica</w:t>
      </w:r>
      <w:r>
        <w:t>s del daño que determine la instancia correspondiente en colaboración con la Subsecretaría de Ordenamiento Territorial y la existencia de una declaratoria de desastre por la Secretaría de</w:t>
      </w:r>
      <w:r>
        <w:rPr>
          <w:spacing w:val="-1"/>
        </w:rPr>
        <w:t xml:space="preserve"> </w:t>
      </w:r>
      <w:r>
        <w:t>Gobernación.</w:t>
      </w:r>
    </w:p>
    <w:p w:rsidR="00A63476" w:rsidRDefault="00D22874">
      <w:pPr>
        <w:spacing w:before="99"/>
        <w:ind w:left="800"/>
        <w:rPr>
          <w:sz w:val="14"/>
        </w:rPr>
      </w:pPr>
      <w:r>
        <w:rPr>
          <w:w w:val="105"/>
          <w:sz w:val="18"/>
        </w:rPr>
        <w:t>M</w:t>
      </w:r>
      <w:r>
        <w:rPr>
          <w:w w:val="105"/>
          <w:sz w:val="14"/>
        </w:rPr>
        <w:t>ODALIDADES DE APLICACIÓN DEL SUBSIDIO Y LÍNEAS DE APOY</w:t>
      </w:r>
      <w:r>
        <w:rPr>
          <w:w w:val="105"/>
          <w:sz w:val="14"/>
        </w:rPr>
        <w:t>O</w:t>
      </w:r>
    </w:p>
    <w:p w:rsidR="00A63476" w:rsidRDefault="00D22874">
      <w:pPr>
        <w:pStyle w:val="Textoindependiente"/>
        <w:spacing w:before="113" w:line="259" w:lineRule="auto"/>
      </w:pPr>
      <w:r>
        <w:t>Las modalidades para la aplicación del subsidio en esta forma de intervención son: Vivienda en Espacio Edificable Rural o Urbano. Solo en caso de que fuera necesaria la reubicación de vivienda, podrá optarse por las modalidades de Vivienda en Conjunto Habi</w:t>
      </w:r>
      <w:r>
        <w:t>tacional y Adquisición de Vivienda, aplican procesos de autoadministración o autoproducción con asistencia técnica. Así mismo se podrá optar por la contratación directa de empresas constructoras u Organismos Ejecutores de Obra, preferentemente locales, pre</w:t>
      </w:r>
      <w:r>
        <w:t>viamente acreditados ante CONAVI.</w:t>
      </w:r>
    </w:p>
    <w:p w:rsidR="00A63476" w:rsidRDefault="00D22874">
      <w:pPr>
        <w:pStyle w:val="Ttulo2"/>
        <w:numPr>
          <w:ilvl w:val="0"/>
          <w:numId w:val="47"/>
        </w:numPr>
        <w:tabs>
          <w:tab w:val="left" w:pos="1219"/>
        </w:tabs>
        <w:spacing w:before="99"/>
        <w:jc w:val="both"/>
      </w:pPr>
      <w:r>
        <w:t>Vivienda en Espacio Edificable Rural o</w:t>
      </w:r>
      <w:r>
        <w:rPr>
          <w:spacing w:val="-5"/>
        </w:rPr>
        <w:t xml:space="preserve"> </w:t>
      </w:r>
      <w:r>
        <w:t>Urbano</w:t>
      </w:r>
    </w:p>
    <w:p w:rsidR="00A63476" w:rsidRDefault="00D22874">
      <w:pPr>
        <w:pStyle w:val="Textoindependiente"/>
        <w:spacing w:before="113" w:line="249" w:lineRule="auto"/>
      </w:pPr>
      <w:r>
        <w:t>La modalidad de Vivienda en Espacio Edificable Rural o Urbano tiene el propósito de atender problemas de hacinamiento, desdoblamiento familiar, vivienda precaria y en general v</w:t>
      </w:r>
      <w:r>
        <w:t xml:space="preserve">ivienda que por su deterioro atenta contra las condiciones de habitabilidad, tanto en localidades rurales como en urbanas; también tiene </w:t>
      </w:r>
      <w:r>
        <w:rPr>
          <w:spacing w:val="-5"/>
        </w:rPr>
        <w:t xml:space="preserve">como </w:t>
      </w:r>
      <w:r>
        <w:t xml:space="preserve">finalidad contribuir a los procesos de consolidación y/o mejoramiento de las colonias y barrios de las </w:t>
      </w:r>
      <w:r>
        <w:rPr>
          <w:spacing w:val="-3"/>
        </w:rPr>
        <w:t xml:space="preserve">zonas  </w:t>
      </w:r>
      <w:r>
        <w:t>intraurbanas de las ciudades.</w:t>
      </w:r>
    </w:p>
    <w:p w:rsidR="00A63476" w:rsidRDefault="00D22874">
      <w:pPr>
        <w:pStyle w:val="Textoindependiente"/>
        <w:spacing w:before="104"/>
        <w:ind w:left="800" w:right="0" w:firstLine="0"/>
      </w:pPr>
      <w:r>
        <w:t>Líneas de apoyo: reparación parcial, reparación total, reubicación de vivienda y sustentabilidad.</w:t>
      </w:r>
    </w:p>
    <w:p w:rsidR="00A63476" w:rsidRDefault="00D22874">
      <w:pPr>
        <w:pStyle w:val="Prrafodelista"/>
        <w:numPr>
          <w:ilvl w:val="0"/>
          <w:numId w:val="49"/>
        </w:numPr>
        <w:tabs>
          <w:tab w:val="left" w:pos="1232"/>
        </w:tabs>
        <w:spacing w:before="113" w:line="249" w:lineRule="auto"/>
        <w:ind w:right="655" w:hanging="440"/>
        <w:rPr>
          <w:sz w:val="18"/>
        </w:rPr>
      </w:pPr>
      <w:r>
        <w:rPr>
          <w:sz w:val="18"/>
          <w:u w:val="single"/>
        </w:rPr>
        <w:t>Reparación Parcial de Vivienda</w:t>
      </w:r>
      <w:r>
        <w:rPr>
          <w:sz w:val="18"/>
        </w:rPr>
        <w:t>. Corresponde al subsidio que se otorga para intervenir una vivienda que ha sufrido daños p</w:t>
      </w:r>
      <w:r>
        <w:rPr>
          <w:sz w:val="18"/>
        </w:rPr>
        <w:t xml:space="preserve">or efecto de algún fenómeno natural o hidrometereológico y que de </w:t>
      </w:r>
      <w:r>
        <w:rPr>
          <w:spacing w:val="-3"/>
          <w:sz w:val="18"/>
        </w:rPr>
        <w:t xml:space="preserve">acuerdo </w:t>
      </w:r>
      <w:r>
        <w:rPr>
          <w:sz w:val="18"/>
        </w:rPr>
        <w:t>con la opinión o dictamen de un especialista técnico, es susceptible de reparar sin poner en riesgo la estabilidad estructural del inmueble, se interviene con la reestructuración o c</w:t>
      </w:r>
      <w:r>
        <w:rPr>
          <w:sz w:val="18"/>
        </w:rPr>
        <w:t>on reparaciones en los elementos estructurales, techumbres, instalaciones, acabados, obras exteriores o cualquier elemento que compromete la habitabilidad de la vivienda.</w:t>
      </w:r>
    </w:p>
    <w:p w:rsidR="00A63476" w:rsidRDefault="00A63476">
      <w:pPr>
        <w:spacing w:line="249" w:lineRule="auto"/>
        <w:jc w:val="both"/>
        <w:rPr>
          <w:sz w:val="18"/>
        </w:rPr>
        <w:sectPr w:rsidR="00A63476">
          <w:pgSz w:w="12240" w:h="15840"/>
          <w:pgMar w:top="920" w:right="1040" w:bottom="280" w:left="1180" w:header="700" w:footer="0" w:gutter="0"/>
          <w:cols w:space="720"/>
        </w:sectPr>
      </w:pPr>
    </w:p>
    <w:p w:rsidR="00A63476" w:rsidRDefault="00A63476">
      <w:pPr>
        <w:pStyle w:val="Textoindependiente"/>
        <w:spacing w:before="8"/>
        <w:ind w:left="0" w:right="0" w:firstLine="0"/>
        <w:jc w:val="left"/>
        <w:rPr>
          <w:sz w:val="10"/>
        </w:rPr>
      </w:pPr>
    </w:p>
    <w:p w:rsidR="00A63476" w:rsidRDefault="00D22874">
      <w:pPr>
        <w:pStyle w:val="Textoindependiente"/>
        <w:spacing w:before="95" w:line="254" w:lineRule="auto"/>
        <w:ind w:left="1240" w:hanging="8"/>
      </w:pPr>
      <w:r>
        <w:t>Con base en los montos de apoyo establecidos en el apartado correspond</w:t>
      </w:r>
      <w:r>
        <w:t>iente de estas reglas, la CONAVI otorgará subsidios para cubrir los conceptos referidos a: reforzamiento estructural,  cimentación, muros, techos, pisos, escaleras, instalaciones sanitarias, hidráulicas, eléctricas, cubiertas, entre otras.</w:t>
      </w:r>
    </w:p>
    <w:p w:rsidR="00A63476" w:rsidRDefault="00D22874">
      <w:pPr>
        <w:pStyle w:val="Prrafodelista"/>
        <w:numPr>
          <w:ilvl w:val="0"/>
          <w:numId w:val="49"/>
        </w:numPr>
        <w:tabs>
          <w:tab w:val="left" w:pos="1232"/>
        </w:tabs>
        <w:spacing w:before="82" w:line="254" w:lineRule="auto"/>
        <w:ind w:right="655" w:hanging="440"/>
        <w:rPr>
          <w:sz w:val="18"/>
        </w:rPr>
      </w:pPr>
      <w:r>
        <w:rPr>
          <w:sz w:val="18"/>
          <w:u w:val="single"/>
        </w:rPr>
        <w:t xml:space="preserve">Reparación </w:t>
      </w:r>
      <w:r>
        <w:rPr>
          <w:spacing w:val="-4"/>
          <w:sz w:val="18"/>
          <w:u w:val="single"/>
        </w:rPr>
        <w:t>Total</w:t>
      </w:r>
      <w:r>
        <w:rPr>
          <w:spacing w:val="-4"/>
          <w:sz w:val="18"/>
          <w:u w:val="single"/>
        </w:rPr>
        <w:t xml:space="preserve"> </w:t>
      </w:r>
      <w:r>
        <w:rPr>
          <w:sz w:val="18"/>
          <w:u w:val="single"/>
        </w:rPr>
        <w:t>de Vivienda</w:t>
      </w:r>
      <w:r>
        <w:rPr>
          <w:sz w:val="18"/>
        </w:rPr>
        <w:t xml:space="preserve">. Corresponde al subsidio que se otorga para intervenir una vivienda, que ha sufrido daños estructurales por efecto de algún fenómeno natural o hidrometereológico y que, de acuerdo con la opinión o dictamen de un especialista técnico, requiere </w:t>
      </w:r>
      <w:r>
        <w:rPr>
          <w:sz w:val="18"/>
        </w:rPr>
        <w:t xml:space="preserve">su demolición para ser sustituida por una nueva, en la misma localización y con las características de habitabilidad </w:t>
      </w:r>
      <w:r>
        <w:rPr>
          <w:spacing w:val="-4"/>
          <w:sz w:val="18"/>
        </w:rPr>
        <w:t xml:space="preserve">que </w:t>
      </w:r>
      <w:r>
        <w:rPr>
          <w:sz w:val="18"/>
        </w:rPr>
        <w:t xml:space="preserve">establezca la </w:t>
      </w:r>
      <w:r>
        <w:rPr>
          <w:spacing w:val="-3"/>
          <w:sz w:val="18"/>
        </w:rPr>
        <w:t>CONAVI.</w:t>
      </w:r>
    </w:p>
    <w:p w:rsidR="00A63476" w:rsidRDefault="00FF0FB3">
      <w:pPr>
        <w:pStyle w:val="Textoindependiente"/>
        <w:spacing w:before="103" w:line="247" w:lineRule="auto"/>
        <w:ind w:left="1240" w:hanging="8"/>
      </w:pPr>
      <w:r>
        <w:rPr>
          <w:noProof/>
        </w:rPr>
        <mc:AlternateContent>
          <mc:Choice Requires="wps">
            <w:drawing>
              <wp:anchor distT="0" distB="0" distL="114300" distR="114300" simplePos="0" relativeHeight="484797440" behindDoc="1" locked="0" layoutInCell="1" allowOverlap="1">
                <wp:simplePos x="0" y="0"/>
                <wp:positionH relativeFrom="page">
                  <wp:posOffset>2369820</wp:posOffset>
                </wp:positionH>
                <wp:positionV relativeFrom="paragraph">
                  <wp:posOffset>137160</wp:posOffset>
                </wp:positionV>
                <wp:extent cx="31750" cy="0"/>
                <wp:effectExtent l="0" t="0" r="0" b="0"/>
                <wp:wrapNone/>
                <wp:docPr id="78" name="Line 5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31750" cy="0"/>
                        </a:xfrm>
                        <a:prstGeom prst="line">
                          <a:avLst/>
                        </a:prstGeom>
                        <a:noFill/>
                        <a:ln w="5592">
                          <a:solidFill>
                            <a:srgbClr val="00000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6C29E9D7" id="Line 55" o:spid="_x0000_s1026" style="position:absolute;z-index:-18519040;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 from="186.6pt,10.8pt" to="189.1pt,10.8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" strokeweight=".15533mm">
                <w10:wrap anchorx="page"/>
              </v:line>
            </w:pict>
          </mc:Fallback>
        </mc:AlternateContent>
      </w:r>
      <w:r w:rsidR="00D22874">
        <w:t>En estos casos, la demolición de la vivienda afectada se realizará por empresas constructoras previamente acredi</w:t>
      </w:r>
      <w:r w:rsidR="00D22874">
        <w:t>tadas ante la CONAVI, o bien, con el apoyo de las autoridades municipales o estatales; también podrá ser ejecutada por las mismas personas beneficiarias del programa, con recursos propios o de voluntarios.</w:t>
      </w:r>
    </w:p>
    <w:p w:rsidR="00A63476" w:rsidRDefault="00D22874">
      <w:pPr>
        <w:pStyle w:val="Textoindependiente"/>
        <w:spacing w:before="107" w:line="242" w:lineRule="auto"/>
        <w:ind w:left="1240" w:hanging="8"/>
      </w:pPr>
      <w:r>
        <w:t>La construcción de la vivienda se llevará a cabo por procesos de producción social asistida con asistencia técnica o con la contratación de una empresa constructora, previamente acreditados ante la CONAVI.</w:t>
      </w:r>
    </w:p>
    <w:p w:rsidR="00A63476" w:rsidRDefault="00D22874">
      <w:pPr>
        <w:pStyle w:val="Prrafodelista"/>
        <w:numPr>
          <w:ilvl w:val="0"/>
          <w:numId w:val="49"/>
        </w:numPr>
        <w:tabs>
          <w:tab w:val="left" w:pos="1232"/>
        </w:tabs>
        <w:spacing w:before="113" w:line="249" w:lineRule="auto"/>
        <w:ind w:right="655" w:hanging="440"/>
        <w:rPr>
          <w:sz w:val="18"/>
        </w:rPr>
      </w:pPr>
      <w:r>
        <w:rPr>
          <w:sz w:val="18"/>
          <w:u w:val="single"/>
        </w:rPr>
        <w:t>Reubicación de Vivienda</w:t>
      </w:r>
      <w:r>
        <w:rPr>
          <w:sz w:val="18"/>
        </w:rPr>
        <w:t>. Corresponde al subsidio q</w:t>
      </w:r>
      <w:r>
        <w:rPr>
          <w:sz w:val="18"/>
        </w:rPr>
        <w:t xml:space="preserve">ue se otorga para intervenir una vivienda que, de acuerdo con la opinión de un especialista técnico, ha sufrido daños y se localiza en un asentamiento identificado como factor de riesgo, por lo que demanda su reubicación. Por la naturaleza de </w:t>
      </w:r>
      <w:r>
        <w:rPr>
          <w:spacing w:val="-7"/>
          <w:sz w:val="18"/>
        </w:rPr>
        <w:t xml:space="preserve">la </w:t>
      </w:r>
      <w:r>
        <w:rPr>
          <w:sz w:val="18"/>
        </w:rPr>
        <w:t>intervenci</w:t>
      </w:r>
      <w:r>
        <w:rPr>
          <w:sz w:val="18"/>
        </w:rPr>
        <w:t xml:space="preserve">ón, requiere la adquisición de suelo para la reposición de la vivienda en otro sitio en condiciones de seguridad de acuerdo con la normatividad respectiva, lo que permitirá la construcción de una vivienda nueva con las características de habitabilidad que </w:t>
      </w:r>
      <w:r>
        <w:rPr>
          <w:sz w:val="18"/>
        </w:rPr>
        <w:t xml:space="preserve">establezca la </w:t>
      </w:r>
      <w:r>
        <w:rPr>
          <w:spacing w:val="-3"/>
          <w:sz w:val="18"/>
        </w:rPr>
        <w:t>CONAVI.</w:t>
      </w:r>
    </w:p>
    <w:p w:rsidR="00A63476" w:rsidRDefault="00D22874">
      <w:pPr>
        <w:pStyle w:val="Prrafodelista"/>
        <w:numPr>
          <w:ilvl w:val="0"/>
          <w:numId w:val="49"/>
        </w:numPr>
        <w:tabs>
          <w:tab w:val="left" w:pos="1232"/>
        </w:tabs>
        <w:spacing w:before="108" w:line="249" w:lineRule="auto"/>
        <w:ind w:right="655" w:hanging="440"/>
        <w:rPr>
          <w:sz w:val="18"/>
        </w:rPr>
      </w:pPr>
      <w:r>
        <w:rPr>
          <w:sz w:val="18"/>
          <w:u w:val="single"/>
        </w:rPr>
        <w:t>Sustentabilidad</w:t>
      </w:r>
      <w:r>
        <w:rPr>
          <w:sz w:val="18"/>
        </w:rPr>
        <w:t xml:space="preserve">. La </w:t>
      </w:r>
      <w:r>
        <w:rPr>
          <w:spacing w:val="-3"/>
          <w:sz w:val="18"/>
        </w:rPr>
        <w:t xml:space="preserve">CONAVI </w:t>
      </w:r>
      <w:r>
        <w:rPr>
          <w:sz w:val="18"/>
        </w:rPr>
        <w:t>podrá otorgar subsidio hasta por la cantidad equivalente a 13 veces el valor de la UMA, por unidad de vivienda, para la aplicación de diseños e instalación de tecnologías que permitan la disminución de emisi</w:t>
      </w:r>
      <w:r>
        <w:rPr>
          <w:sz w:val="18"/>
        </w:rPr>
        <w:t xml:space="preserve">ones de bióxido de carbono, el ahorro de energía y el ahorro </w:t>
      </w:r>
      <w:r>
        <w:rPr>
          <w:spacing w:val="-17"/>
          <w:sz w:val="18"/>
        </w:rPr>
        <w:t>y</w:t>
      </w:r>
      <w:r>
        <w:rPr>
          <w:spacing w:val="16"/>
          <w:sz w:val="18"/>
        </w:rPr>
        <w:t xml:space="preserve"> </w:t>
      </w:r>
      <w:r>
        <w:rPr>
          <w:sz w:val="18"/>
        </w:rPr>
        <w:t>manejo adecuado del agua en la vivienda, así como la protección y cuidado del medio ambiente. Estos diseños y tecnologías también contribuirán a reducir el riesgo de que la vivienda sufra daños</w:t>
      </w:r>
      <w:r>
        <w:rPr>
          <w:sz w:val="18"/>
        </w:rPr>
        <w:t xml:space="preserve"> por futuras contingencias y</w:t>
      </w:r>
      <w:r>
        <w:rPr>
          <w:spacing w:val="-1"/>
          <w:sz w:val="18"/>
        </w:rPr>
        <w:t xml:space="preserve"> </w:t>
      </w:r>
      <w:r>
        <w:rPr>
          <w:sz w:val="18"/>
        </w:rPr>
        <w:t>desastres.</w:t>
      </w:r>
    </w:p>
    <w:p w:rsidR="00A63476" w:rsidRDefault="00D22874">
      <w:pPr>
        <w:pStyle w:val="Ttulo2"/>
        <w:numPr>
          <w:ilvl w:val="0"/>
          <w:numId w:val="47"/>
        </w:numPr>
        <w:tabs>
          <w:tab w:val="left" w:pos="1217"/>
          <w:tab w:val="left" w:pos="1219"/>
        </w:tabs>
        <w:spacing w:before="109"/>
      </w:pPr>
      <w:r>
        <w:t>Vivienda en Conjunto</w:t>
      </w:r>
      <w:r>
        <w:rPr>
          <w:spacing w:val="-3"/>
        </w:rPr>
        <w:t xml:space="preserve"> </w:t>
      </w:r>
      <w:r>
        <w:t>Habitacional</w:t>
      </w:r>
    </w:p>
    <w:p w:rsidR="00A63476" w:rsidRDefault="00D22874">
      <w:pPr>
        <w:pStyle w:val="Textoindependiente"/>
        <w:spacing w:before="113" w:line="242" w:lineRule="auto"/>
      </w:pPr>
      <w:r>
        <w:t>Esta modalidad corresponde a la construcción de conjuntos habitacionales de vivienda nueva en desarrollos verticales u horizontales, priorizando los verticales, preferentemente con p</w:t>
      </w:r>
      <w:r>
        <w:t>rocesos participativos en el diseño y construcción de la vivienda.</w:t>
      </w:r>
    </w:p>
    <w:p w:rsidR="00A63476" w:rsidRDefault="00D22874">
      <w:pPr>
        <w:pStyle w:val="Textoindependiente"/>
        <w:spacing w:before="113" w:line="249" w:lineRule="auto"/>
      </w:pPr>
      <w:r>
        <w:t>El desarrollo de Vivienda en Conjunto Habitacional está orientado a optimizar el uso del suelo habitacional en zonas urbanas que cuentan con servicios y equipamiento urbano disponible, cons</w:t>
      </w:r>
      <w:r>
        <w:t>tituye una estrategia de redensificación habitacional al interior de las ciudades. Se ubica en predios con uso habitacional y con factibilidad de servicios, en un proceso único de edificación que cumpla con las regulaciones de densidad, superficie construi</w:t>
      </w:r>
      <w:r>
        <w:t>da, seguridad estructural, instalaciones, servicios, áreas de uso común entre otros, establecidos por la reglamentación local correspondiente.</w:t>
      </w:r>
    </w:p>
    <w:p w:rsidR="00A63476" w:rsidRDefault="00D22874">
      <w:pPr>
        <w:pStyle w:val="Textoindependiente"/>
        <w:spacing w:before="108" w:line="254" w:lineRule="auto"/>
        <w:ind w:right="663"/>
      </w:pPr>
      <w:r>
        <w:t>Las líneas de apoyo aplicables son: Adquisición de suelo; Estudios y proyectos; Demolición; Edificación; Gastos c</w:t>
      </w:r>
      <w:r>
        <w:t>omplementarios; Obra de Alcance Mayor; Sustentabilidad; Espacio Auxiliar Comunitario.</w:t>
      </w:r>
    </w:p>
    <w:p w:rsidR="00A63476" w:rsidRDefault="00D22874">
      <w:pPr>
        <w:pStyle w:val="Prrafodelista"/>
        <w:numPr>
          <w:ilvl w:val="0"/>
          <w:numId w:val="49"/>
        </w:numPr>
        <w:tabs>
          <w:tab w:val="left" w:pos="1232"/>
        </w:tabs>
        <w:spacing w:line="249" w:lineRule="auto"/>
        <w:ind w:right="654" w:hanging="440"/>
        <w:rPr>
          <w:sz w:val="18"/>
        </w:rPr>
      </w:pPr>
      <w:r>
        <w:rPr>
          <w:sz w:val="18"/>
          <w:u w:val="single"/>
        </w:rPr>
        <w:t>Adquisición de suelo.</w:t>
      </w:r>
      <w:r>
        <w:rPr>
          <w:sz w:val="18"/>
        </w:rPr>
        <w:t xml:space="preserve"> La </w:t>
      </w:r>
      <w:r>
        <w:rPr>
          <w:spacing w:val="-3"/>
          <w:sz w:val="18"/>
        </w:rPr>
        <w:t xml:space="preserve">CONAVI </w:t>
      </w:r>
      <w:r>
        <w:rPr>
          <w:sz w:val="18"/>
        </w:rPr>
        <w:t>podrá otorgar subsidio de hasta por la cantidad equivalente a 45 veces el valor de la UMA por unidad de vivienda, para la adquisición de s</w:t>
      </w:r>
      <w:r>
        <w:rPr>
          <w:sz w:val="18"/>
        </w:rPr>
        <w:t xml:space="preserve">uelo urbano, para incorporarlo al desarrollo de un programa de vivienda en la modalidad de Vivienda en Conjunto Habitacional. En la adquisición de suelo para vivienda se tomará siempre en cuenta la variable </w:t>
      </w:r>
      <w:r>
        <w:rPr>
          <w:spacing w:val="-7"/>
          <w:sz w:val="18"/>
        </w:rPr>
        <w:t xml:space="preserve">de </w:t>
      </w:r>
      <w:r>
        <w:rPr>
          <w:sz w:val="18"/>
        </w:rPr>
        <w:t>riesgo de</w:t>
      </w:r>
      <w:r>
        <w:rPr>
          <w:spacing w:val="-1"/>
          <w:sz w:val="18"/>
        </w:rPr>
        <w:t xml:space="preserve"> </w:t>
      </w:r>
      <w:r>
        <w:rPr>
          <w:sz w:val="18"/>
        </w:rPr>
        <w:t>desastres.</w:t>
      </w:r>
    </w:p>
    <w:p w:rsidR="00A63476" w:rsidRDefault="00D22874">
      <w:pPr>
        <w:pStyle w:val="Prrafodelista"/>
        <w:numPr>
          <w:ilvl w:val="0"/>
          <w:numId w:val="49"/>
        </w:numPr>
        <w:tabs>
          <w:tab w:val="left" w:pos="1232"/>
        </w:tabs>
        <w:spacing w:before="104" w:line="249" w:lineRule="auto"/>
        <w:ind w:right="655" w:hanging="440"/>
        <w:rPr>
          <w:sz w:val="18"/>
        </w:rPr>
      </w:pPr>
      <w:r>
        <w:rPr>
          <w:sz w:val="18"/>
          <w:u w:val="single"/>
        </w:rPr>
        <w:t>Estudios y proyectos.</w:t>
      </w:r>
      <w:r>
        <w:rPr>
          <w:sz w:val="18"/>
        </w:rPr>
        <w:t xml:space="preserve"> Com</w:t>
      </w:r>
      <w:r>
        <w:rPr>
          <w:sz w:val="18"/>
        </w:rPr>
        <w:t xml:space="preserve">o parte integral de la construcción de vivienda en conjunto habitacional, la </w:t>
      </w:r>
      <w:r>
        <w:rPr>
          <w:spacing w:val="-3"/>
          <w:sz w:val="18"/>
        </w:rPr>
        <w:t xml:space="preserve">CONAVI </w:t>
      </w:r>
      <w:r>
        <w:rPr>
          <w:sz w:val="18"/>
        </w:rPr>
        <w:t>podrá otorgar subsidio para desarrollar e integrar la documentación de carácter técnico, social, financiero, jurídico y administrativo que permita sustentar los proyectos p</w:t>
      </w:r>
      <w:r>
        <w:rPr>
          <w:sz w:val="18"/>
        </w:rPr>
        <w:t>ropuestos para recibir el apoyo por la cantidad de hasta 2.5% del monto de la obra, por la totalidad de viviendas contempladas en el Conjunto Habitacional.</w:t>
      </w:r>
    </w:p>
    <w:p w:rsidR="00A63476" w:rsidRDefault="00D22874">
      <w:pPr>
        <w:pStyle w:val="Prrafodelista"/>
        <w:numPr>
          <w:ilvl w:val="0"/>
          <w:numId w:val="49"/>
        </w:numPr>
        <w:tabs>
          <w:tab w:val="left" w:pos="1232"/>
        </w:tabs>
        <w:spacing w:before="104" w:line="249" w:lineRule="auto"/>
        <w:ind w:right="655" w:hanging="440"/>
        <w:rPr>
          <w:sz w:val="18"/>
        </w:rPr>
      </w:pPr>
      <w:r>
        <w:rPr>
          <w:sz w:val="18"/>
          <w:u w:val="single"/>
        </w:rPr>
        <w:t>Edificación</w:t>
      </w:r>
      <w:r>
        <w:rPr>
          <w:sz w:val="18"/>
        </w:rPr>
        <w:t xml:space="preserve">. Como parte integral de la construcción de vivienda en conjunto habitacional, la </w:t>
      </w:r>
      <w:r>
        <w:rPr>
          <w:spacing w:val="-3"/>
          <w:sz w:val="18"/>
        </w:rPr>
        <w:t xml:space="preserve">CONAVI </w:t>
      </w:r>
      <w:r>
        <w:rPr>
          <w:sz w:val="18"/>
        </w:rPr>
        <w:t xml:space="preserve">podrá otorgar subsidio de hasta por la cantidad equivalente a </w:t>
      </w:r>
      <w:r>
        <w:rPr>
          <w:spacing w:val="-5"/>
          <w:sz w:val="18"/>
        </w:rPr>
        <w:t xml:space="preserve">113 </w:t>
      </w:r>
      <w:r>
        <w:rPr>
          <w:sz w:val="18"/>
        </w:rPr>
        <w:t>veces el valor de la UMA, por unidad de vivienda, para los trabajos de construcción de vivienda nueva</w:t>
      </w:r>
      <w:r>
        <w:rPr>
          <w:sz w:val="18"/>
        </w:rPr>
        <w:t xml:space="preserve"> mediante la contratación </w:t>
      </w:r>
      <w:r>
        <w:rPr>
          <w:spacing w:val="-6"/>
          <w:sz w:val="18"/>
        </w:rPr>
        <w:t xml:space="preserve">de </w:t>
      </w:r>
      <w:r>
        <w:rPr>
          <w:sz w:val="18"/>
        </w:rPr>
        <w:t xml:space="preserve">empresas constructoras, previamente registradas ante la Comisión, que apliquen procesos industrializados o a través de procesos de autoadministración, en los que participan directamente </w:t>
      </w:r>
      <w:r>
        <w:rPr>
          <w:spacing w:val="-4"/>
          <w:sz w:val="18"/>
        </w:rPr>
        <w:t xml:space="preserve">las </w:t>
      </w:r>
      <w:r>
        <w:rPr>
          <w:sz w:val="18"/>
        </w:rPr>
        <w:t>personas beneficiarias y su equipo té</w:t>
      </w:r>
      <w:r>
        <w:rPr>
          <w:sz w:val="18"/>
        </w:rPr>
        <w:t xml:space="preserve">cnico, validado por la propia </w:t>
      </w:r>
      <w:r>
        <w:rPr>
          <w:spacing w:val="-3"/>
          <w:sz w:val="18"/>
        </w:rPr>
        <w:t>CONAVI.</w:t>
      </w:r>
    </w:p>
    <w:p w:rsidR="00A63476" w:rsidRDefault="00A63476">
      <w:pPr>
        <w:spacing w:line="249" w:lineRule="auto"/>
        <w:jc w:val="both"/>
        <w:rPr>
          <w:sz w:val="18"/>
        </w:rPr>
        <w:sectPr w:rsidR="00A63476">
          <w:pgSz w:w="12240" w:h="15840"/>
          <w:pgMar w:top="920" w:right="1040" w:bottom="280" w:left="1180" w:header="700" w:footer="0" w:gutter="0"/>
          <w:cols w:space="720"/>
        </w:sectPr>
      </w:pPr>
    </w:p>
    <w:p w:rsidR="00A63476" w:rsidRDefault="00A63476">
      <w:pPr>
        <w:pStyle w:val="Textoindependiente"/>
        <w:spacing w:before="2"/>
        <w:ind w:left="0" w:right="0" w:firstLine="0"/>
        <w:jc w:val="left"/>
        <w:rPr>
          <w:sz w:val="14"/>
        </w:rPr>
      </w:pPr>
    </w:p>
    <w:p w:rsidR="00A63476" w:rsidRDefault="00D22874">
      <w:pPr>
        <w:pStyle w:val="Prrafodelista"/>
        <w:numPr>
          <w:ilvl w:val="0"/>
          <w:numId w:val="49"/>
        </w:numPr>
        <w:tabs>
          <w:tab w:val="left" w:pos="1232"/>
        </w:tabs>
        <w:spacing w:before="95" w:line="290" w:lineRule="auto"/>
        <w:ind w:right="655" w:hanging="440"/>
        <w:rPr>
          <w:sz w:val="18"/>
        </w:rPr>
      </w:pPr>
      <w:r>
        <w:rPr>
          <w:sz w:val="18"/>
          <w:u w:val="single"/>
        </w:rPr>
        <w:t>Espacio Auxiliar Comunitario</w:t>
      </w:r>
      <w:r>
        <w:rPr>
          <w:sz w:val="18"/>
        </w:rPr>
        <w:t xml:space="preserve">. Con la finalidad de contribuir al desarrollo de actividades culturales o productivas, de las comunidades y como parte integral de la construcción de vivienda en conjunto habitacional, la </w:t>
      </w:r>
      <w:r>
        <w:rPr>
          <w:spacing w:val="-3"/>
          <w:sz w:val="18"/>
        </w:rPr>
        <w:t xml:space="preserve">CONAVI </w:t>
      </w:r>
      <w:r>
        <w:rPr>
          <w:sz w:val="18"/>
        </w:rPr>
        <w:t>podrá otorgar subsidio comunitario equivalente, hasta por la</w:t>
      </w:r>
      <w:r>
        <w:rPr>
          <w:sz w:val="18"/>
        </w:rPr>
        <w:t xml:space="preserve"> cantidad equivalente a 172 veces el valor de la UMA y que corresponde al subsidio total de una vivienda, </w:t>
      </w:r>
      <w:r>
        <w:rPr>
          <w:spacing w:val="-6"/>
          <w:sz w:val="18"/>
        </w:rPr>
        <w:t xml:space="preserve">que </w:t>
      </w:r>
      <w:r>
        <w:rPr>
          <w:sz w:val="18"/>
        </w:rPr>
        <w:t>se distribuirá entre todos los beneficiarios del</w:t>
      </w:r>
      <w:r>
        <w:rPr>
          <w:spacing w:val="-1"/>
          <w:sz w:val="18"/>
        </w:rPr>
        <w:t xml:space="preserve"> </w:t>
      </w:r>
      <w:r>
        <w:rPr>
          <w:sz w:val="18"/>
        </w:rPr>
        <w:t>proyecto.</w:t>
      </w:r>
    </w:p>
    <w:p w:rsidR="00A63476" w:rsidRDefault="00D22874">
      <w:pPr>
        <w:pStyle w:val="Prrafodelista"/>
        <w:numPr>
          <w:ilvl w:val="0"/>
          <w:numId w:val="49"/>
        </w:numPr>
        <w:tabs>
          <w:tab w:val="left" w:pos="1232"/>
        </w:tabs>
        <w:spacing w:before="107" w:line="292" w:lineRule="auto"/>
        <w:ind w:right="655" w:hanging="440"/>
        <w:rPr>
          <w:sz w:val="18"/>
        </w:rPr>
      </w:pPr>
      <w:r>
        <w:rPr>
          <w:sz w:val="18"/>
          <w:u w:val="single"/>
        </w:rPr>
        <w:t>Demolición</w:t>
      </w:r>
      <w:r>
        <w:rPr>
          <w:sz w:val="18"/>
        </w:rPr>
        <w:t>. Como parte integral de la construcción de vivienda en conjunto habitacional</w:t>
      </w:r>
      <w:r>
        <w:rPr>
          <w:sz w:val="18"/>
        </w:rPr>
        <w:t xml:space="preserve">, la </w:t>
      </w:r>
      <w:r>
        <w:rPr>
          <w:spacing w:val="-3"/>
          <w:sz w:val="18"/>
        </w:rPr>
        <w:t xml:space="preserve">CONAVI </w:t>
      </w:r>
      <w:r>
        <w:rPr>
          <w:sz w:val="18"/>
        </w:rPr>
        <w:t>podrá otorgar subsidio hasta por la cantidad equivalente a 6 veces el valor de la UMA, por unidad de vivienda para demoler las construcciones existentes en un terreno donde se desarrollarán viviendas nuevas.</w:t>
      </w:r>
    </w:p>
    <w:p w:rsidR="00A63476" w:rsidRDefault="00D22874">
      <w:pPr>
        <w:pStyle w:val="Prrafodelista"/>
        <w:numPr>
          <w:ilvl w:val="0"/>
          <w:numId w:val="49"/>
        </w:numPr>
        <w:tabs>
          <w:tab w:val="left" w:pos="1232"/>
        </w:tabs>
        <w:spacing w:before="90" w:line="292" w:lineRule="auto"/>
        <w:ind w:right="655" w:hanging="440"/>
        <w:rPr>
          <w:sz w:val="18"/>
        </w:rPr>
      </w:pPr>
      <w:r>
        <w:rPr>
          <w:sz w:val="18"/>
          <w:u w:val="single"/>
        </w:rPr>
        <w:t>Gastos</w:t>
      </w:r>
      <w:r>
        <w:rPr>
          <w:sz w:val="18"/>
        </w:rPr>
        <w:t xml:space="preserve"> </w:t>
      </w:r>
      <w:r>
        <w:rPr>
          <w:sz w:val="18"/>
          <w:u w:val="single"/>
        </w:rPr>
        <w:t>complementarios</w:t>
      </w:r>
      <w:r>
        <w:rPr>
          <w:sz w:val="18"/>
        </w:rPr>
        <w:t>. Como parte i</w:t>
      </w:r>
      <w:r>
        <w:rPr>
          <w:sz w:val="18"/>
        </w:rPr>
        <w:t xml:space="preserve">ntegral de la construcción de vivienda en conjunto habitacional, la </w:t>
      </w:r>
      <w:r>
        <w:rPr>
          <w:spacing w:val="-3"/>
          <w:sz w:val="18"/>
        </w:rPr>
        <w:t xml:space="preserve">CONAVI </w:t>
      </w:r>
      <w:r>
        <w:rPr>
          <w:sz w:val="18"/>
        </w:rPr>
        <w:t>podrá otorgar Subsidio destinado a cubrir los gastos relacionados con supervisión externa, laboratorio de control, Director Responsable de Obra, electrificación y escrituración hast</w:t>
      </w:r>
      <w:r>
        <w:rPr>
          <w:sz w:val="18"/>
        </w:rPr>
        <w:t>a por la cantidad equivalente a 13 veces el valor de la UMA, por unidad de</w:t>
      </w:r>
      <w:r>
        <w:rPr>
          <w:spacing w:val="-2"/>
          <w:sz w:val="18"/>
        </w:rPr>
        <w:t xml:space="preserve"> </w:t>
      </w:r>
      <w:r>
        <w:rPr>
          <w:sz w:val="18"/>
        </w:rPr>
        <w:t>vivienda.</w:t>
      </w:r>
    </w:p>
    <w:p w:rsidR="00A63476" w:rsidRDefault="00D22874">
      <w:pPr>
        <w:pStyle w:val="Prrafodelista"/>
        <w:numPr>
          <w:ilvl w:val="0"/>
          <w:numId w:val="49"/>
        </w:numPr>
        <w:tabs>
          <w:tab w:val="left" w:pos="1232"/>
        </w:tabs>
        <w:spacing w:before="110" w:line="290" w:lineRule="auto"/>
        <w:ind w:right="655" w:hanging="440"/>
        <w:rPr>
          <w:sz w:val="18"/>
        </w:rPr>
      </w:pPr>
      <w:r>
        <w:rPr>
          <w:sz w:val="18"/>
          <w:u w:val="single"/>
        </w:rPr>
        <w:t>Obra de Alcance Mayor.</w:t>
      </w:r>
      <w:r>
        <w:rPr>
          <w:sz w:val="18"/>
        </w:rPr>
        <w:t xml:space="preserve"> Como parte integral de la construcción de vivienda en conjunto habitacional, la </w:t>
      </w:r>
      <w:r>
        <w:rPr>
          <w:spacing w:val="-3"/>
          <w:sz w:val="18"/>
        </w:rPr>
        <w:t xml:space="preserve">CONAVI </w:t>
      </w:r>
      <w:r>
        <w:rPr>
          <w:sz w:val="18"/>
        </w:rPr>
        <w:t>podrá otorgar subsidio que se aplica en los predios cuyo núme</w:t>
      </w:r>
      <w:r>
        <w:rPr>
          <w:sz w:val="18"/>
        </w:rPr>
        <w:t>ro de acciones de vivienda y capacidad de servicios de las instalaciones domésticas, así como por su disposición en el terreno y su diseño de conjunto, requieren obras de mayor alcance, en cuanto al suministro de servicios básicos (agua potable, drenaje, e</w:t>
      </w:r>
      <w:r>
        <w:rPr>
          <w:sz w:val="18"/>
        </w:rPr>
        <w:t xml:space="preserve">nergía eléctrica y alumbrado exterior), así como para el </w:t>
      </w:r>
      <w:r>
        <w:rPr>
          <w:spacing w:val="-3"/>
          <w:sz w:val="18"/>
        </w:rPr>
        <w:t xml:space="preserve">óptimo </w:t>
      </w:r>
      <w:r>
        <w:rPr>
          <w:sz w:val="18"/>
        </w:rPr>
        <w:t>funcionamiento interior de los conjuntos (áreas de circulación peatonal o vehicular). Tiene como finalidad reducir el costo que arrojan tales instalaciones, en virtud de la magnitud y compleji</w:t>
      </w:r>
      <w:r>
        <w:rPr>
          <w:sz w:val="18"/>
        </w:rPr>
        <w:t>dad de éstas y del proyecto de vivienda, hasta por la cantidad equivalente de 13 veces el valor de la UMA, por unidad de vivienda.</w:t>
      </w:r>
    </w:p>
    <w:p w:rsidR="00A63476" w:rsidRDefault="00D22874">
      <w:pPr>
        <w:pStyle w:val="Prrafodelista"/>
        <w:numPr>
          <w:ilvl w:val="0"/>
          <w:numId w:val="49"/>
        </w:numPr>
        <w:tabs>
          <w:tab w:val="left" w:pos="1232"/>
        </w:tabs>
        <w:spacing w:before="106" w:line="292" w:lineRule="auto"/>
        <w:ind w:right="655" w:hanging="440"/>
        <w:rPr>
          <w:sz w:val="18"/>
        </w:rPr>
      </w:pPr>
      <w:r>
        <w:rPr>
          <w:sz w:val="18"/>
          <w:u w:val="single"/>
        </w:rPr>
        <w:t>Sustentabilidad</w:t>
      </w:r>
      <w:r>
        <w:rPr>
          <w:sz w:val="18"/>
        </w:rPr>
        <w:t xml:space="preserve">. La </w:t>
      </w:r>
      <w:r>
        <w:rPr>
          <w:spacing w:val="-3"/>
          <w:sz w:val="18"/>
        </w:rPr>
        <w:t xml:space="preserve">CONAVI </w:t>
      </w:r>
      <w:r>
        <w:rPr>
          <w:sz w:val="18"/>
        </w:rPr>
        <w:t>podrá otorgar subsidio hasta por la cantidad equivalente a 13 veces el valor de la UMA, por unidad</w:t>
      </w:r>
      <w:r>
        <w:rPr>
          <w:sz w:val="18"/>
        </w:rPr>
        <w:t xml:space="preserve"> de vivienda, para la aplicación de diseños e instalación de tecnologías que permitan la disminución de emisiones de bióxido de carbono, el ahorro de energía y el ahorro </w:t>
      </w:r>
      <w:r>
        <w:rPr>
          <w:spacing w:val="-17"/>
          <w:sz w:val="18"/>
        </w:rPr>
        <w:t>y</w:t>
      </w:r>
      <w:r>
        <w:rPr>
          <w:spacing w:val="16"/>
          <w:sz w:val="18"/>
        </w:rPr>
        <w:t xml:space="preserve"> </w:t>
      </w:r>
      <w:r>
        <w:rPr>
          <w:sz w:val="18"/>
        </w:rPr>
        <w:t xml:space="preserve">manejo adecuado del agua en la vivienda, así como la protección y cuidado del medio </w:t>
      </w:r>
      <w:r>
        <w:rPr>
          <w:sz w:val="18"/>
        </w:rPr>
        <w:t>ambiente. Estos diseños y tecnologías también contribuirán a reducir el riesgo de que la vivienda sufra daños por futuras contingencias y</w:t>
      </w:r>
      <w:r>
        <w:rPr>
          <w:spacing w:val="-1"/>
          <w:sz w:val="18"/>
        </w:rPr>
        <w:t xml:space="preserve"> </w:t>
      </w:r>
      <w:r>
        <w:rPr>
          <w:sz w:val="18"/>
        </w:rPr>
        <w:t>desastres.</w:t>
      </w:r>
    </w:p>
    <w:p w:rsidR="00A63476" w:rsidRDefault="00D22874">
      <w:pPr>
        <w:pStyle w:val="Ttulo2"/>
        <w:numPr>
          <w:ilvl w:val="0"/>
          <w:numId w:val="47"/>
        </w:numPr>
        <w:tabs>
          <w:tab w:val="left" w:pos="1219"/>
        </w:tabs>
        <w:jc w:val="both"/>
      </w:pPr>
      <w:r>
        <w:t>Adquisición de</w:t>
      </w:r>
      <w:r>
        <w:rPr>
          <w:spacing w:val="-2"/>
        </w:rPr>
        <w:t xml:space="preserve"> </w:t>
      </w:r>
      <w:r>
        <w:t>Vivienda</w:t>
      </w:r>
    </w:p>
    <w:p w:rsidR="00A63476" w:rsidRDefault="00D22874">
      <w:pPr>
        <w:pStyle w:val="Textoindependiente"/>
        <w:spacing w:before="133" w:line="292" w:lineRule="auto"/>
      </w:pPr>
      <w:r>
        <w:t xml:space="preserve">Esta modalidad corresponde a la adquisición de vivienda terminada, individual o en </w:t>
      </w:r>
      <w:r>
        <w:t>conjunto, realizada por terceros, en un proceso único de edificación, que cumpla con las necesidades de densidad, superficie construida, seguridad estructural, instalaciones, servicios, áreas de uso común, entre otros, establecidos por  la reglamentación l</w:t>
      </w:r>
      <w:r>
        <w:t>ocal correspondiente.</w:t>
      </w:r>
    </w:p>
    <w:p w:rsidR="00A63476" w:rsidRDefault="00D22874">
      <w:pPr>
        <w:pStyle w:val="Textoindependiente"/>
        <w:spacing w:before="110" w:line="290" w:lineRule="auto"/>
      </w:pPr>
      <w:r>
        <w:t>La vivienda podrá ser nueva o usada y deberá cumplir con el uso del suelo habitacional en las zonas urbanas, contar con servicios que garanticen condiciones de habitabilidad y no estar ubicada en sitios de riesgo.</w:t>
      </w:r>
    </w:p>
    <w:p w:rsidR="00A63476" w:rsidRDefault="00D22874">
      <w:pPr>
        <w:pStyle w:val="Textoindependiente"/>
        <w:spacing w:before="109"/>
        <w:ind w:left="800" w:right="0" w:firstLine="0"/>
      </w:pPr>
      <w:r>
        <w:t>Las líneas de apoyo aplicables son: Adquisición de vivienda nueva y Adquisición de vivienda usada.</w:t>
      </w:r>
    </w:p>
    <w:p w:rsidR="00A63476" w:rsidRDefault="00D22874">
      <w:pPr>
        <w:pStyle w:val="Prrafodelista"/>
        <w:numPr>
          <w:ilvl w:val="0"/>
          <w:numId w:val="49"/>
        </w:numPr>
        <w:tabs>
          <w:tab w:val="left" w:pos="1232"/>
        </w:tabs>
        <w:spacing w:before="133" w:line="292" w:lineRule="auto"/>
        <w:ind w:right="655" w:hanging="440"/>
        <w:rPr>
          <w:sz w:val="18"/>
        </w:rPr>
      </w:pPr>
      <w:r>
        <w:rPr>
          <w:sz w:val="18"/>
          <w:u w:val="single"/>
        </w:rPr>
        <w:t>Adquisición de Vivienda Nueva</w:t>
      </w:r>
      <w:r>
        <w:rPr>
          <w:sz w:val="18"/>
        </w:rPr>
        <w:t xml:space="preserve">. La </w:t>
      </w:r>
      <w:r>
        <w:rPr>
          <w:spacing w:val="-3"/>
          <w:sz w:val="18"/>
        </w:rPr>
        <w:t xml:space="preserve">CONAVI </w:t>
      </w:r>
      <w:r>
        <w:rPr>
          <w:sz w:val="18"/>
        </w:rPr>
        <w:t>podrá otorgar subsidio de hasta por la cantidad equivalente a 172 veces el valor de la UMA por unidad de vivienda, c</w:t>
      </w:r>
      <w:r>
        <w:rPr>
          <w:sz w:val="18"/>
        </w:rPr>
        <w:t>on el propósito de adquirir vivienda terminada, individual o en conjunto, ubicada fuera de zonas de riesgo, que nunca ha sido ocupada, realizada por terceros, en un proceso único de edificación, que cumpla con las necesidades de densidad, superficie constr</w:t>
      </w:r>
      <w:r>
        <w:rPr>
          <w:sz w:val="18"/>
        </w:rPr>
        <w:t>uida, seguridad estructural, instalaciones, servicios, áreas de uso común, entre otros, establecidos por la reglamentación local</w:t>
      </w:r>
      <w:r>
        <w:rPr>
          <w:spacing w:val="-3"/>
          <w:sz w:val="18"/>
        </w:rPr>
        <w:t xml:space="preserve"> </w:t>
      </w:r>
      <w:r>
        <w:rPr>
          <w:sz w:val="18"/>
        </w:rPr>
        <w:t>correspondiente;</w:t>
      </w:r>
    </w:p>
    <w:p w:rsidR="00A63476" w:rsidRDefault="00D22874">
      <w:pPr>
        <w:pStyle w:val="Prrafodelista"/>
        <w:numPr>
          <w:ilvl w:val="0"/>
          <w:numId w:val="49"/>
        </w:numPr>
        <w:tabs>
          <w:tab w:val="left" w:pos="1232"/>
        </w:tabs>
        <w:spacing w:before="104" w:line="292" w:lineRule="auto"/>
        <w:ind w:right="655" w:hanging="440"/>
        <w:rPr>
          <w:sz w:val="18"/>
        </w:rPr>
      </w:pPr>
      <w:r>
        <w:rPr>
          <w:sz w:val="18"/>
          <w:u w:val="single"/>
        </w:rPr>
        <w:t>Adquisición de Vivienda Usada</w:t>
      </w:r>
      <w:r>
        <w:rPr>
          <w:sz w:val="18"/>
        </w:rPr>
        <w:t xml:space="preserve">. La </w:t>
      </w:r>
      <w:r>
        <w:rPr>
          <w:spacing w:val="-3"/>
          <w:sz w:val="18"/>
        </w:rPr>
        <w:t xml:space="preserve">CONAVI </w:t>
      </w:r>
      <w:r>
        <w:rPr>
          <w:sz w:val="18"/>
        </w:rPr>
        <w:t xml:space="preserve">podrá otorgar subsidio de hasta por la cantidad equivalente a 143 veces el valor de la UMA por unidad de vivienda con el propósito de adquirir vivienda terminada, en segunda o posterior transmisión, individual o en conjunto, ubicada fuera </w:t>
      </w:r>
      <w:r>
        <w:rPr>
          <w:spacing w:val="-6"/>
          <w:sz w:val="18"/>
        </w:rPr>
        <w:t xml:space="preserve">de </w:t>
      </w:r>
      <w:r>
        <w:rPr>
          <w:sz w:val="18"/>
        </w:rPr>
        <w:t>zonas de riesg</w:t>
      </w:r>
      <w:r>
        <w:rPr>
          <w:sz w:val="18"/>
        </w:rPr>
        <w:t>o, realizada por terceros, que cumpla con las necesidades de densidad, superficie construida, seguridad estructural, instalaciones, servicios, áreas de uso común, entre otros, establecidos por la reglamentación local</w:t>
      </w:r>
      <w:r>
        <w:rPr>
          <w:spacing w:val="-1"/>
          <w:sz w:val="18"/>
        </w:rPr>
        <w:t xml:space="preserve"> </w:t>
      </w:r>
      <w:r>
        <w:rPr>
          <w:sz w:val="18"/>
        </w:rPr>
        <w:t>correspondiente.</w:t>
      </w:r>
    </w:p>
    <w:p w:rsidR="00A63476" w:rsidRDefault="00A63476">
      <w:pPr>
        <w:spacing w:line="292" w:lineRule="auto"/>
        <w:jc w:val="both"/>
        <w:rPr>
          <w:sz w:val="18"/>
        </w:rPr>
        <w:sectPr w:rsidR="00A63476">
          <w:pgSz w:w="12240" w:h="15840"/>
          <w:pgMar w:top="920" w:right="1040" w:bottom="280" w:left="1180" w:header="700" w:footer="0" w:gutter="0"/>
          <w:cols w:space="720"/>
        </w:sectPr>
      </w:pPr>
    </w:p>
    <w:p w:rsidR="00A63476" w:rsidRDefault="00A63476">
      <w:pPr>
        <w:pStyle w:val="Textoindependiente"/>
        <w:spacing w:before="8"/>
        <w:ind w:left="0" w:right="0" w:firstLine="0"/>
        <w:jc w:val="left"/>
        <w:rPr>
          <w:sz w:val="10"/>
        </w:rPr>
      </w:pPr>
    </w:p>
    <w:p w:rsidR="00A63476" w:rsidRDefault="00D22874">
      <w:pPr>
        <w:pStyle w:val="Ttulo1"/>
        <w:spacing w:before="95"/>
        <w:ind w:left="878" w:right="1002"/>
        <w:jc w:val="center"/>
      </w:pPr>
      <w:r>
        <w:t>Tabla 3</w:t>
      </w:r>
      <w:r>
        <w:t>. VIVIENDAS AFECTADAS POR FENÓMENOS NATURALES</w:t>
      </w:r>
    </w:p>
    <w:p w:rsidR="00A63476" w:rsidRDefault="00D22874">
      <w:pPr>
        <w:spacing w:before="113"/>
        <w:ind w:left="876" w:right="1002"/>
        <w:jc w:val="center"/>
        <w:rPr>
          <w:b/>
          <w:sz w:val="18"/>
        </w:rPr>
      </w:pPr>
      <w:r>
        <w:rPr>
          <w:b/>
          <w:sz w:val="18"/>
        </w:rPr>
        <w:t>Líneas de apoyo y montos de subsidio según modalidad de aplicación del subsidio</w:t>
      </w:r>
    </w:p>
    <w:p w:rsidR="00A63476" w:rsidRDefault="00A63476">
      <w:pPr>
        <w:pStyle w:val="Textoindependiente"/>
        <w:spacing w:before="1"/>
        <w:ind w:left="0" w:right="0" w:firstLine="0"/>
        <w:jc w:val="left"/>
        <w:rPr>
          <w:b/>
          <w:sz w:val="11"/>
        </w:rPr>
      </w:pPr>
    </w:p>
    <w:tbl>
      <w:tblPr>
        <w:tblStyle w:val="TableNormal"/>
        <w:tblW w:w="0" w:type="auto"/>
        <w:tblInd w:w="1703" w:type="dxa"/>
        <w:tblBorders>
          <w:top w:val="single" w:sz="6" w:space="0" w:color="404040"/>
          <w:left w:val="single" w:sz="6" w:space="0" w:color="404040"/>
          <w:bottom w:val="single" w:sz="6" w:space="0" w:color="404040"/>
          <w:right w:val="single" w:sz="6" w:space="0" w:color="404040"/>
          <w:insideH w:val="single" w:sz="6" w:space="0" w:color="404040"/>
          <w:insideV w:val="single" w:sz="6" w:space="0" w:color="404040"/>
        </w:tblBorders>
        <w:tblLayout w:type="fixed"/>
        <w:tblLook w:val="01E0" w:firstRow="1" w:lastRow="1" w:firstColumn="1" w:lastColumn="1" w:noHBand="0" w:noVBand="0"/>
      </w:tblPr>
      <w:tblGrid>
        <w:gridCol w:w="2478"/>
        <w:gridCol w:w="1648"/>
        <w:gridCol w:w="554"/>
        <w:gridCol w:w="692"/>
        <w:gridCol w:w="554"/>
        <w:gridCol w:w="554"/>
      </w:tblGrid>
      <w:tr w:rsidR="00A63476">
        <w:trPr>
          <w:trHeight w:val="258"/>
        </w:trPr>
        <w:tc>
          <w:tcPr>
            <w:tcW w:w="2478" w:type="dxa"/>
            <w:tcBorders>
              <w:bottom w:val="nil"/>
            </w:tcBorders>
          </w:tcPr>
          <w:p w:rsidR="00A63476" w:rsidRDefault="00A63476">
            <w:pPr>
              <w:pStyle w:val="TableParagraph"/>
              <w:rPr>
                <w:rFonts w:ascii="Times New Roman"/>
                <w:sz w:val="16"/>
              </w:rPr>
            </w:pPr>
          </w:p>
        </w:tc>
        <w:tc>
          <w:tcPr>
            <w:tcW w:w="1648" w:type="dxa"/>
            <w:tcBorders>
              <w:bottom w:val="nil"/>
              <w:right w:val="single" w:sz="12" w:space="0" w:color="000000"/>
            </w:tcBorders>
          </w:tcPr>
          <w:p w:rsidR="00A63476" w:rsidRDefault="00A63476">
            <w:pPr>
              <w:pStyle w:val="TableParagraph"/>
              <w:rPr>
                <w:rFonts w:ascii="Times New Roman"/>
                <w:sz w:val="16"/>
              </w:rPr>
            </w:pPr>
          </w:p>
        </w:tc>
        <w:tc>
          <w:tcPr>
            <w:tcW w:w="2354" w:type="dxa"/>
            <w:gridSpan w:val="4"/>
            <w:tcBorders>
              <w:top w:val="single" w:sz="12" w:space="0" w:color="000000"/>
              <w:left w:val="single" w:sz="12" w:space="0" w:color="000000"/>
              <w:bottom w:val="nil"/>
              <w:right w:val="single" w:sz="12" w:space="0" w:color="000000"/>
            </w:tcBorders>
          </w:tcPr>
          <w:p w:rsidR="00A63476" w:rsidRDefault="00D22874">
            <w:pPr>
              <w:pStyle w:val="TableParagraph"/>
              <w:spacing w:before="74" w:line="165" w:lineRule="exact"/>
              <w:ind w:left="90"/>
              <w:rPr>
                <w:sz w:val="16"/>
              </w:rPr>
            </w:pPr>
            <w:r>
              <w:rPr>
                <w:sz w:val="16"/>
              </w:rPr>
              <w:t>Modalidades de aplicación del</w:t>
            </w:r>
          </w:p>
        </w:tc>
      </w:tr>
      <w:tr w:rsidR="00A63476">
        <w:trPr>
          <w:trHeight w:val="256"/>
        </w:trPr>
        <w:tc>
          <w:tcPr>
            <w:tcW w:w="2478" w:type="dxa"/>
            <w:tcBorders>
              <w:top w:val="nil"/>
              <w:bottom w:val="nil"/>
            </w:tcBorders>
          </w:tcPr>
          <w:p w:rsidR="00A63476" w:rsidRDefault="00A63476">
            <w:pPr>
              <w:pStyle w:val="TableParagraph"/>
              <w:rPr>
                <w:rFonts w:ascii="Times New Roman"/>
                <w:sz w:val="16"/>
              </w:rPr>
            </w:pPr>
          </w:p>
        </w:tc>
        <w:tc>
          <w:tcPr>
            <w:tcW w:w="1648" w:type="dxa"/>
            <w:tcBorders>
              <w:top w:val="nil"/>
              <w:bottom w:val="nil"/>
              <w:right w:val="single" w:sz="12" w:space="0" w:color="000000"/>
            </w:tcBorders>
          </w:tcPr>
          <w:p w:rsidR="00A63476" w:rsidRDefault="00A63476">
            <w:pPr>
              <w:pStyle w:val="TableParagraph"/>
              <w:rPr>
                <w:rFonts w:ascii="Times New Roman"/>
                <w:sz w:val="16"/>
              </w:rPr>
            </w:pPr>
          </w:p>
        </w:tc>
        <w:tc>
          <w:tcPr>
            <w:tcW w:w="2354" w:type="dxa"/>
            <w:gridSpan w:val="4"/>
            <w:tcBorders>
              <w:top w:val="nil"/>
              <w:left w:val="single" w:sz="12" w:space="0" w:color="000000"/>
              <w:right w:val="single" w:sz="12" w:space="0" w:color="000000"/>
            </w:tcBorders>
          </w:tcPr>
          <w:p w:rsidR="00A63476" w:rsidRDefault="00D22874">
            <w:pPr>
              <w:pStyle w:val="TableParagraph"/>
              <w:spacing w:line="179" w:lineRule="exact"/>
              <w:ind w:left="849" w:right="846"/>
              <w:jc w:val="center"/>
              <w:rPr>
                <w:sz w:val="16"/>
              </w:rPr>
            </w:pPr>
            <w:r>
              <w:rPr>
                <w:sz w:val="16"/>
              </w:rPr>
              <w:t>subsidio</w:t>
            </w:r>
          </w:p>
        </w:tc>
      </w:tr>
      <w:tr w:rsidR="00A63476">
        <w:trPr>
          <w:trHeight w:val="241"/>
        </w:trPr>
        <w:tc>
          <w:tcPr>
            <w:tcW w:w="2478" w:type="dxa"/>
            <w:tcBorders>
              <w:top w:val="nil"/>
              <w:bottom w:val="nil"/>
            </w:tcBorders>
          </w:tcPr>
          <w:p w:rsidR="00A63476" w:rsidRDefault="00A63476">
            <w:pPr>
              <w:pStyle w:val="TableParagraph"/>
              <w:rPr>
                <w:rFonts w:ascii="Times New Roman"/>
                <w:sz w:val="16"/>
              </w:rPr>
            </w:pPr>
          </w:p>
        </w:tc>
        <w:tc>
          <w:tcPr>
            <w:tcW w:w="1648" w:type="dxa"/>
            <w:tcBorders>
              <w:top w:val="nil"/>
              <w:bottom w:val="nil"/>
              <w:right w:val="single" w:sz="12" w:space="0" w:color="000000"/>
            </w:tcBorders>
          </w:tcPr>
          <w:p w:rsidR="00A63476" w:rsidRDefault="00A63476">
            <w:pPr>
              <w:pStyle w:val="TableParagraph"/>
              <w:rPr>
                <w:rFonts w:ascii="Times New Roman"/>
                <w:sz w:val="16"/>
              </w:rPr>
            </w:pPr>
          </w:p>
        </w:tc>
        <w:tc>
          <w:tcPr>
            <w:tcW w:w="554" w:type="dxa"/>
            <w:tcBorders>
              <w:left w:val="single" w:sz="12" w:space="0" w:color="000000"/>
              <w:bottom w:val="nil"/>
            </w:tcBorders>
          </w:tcPr>
          <w:p w:rsidR="00A63476" w:rsidRDefault="00A63476">
            <w:pPr>
              <w:pStyle w:val="TableParagraph"/>
              <w:rPr>
                <w:rFonts w:ascii="Times New Roman"/>
                <w:sz w:val="16"/>
              </w:rPr>
            </w:pPr>
          </w:p>
        </w:tc>
        <w:tc>
          <w:tcPr>
            <w:tcW w:w="692" w:type="dxa"/>
            <w:tcBorders>
              <w:bottom w:val="nil"/>
            </w:tcBorders>
          </w:tcPr>
          <w:p w:rsidR="00A63476" w:rsidRDefault="00D22874">
            <w:pPr>
              <w:pStyle w:val="TableParagraph"/>
              <w:spacing w:before="64" w:line="157" w:lineRule="exact"/>
              <w:ind w:left="163" w:right="91"/>
              <w:jc w:val="center"/>
              <w:rPr>
                <w:sz w:val="16"/>
              </w:rPr>
            </w:pPr>
            <w:r>
              <w:rPr>
                <w:sz w:val="16"/>
              </w:rPr>
              <w:t>VIVI</w:t>
            </w:r>
          </w:p>
        </w:tc>
        <w:tc>
          <w:tcPr>
            <w:tcW w:w="554" w:type="dxa"/>
            <w:vMerge w:val="restart"/>
          </w:tcPr>
          <w:p w:rsidR="00A63476" w:rsidRDefault="00A63476">
            <w:pPr>
              <w:pStyle w:val="TableParagraph"/>
              <w:rPr>
                <w:b/>
                <w:sz w:val="18"/>
              </w:rPr>
            </w:pPr>
          </w:p>
          <w:p w:rsidR="00A63476" w:rsidRDefault="00A63476">
            <w:pPr>
              <w:pStyle w:val="TableParagraph"/>
              <w:rPr>
                <w:b/>
                <w:sz w:val="18"/>
              </w:rPr>
            </w:pPr>
          </w:p>
          <w:p w:rsidR="00A63476" w:rsidRDefault="00A63476">
            <w:pPr>
              <w:pStyle w:val="TableParagraph"/>
              <w:spacing w:before="5"/>
              <w:rPr>
                <w:b/>
                <w:sz w:val="25"/>
              </w:rPr>
            </w:pPr>
          </w:p>
          <w:p w:rsidR="00A63476" w:rsidRDefault="00D22874">
            <w:pPr>
              <w:pStyle w:val="TableParagraph"/>
              <w:spacing w:line="235" w:lineRule="auto"/>
              <w:ind w:left="112" w:right="79"/>
              <w:jc w:val="center"/>
              <w:rPr>
                <w:sz w:val="16"/>
              </w:rPr>
            </w:pPr>
            <w:r>
              <w:rPr>
                <w:sz w:val="16"/>
              </w:rPr>
              <w:t>ADQ UISI CIÓ N DE VIVI END A</w:t>
            </w:r>
          </w:p>
        </w:tc>
        <w:tc>
          <w:tcPr>
            <w:tcW w:w="554" w:type="dxa"/>
            <w:tcBorders>
              <w:bottom w:val="nil"/>
              <w:right w:val="single" w:sz="12" w:space="0" w:color="000000"/>
            </w:tcBorders>
          </w:tcPr>
          <w:p w:rsidR="00A63476" w:rsidRDefault="00A63476">
            <w:pPr>
              <w:pStyle w:val="TableParagraph"/>
              <w:rPr>
                <w:rFonts w:ascii="Times New Roman"/>
                <w:sz w:val="16"/>
              </w:rPr>
            </w:pPr>
          </w:p>
        </w:tc>
      </w:tr>
      <w:tr w:rsidR="00A63476">
        <w:trPr>
          <w:trHeight w:val="165"/>
        </w:trPr>
        <w:tc>
          <w:tcPr>
            <w:tcW w:w="2478" w:type="dxa"/>
            <w:tcBorders>
              <w:top w:val="nil"/>
              <w:bottom w:val="nil"/>
            </w:tcBorders>
          </w:tcPr>
          <w:p w:rsidR="00A63476" w:rsidRDefault="00A63476">
            <w:pPr>
              <w:pStyle w:val="TableParagraph"/>
              <w:rPr>
                <w:rFonts w:ascii="Times New Roman"/>
                <w:sz w:val="10"/>
              </w:rPr>
            </w:pPr>
          </w:p>
        </w:tc>
        <w:tc>
          <w:tcPr>
            <w:tcW w:w="1648" w:type="dxa"/>
            <w:tcBorders>
              <w:top w:val="nil"/>
              <w:bottom w:val="nil"/>
              <w:right w:val="single" w:sz="12" w:space="0" w:color="000000"/>
            </w:tcBorders>
          </w:tcPr>
          <w:p w:rsidR="00A63476" w:rsidRDefault="00A63476">
            <w:pPr>
              <w:pStyle w:val="TableParagraph"/>
              <w:rPr>
                <w:rFonts w:ascii="Times New Roman"/>
                <w:sz w:val="10"/>
              </w:rPr>
            </w:pPr>
          </w:p>
        </w:tc>
        <w:tc>
          <w:tcPr>
            <w:tcW w:w="554" w:type="dxa"/>
            <w:tcBorders>
              <w:top w:val="nil"/>
              <w:left w:val="single" w:sz="12" w:space="0" w:color="000000"/>
              <w:bottom w:val="nil"/>
            </w:tcBorders>
          </w:tcPr>
          <w:p w:rsidR="00A63476" w:rsidRDefault="00A63476">
            <w:pPr>
              <w:pStyle w:val="TableParagraph"/>
              <w:rPr>
                <w:rFonts w:ascii="Times New Roman"/>
                <w:sz w:val="10"/>
              </w:rPr>
            </w:pPr>
          </w:p>
        </w:tc>
        <w:tc>
          <w:tcPr>
            <w:tcW w:w="692" w:type="dxa"/>
            <w:tcBorders>
              <w:top w:val="nil"/>
              <w:bottom w:val="nil"/>
            </w:tcBorders>
          </w:tcPr>
          <w:p w:rsidR="00A63476" w:rsidRDefault="00D22874">
            <w:pPr>
              <w:pStyle w:val="TableParagraph"/>
              <w:spacing w:line="145" w:lineRule="exact"/>
              <w:ind w:left="159" w:right="91"/>
              <w:jc w:val="center"/>
              <w:rPr>
                <w:sz w:val="16"/>
              </w:rPr>
            </w:pPr>
            <w:r>
              <w:rPr>
                <w:sz w:val="16"/>
              </w:rPr>
              <w:t>END</w:t>
            </w:r>
          </w:p>
        </w:tc>
        <w:tc>
          <w:tcPr>
            <w:tcW w:w="554" w:type="dxa"/>
            <w:vMerge/>
            <w:tcBorders>
              <w:top w:val="nil"/>
            </w:tcBorders>
          </w:tcPr>
          <w:p w:rsidR="00A63476" w:rsidRDefault="00A63476">
            <w:pPr>
              <w:rPr>
                <w:sz w:val="2"/>
                <w:szCs w:val="2"/>
              </w:rPr>
            </w:pPr>
          </w:p>
        </w:tc>
        <w:tc>
          <w:tcPr>
            <w:tcW w:w="554" w:type="dxa"/>
            <w:tcBorders>
              <w:top w:val="nil"/>
              <w:bottom w:val="nil"/>
              <w:right w:val="single" w:sz="12" w:space="0" w:color="000000"/>
            </w:tcBorders>
          </w:tcPr>
          <w:p w:rsidR="00A63476" w:rsidRDefault="00A63476">
            <w:pPr>
              <w:pStyle w:val="TableParagraph"/>
              <w:rPr>
                <w:rFonts w:ascii="Times New Roman"/>
                <w:sz w:val="10"/>
              </w:rPr>
            </w:pPr>
          </w:p>
        </w:tc>
      </w:tr>
      <w:tr w:rsidR="00A63476">
        <w:trPr>
          <w:trHeight w:val="165"/>
        </w:trPr>
        <w:tc>
          <w:tcPr>
            <w:tcW w:w="2478" w:type="dxa"/>
            <w:tcBorders>
              <w:top w:val="nil"/>
              <w:bottom w:val="nil"/>
            </w:tcBorders>
          </w:tcPr>
          <w:p w:rsidR="00A63476" w:rsidRDefault="00A63476">
            <w:pPr>
              <w:pStyle w:val="TableParagraph"/>
              <w:rPr>
                <w:rFonts w:ascii="Times New Roman"/>
                <w:sz w:val="10"/>
              </w:rPr>
            </w:pPr>
          </w:p>
        </w:tc>
        <w:tc>
          <w:tcPr>
            <w:tcW w:w="1648" w:type="dxa"/>
            <w:tcBorders>
              <w:top w:val="nil"/>
              <w:bottom w:val="nil"/>
              <w:right w:val="single" w:sz="12" w:space="0" w:color="000000"/>
            </w:tcBorders>
          </w:tcPr>
          <w:p w:rsidR="00A63476" w:rsidRDefault="00A63476">
            <w:pPr>
              <w:pStyle w:val="TableParagraph"/>
              <w:rPr>
                <w:rFonts w:ascii="Times New Roman"/>
                <w:sz w:val="10"/>
              </w:rPr>
            </w:pPr>
          </w:p>
        </w:tc>
        <w:tc>
          <w:tcPr>
            <w:tcW w:w="554" w:type="dxa"/>
            <w:tcBorders>
              <w:top w:val="nil"/>
              <w:left w:val="single" w:sz="12" w:space="0" w:color="000000"/>
              <w:bottom w:val="nil"/>
            </w:tcBorders>
          </w:tcPr>
          <w:p w:rsidR="00A63476" w:rsidRDefault="00D22874">
            <w:pPr>
              <w:pStyle w:val="TableParagraph"/>
              <w:spacing w:line="145" w:lineRule="exact"/>
              <w:ind w:left="71" w:right="40"/>
              <w:jc w:val="center"/>
              <w:rPr>
                <w:sz w:val="16"/>
              </w:rPr>
            </w:pPr>
            <w:r>
              <w:rPr>
                <w:sz w:val="16"/>
              </w:rPr>
              <w:t>VIVI</w:t>
            </w:r>
          </w:p>
        </w:tc>
        <w:tc>
          <w:tcPr>
            <w:tcW w:w="692" w:type="dxa"/>
            <w:tcBorders>
              <w:top w:val="nil"/>
              <w:bottom w:val="nil"/>
            </w:tcBorders>
          </w:tcPr>
          <w:p w:rsidR="00A63476" w:rsidRDefault="00D22874">
            <w:pPr>
              <w:pStyle w:val="TableParagraph"/>
              <w:spacing w:line="145" w:lineRule="exact"/>
              <w:ind w:left="77"/>
              <w:jc w:val="center"/>
              <w:rPr>
                <w:sz w:val="16"/>
              </w:rPr>
            </w:pPr>
            <w:r>
              <w:rPr>
                <w:sz w:val="16"/>
              </w:rPr>
              <w:t>A</w:t>
            </w:r>
          </w:p>
        </w:tc>
        <w:tc>
          <w:tcPr>
            <w:tcW w:w="554" w:type="dxa"/>
            <w:vMerge/>
            <w:tcBorders>
              <w:top w:val="nil"/>
            </w:tcBorders>
          </w:tcPr>
          <w:p w:rsidR="00A63476" w:rsidRDefault="00A63476">
            <w:pPr>
              <w:rPr>
                <w:sz w:val="2"/>
                <w:szCs w:val="2"/>
              </w:rPr>
            </w:pPr>
          </w:p>
        </w:tc>
        <w:tc>
          <w:tcPr>
            <w:tcW w:w="554" w:type="dxa"/>
            <w:tcBorders>
              <w:top w:val="nil"/>
              <w:bottom w:val="nil"/>
              <w:right w:val="single" w:sz="12" w:space="0" w:color="000000"/>
            </w:tcBorders>
          </w:tcPr>
          <w:p w:rsidR="00A63476" w:rsidRDefault="00D22874">
            <w:pPr>
              <w:pStyle w:val="TableParagraph"/>
              <w:spacing w:line="145" w:lineRule="exact"/>
              <w:ind w:left="66" w:right="43"/>
              <w:jc w:val="center"/>
              <w:rPr>
                <w:sz w:val="16"/>
              </w:rPr>
            </w:pPr>
            <w:r>
              <w:rPr>
                <w:sz w:val="16"/>
              </w:rPr>
              <w:t>MEJ</w:t>
            </w:r>
          </w:p>
        </w:tc>
      </w:tr>
      <w:tr w:rsidR="00A63476">
        <w:trPr>
          <w:trHeight w:val="165"/>
        </w:trPr>
        <w:tc>
          <w:tcPr>
            <w:tcW w:w="2478" w:type="dxa"/>
            <w:tcBorders>
              <w:top w:val="nil"/>
              <w:bottom w:val="nil"/>
            </w:tcBorders>
          </w:tcPr>
          <w:p w:rsidR="00A63476" w:rsidRDefault="00A63476">
            <w:pPr>
              <w:pStyle w:val="TableParagraph"/>
              <w:rPr>
                <w:rFonts w:ascii="Times New Roman"/>
                <w:sz w:val="10"/>
              </w:rPr>
            </w:pPr>
          </w:p>
        </w:tc>
        <w:tc>
          <w:tcPr>
            <w:tcW w:w="1648" w:type="dxa"/>
            <w:tcBorders>
              <w:top w:val="nil"/>
              <w:bottom w:val="nil"/>
              <w:right w:val="single" w:sz="12" w:space="0" w:color="000000"/>
            </w:tcBorders>
          </w:tcPr>
          <w:p w:rsidR="00A63476" w:rsidRDefault="00A63476">
            <w:pPr>
              <w:pStyle w:val="TableParagraph"/>
              <w:rPr>
                <w:rFonts w:ascii="Times New Roman"/>
                <w:sz w:val="10"/>
              </w:rPr>
            </w:pPr>
          </w:p>
        </w:tc>
        <w:tc>
          <w:tcPr>
            <w:tcW w:w="554" w:type="dxa"/>
            <w:tcBorders>
              <w:top w:val="nil"/>
              <w:left w:val="single" w:sz="12" w:space="0" w:color="000000"/>
              <w:bottom w:val="nil"/>
            </w:tcBorders>
          </w:tcPr>
          <w:p w:rsidR="00A63476" w:rsidRDefault="00D22874">
            <w:pPr>
              <w:pStyle w:val="TableParagraph"/>
              <w:spacing w:line="145" w:lineRule="exact"/>
              <w:ind w:left="69" w:right="43"/>
              <w:jc w:val="center"/>
              <w:rPr>
                <w:sz w:val="16"/>
              </w:rPr>
            </w:pPr>
            <w:r>
              <w:rPr>
                <w:sz w:val="16"/>
              </w:rPr>
              <w:t>END</w:t>
            </w:r>
          </w:p>
        </w:tc>
        <w:tc>
          <w:tcPr>
            <w:tcW w:w="692" w:type="dxa"/>
            <w:tcBorders>
              <w:top w:val="nil"/>
              <w:bottom w:val="nil"/>
            </w:tcBorders>
          </w:tcPr>
          <w:p w:rsidR="00A63476" w:rsidRDefault="00D22874">
            <w:pPr>
              <w:pStyle w:val="TableParagraph"/>
              <w:spacing w:line="145" w:lineRule="exact"/>
              <w:ind w:left="163" w:right="91"/>
              <w:jc w:val="center"/>
              <w:rPr>
                <w:sz w:val="16"/>
              </w:rPr>
            </w:pPr>
            <w:r>
              <w:rPr>
                <w:sz w:val="16"/>
              </w:rPr>
              <w:t>EN</w:t>
            </w:r>
          </w:p>
        </w:tc>
        <w:tc>
          <w:tcPr>
            <w:tcW w:w="554" w:type="dxa"/>
            <w:vMerge/>
            <w:tcBorders>
              <w:top w:val="nil"/>
            </w:tcBorders>
          </w:tcPr>
          <w:p w:rsidR="00A63476" w:rsidRDefault="00A63476">
            <w:pPr>
              <w:rPr>
                <w:sz w:val="2"/>
                <w:szCs w:val="2"/>
              </w:rPr>
            </w:pPr>
          </w:p>
        </w:tc>
        <w:tc>
          <w:tcPr>
            <w:tcW w:w="554" w:type="dxa"/>
            <w:tcBorders>
              <w:top w:val="nil"/>
              <w:bottom w:val="nil"/>
              <w:right w:val="single" w:sz="12" w:space="0" w:color="000000"/>
            </w:tcBorders>
          </w:tcPr>
          <w:p w:rsidR="00A63476" w:rsidRDefault="00D22874">
            <w:pPr>
              <w:pStyle w:val="TableParagraph"/>
              <w:spacing w:line="145" w:lineRule="exact"/>
              <w:ind w:left="53" w:right="43"/>
              <w:jc w:val="center"/>
              <w:rPr>
                <w:sz w:val="16"/>
              </w:rPr>
            </w:pPr>
            <w:r>
              <w:rPr>
                <w:sz w:val="16"/>
              </w:rPr>
              <w:t>ORA</w:t>
            </w:r>
          </w:p>
        </w:tc>
      </w:tr>
      <w:tr w:rsidR="00A63476">
        <w:trPr>
          <w:trHeight w:val="165"/>
        </w:trPr>
        <w:tc>
          <w:tcPr>
            <w:tcW w:w="2478" w:type="dxa"/>
            <w:tcBorders>
              <w:top w:val="nil"/>
              <w:bottom w:val="nil"/>
            </w:tcBorders>
          </w:tcPr>
          <w:p w:rsidR="00A63476" w:rsidRDefault="00A63476">
            <w:pPr>
              <w:pStyle w:val="TableParagraph"/>
              <w:rPr>
                <w:rFonts w:ascii="Times New Roman"/>
                <w:sz w:val="10"/>
              </w:rPr>
            </w:pPr>
          </w:p>
        </w:tc>
        <w:tc>
          <w:tcPr>
            <w:tcW w:w="1648" w:type="dxa"/>
            <w:tcBorders>
              <w:top w:val="nil"/>
              <w:bottom w:val="nil"/>
              <w:right w:val="single" w:sz="12" w:space="0" w:color="000000"/>
            </w:tcBorders>
          </w:tcPr>
          <w:p w:rsidR="00A63476" w:rsidRDefault="00D22874">
            <w:pPr>
              <w:pStyle w:val="TableParagraph"/>
              <w:spacing w:line="145" w:lineRule="exact"/>
              <w:ind w:left="82" w:right="52"/>
              <w:jc w:val="center"/>
              <w:rPr>
                <w:b/>
                <w:sz w:val="16"/>
              </w:rPr>
            </w:pPr>
            <w:r>
              <w:rPr>
                <w:b/>
                <w:sz w:val="16"/>
              </w:rPr>
              <w:t>Monto máximo del</w:t>
            </w:r>
          </w:p>
        </w:tc>
        <w:tc>
          <w:tcPr>
            <w:tcW w:w="554" w:type="dxa"/>
            <w:tcBorders>
              <w:top w:val="nil"/>
              <w:left w:val="single" w:sz="12" w:space="0" w:color="000000"/>
              <w:bottom w:val="nil"/>
            </w:tcBorders>
          </w:tcPr>
          <w:p w:rsidR="00A63476" w:rsidRDefault="00D22874">
            <w:pPr>
              <w:pStyle w:val="TableParagraph"/>
              <w:spacing w:line="145" w:lineRule="exact"/>
              <w:ind w:left="35"/>
              <w:jc w:val="center"/>
              <w:rPr>
                <w:sz w:val="16"/>
              </w:rPr>
            </w:pPr>
            <w:r>
              <w:rPr>
                <w:sz w:val="16"/>
              </w:rPr>
              <w:t>A</w:t>
            </w:r>
          </w:p>
        </w:tc>
        <w:tc>
          <w:tcPr>
            <w:tcW w:w="692" w:type="dxa"/>
            <w:tcBorders>
              <w:top w:val="nil"/>
              <w:bottom w:val="nil"/>
            </w:tcBorders>
          </w:tcPr>
          <w:p w:rsidR="00A63476" w:rsidRDefault="00D22874">
            <w:pPr>
              <w:pStyle w:val="TableParagraph"/>
              <w:spacing w:line="145" w:lineRule="exact"/>
              <w:ind w:left="180" w:right="90"/>
              <w:jc w:val="center"/>
              <w:rPr>
                <w:sz w:val="16"/>
              </w:rPr>
            </w:pPr>
            <w:r>
              <w:rPr>
                <w:sz w:val="16"/>
              </w:rPr>
              <w:t>ESP</w:t>
            </w:r>
          </w:p>
        </w:tc>
        <w:tc>
          <w:tcPr>
            <w:tcW w:w="554" w:type="dxa"/>
            <w:vMerge/>
            <w:tcBorders>
              <w:top w:val="nil"/>
            </w:tcBorders>
          </w:tcPr>
          <w:p w:rsidR="00A63476" w:rsidRDefault="00A63476">
            <w:pPr>
              <w:rPr>
                <w:sz w:val="2"/>
                <w:szCs w:val="2"/>
              </w:rPr>
            </w:pPr>
          </w:p>
        </w:tc>
        <w:tc>
          <w:tcPr>
            <w:tcW w:w="554" w:type="dxa"/>
            <w:tcBorders>
              <w:top w:val="nil"/>
              <w:bottom w:val="nil"/>
              <w:right w:val="single" w:sz="12" w:space="0" w:color="000000"/>
            </w:tcBorders>
          </w:tcPr>
          <w:p w:rsidR="00A63476" w:rsidRDefault="00D22874">
            <w:pPr>
              <w:pStyle w:val="TableParagraph"/>
              <w:spacing w:line="145" w:lineRule="exact"/>
              <w:ind w:left="71" w:right="43"/>
              <w:jc w:val="center"/>
              <w:rPr>
                <w:sz w:val="16"/>
              </w:rPr>
            </w:pPr>
            <w:r>
              <w:rPr>
                <w:sz w:val="16"/>
              </w:rPr>
              <w:t>MIE</w:t>
            </w:r>
          </w:p>
        </w:tc>
      </w:tr>
      <w:tr w:rsidR="00A63476">
        <w:trPr>
          <w:trHeight w:val="345"/>
        </w:trPr>
        <w:tc>
          <w:tcPr>
            <w:tcW w:w="2478" w:type="dxa"/>
            <w:tcBorders>
              <w:top w:val="nil"/>
              <w:bottom w:val="nil"/>
            </w:tcBorders>
          </w:tcPr>
          <w:p w:rsidR="00A63476" w:rsidRDefault="00D22874">
            <w:pPr>
              <w:pStyle w:val="TableParagraph"/>
              <w:spacing w:before="88"/>
              <w:ind w:left="603"/>
              <w:rPr>
                <w:b/>
                <w:sz w:val="16"/>
              </w:rPr>
            </w:pPr>
            <w:r>
              <w:rPr>
                <w:b/>
                <w:sz w:val="16"/>
              </w:rPr>
              <w:t>Líneas de Apoyo</w:t>
            </w:r>
          </w:p>
        </w:tc>
        <w:tc>
          <w:tcPr>
            <w:tcW w:w="1648" w:type="dxa"/>
            <w:tcBorders>
              <w:top w:val="nil"/>
              <w:bottom w:val="nil"/>
              <w:right w:val="single" w:sz="12" w:space="0" w:color="000000"/>
            </w:tcBorders>
          </w:tcPr>
          <w:p w:rsidR="00A63476" w:rsidRDefault="00D22874">
            <w:pPr>
              <w:pStyle w:val="TableParagraph"/>
              <w:spacing w:line="170" w:lineRule="exact"/>
              <w:ind w:left="77" w:right="75"/>
              <w:jc w:val="center"/>
              <w:rPr>
                <w:b/>
                <w:sz w:val="16"/>
              </w:rPr>
            </w:pPr>
            <w:r>
              <w:rPr>
                <w:b/>
                <w:sz w:val="16"/>
              </w:rPr>
              <w:t>subsidio (UMA por</w:t>
            </w:r>
          </w:p>
          <w:p w:rsidR="00A63476" w:rsidRDefault="00D22874">
            <w:pPr>
              <w:pStyle w:val="TableParagraph"/>
              <w:spacing w:line="155" w:lineRule="exact"/>
              <w:ind w:left="82" w:right="61"/>
              <w:jc w:val="center"/>
              <w:rPr>
                <w:b/>
                <w:sz w:val="16"/>
              </w:rPr>
            </w:pPr>
            <w:r>
              <w:rPr>
                <w:b/>
                <w:sz w:val="16"/>
              </w:rPr>
              <w:t>unidad de</w:t>
            </w:r>
          </w:p>
        </w:tc>
        <w:tc>
          <w:tcPr>
            <w:tcW w:w="554" w:type="dxa"/>
            <w:tcBorders>
              <w:top w:val="nil"/>
              <w:left w:val="single" w:sz="12" w:space="0" w:color="000000"/>
              <w:bottom w:val="nil"/>
            </w:tcBorders>
          </w:tcPr>
          <w:p w:rsidR="00A63476" w:rsidRDefault="00D22874">
            <w:pPr>
              <w:pStyle w:val="TableParagraph"/>
              <w:spacing w:line="170" w:lineRule="exact"/>
              <w:ind w:left="170"/>
              <w:rPr>
                <w:sz w:val="16"/>
              </w:rPr>
            </w:pPr>
            <w:r>
              <w:rPr>
                <w:sz w:val="16"/>
              </w:rPr>
              <w:t>EN</w:t>
            </w:r>
          </w:p>
          <w:p w:rsidR="00A63476" w:rsidRDefault="00D22874">
            <w:pPr>
              <w:pStyle w:val="TableParagraph"/>
              <w:spacing w:line="155" w:lineRule="exact"/>
              <w:ind w:left="110"/>
              <w:rPr>
                <w:sz w:val="16"/>
              </w:rPr>
            </w:pPr>
            <w:r>
              <w:rPr>
                <w:sz w:val="16"/>
              </w:rPr>
              <w:t>CON</w:t>
            </w:r>
          </w:p>
        </w:tc>
        <w:tc>
          <w:tcPr>
            <w:tcW w:w="692" w:type="dxa"/>
            <w:tcBorders>
              <w:top w:val="nil"/>
              <w:bottom w:val="nil"/>
            </w:tcBorders>
          </w:tcPr>
          <w:p w:rsidR="00A63476" w:rsidRDefault="00D22874">
            <w:pPr>
              <w:pStyle w:val="TableParagraph"/>
              <w:spacing w:line="170" w:lineRule="exact"/>
              <w:ind w:left="168" w:right="91"/>
              <w:jc w:val="center"/>
              <w:rPr>
                <w:sz w:val="16"/>
              </w:rPr>
            </w:pPr>
            <w:r>
              <w:rPr>
                <w:sz w:val="16"/>
              </w:rPr>
              <w:t>ACI</w:t>
            </w:r>
          </w:p>
          <w:p w:rsidR="00A63476" w:rsidRDefault="00D22874">
            <w:pPr>
              <w:pStyle w:val="TableParagraph"/>
              <w:spacing w:line="155" w:lineRule="exact"/>
              <w:ind w:left="94"/>
              <w:jc w:val="center"/>
              <w:rPr>
                <w:sz w:val="16"/>
              </w:rPr>
            </w:pPr>
            <w:r>
              <w:rPr>
                <w:sz w:val="16"/>
              </w:rPr>
              <w:t>O</w:t>
            </w:r>
          </w:p>
        </w:tc>
        <w:tc>
          <w:tcPr>
            <w:tcW w:w="554" w:type="dxa"/>
            <w:vMerge/>
            <w:tcBorders>
              <w:top w:val="nil"/>
            </w:tcBorders>
          </w:tcPr>
          <w:p w:rsidR="00A63476" w:rsidRDefault="00A63476">
            <w:pPr>
              <w:rPr>
                <w:sz w:val="2"/>
                <w:szCs w:val="2"/>
              </w:rPr>
            </w:pPr>
          </w:p>
        </w:tc>
        <w:tc>
          <w:tcPr>
            <w:tcW w:w="554" w:type="dxa"/>
            <w:tcBorders>
              <w:top w:val="nil"/>
              <w:bottom w:val="nil"/>
              <w:right w:val="single" w:sz="12" w:space="0" w:color="000000"/>
            </w:tcBorders>
          </w:tcPr>
          <w:p w:rsidR="00A63476" w:rsidRDefault="00D22874">
            <w:pPr>
              <w:pStyle w:val="TableParagraph"/>
              <w:spacing w:line="170" w:lineRule="exact"/>
              <w:ind w:left="117"/>
              <w:rPr>
                <w:sz w:val="16"/>
              </w:rPr>
            </w:pPr>
            <w:r>
              <w:rPr>
                <w:sz w:val="16"/>
              </w:rPr>
              <w:t>NTO</w:t>
            </w:r>
          </w:p>
          <w:p w:rsidR="00A63476" w:rsidRDefault="00D22874">
            <w:pPr>
              <w:pStyle w:val="TableParagraph"/>
              <w:spacing w:line="155" w:lineRule="exact"/>
              <w:ind w:left="177"/>
              <w:rPr>
                <w:sz w:val="16"/>
              </w:rPr>
            </w:pPr>
            <w:r>
              <w:rPr>
                <w:sz w:val="16"/>
              </w:rPr>
              <w:t>DE</w:t>
            </w:r>
          </w:p>
        </w:tc>
      </w:tr>
      <w:tr w:rsidR="00A63476">
        <w:trPr>
          <w:trHeight w:val="165"/>
        </w:trPr>
        <w:tc>
          <w:tcPr>
            <w:tcW w:w="2478" w:type="dxa"/>
            <w:tcBorders>
              <w:top w:val="nil"/>
              <w:bottom w:val="nil"/>
            </w:tcBorders>
          </w:tcPr>
          <w:p w:rsidR="00A63476" w:rsidRDefault="00A63476">
            <w:pPr>
              <w:pStyle w:val="TableParagraph"/>
              <w:rPr>
                <w:rFonts w:ascii="Times New Roman"/>
                <w:sz w:val="10"/>
              </w:rPr>
            </w:pPr>
          </w:p>
        </w:tc>
        <w:tc>
          <w:tcPr>
            <w:tcW w:w="1648" w:type="dxa"/>
            <w:tcBorders>
              <w:top w:val="nil"/>
              <w:bottom w:val="nil"/>
              <w:right w:val="single" w:sz="12" w:space="0" w:color="000000"/>
            </w:tcBorders>
          </w:tcPr>
          <w:p w:rsidR="00A63476" w:rsidRDefault="00D22874">
            <w:pPr>
              <w:pStyle w:val="TableParagraph"/>
              <w:spacing w:line="145" w:lineRule="exact"/>
              <w:ind w:left="75" w:right="75"/>
              <w:jc w:val="center"/>
              <w:rPr>
                <w:b/>
                <w:sz w:val="16"/>
              </w:rPr>
            </w:pPr>
            <w:r>
              <w:rPr>
                <w:b/>
                <w:sz w:val="16"/>
              </w:rPr>
              <w:t>vivienda)</w:t>
            </w:r>
          </w:p>
        </w:tc>
        <w:tc>
          <w:tcPr>
            <w:tcW w:w="554" w:type="dxa"/>
            <w:tcBorders>
              <w:top w:val="nil"/>
              <w:left w:val="single" w:sz="12" w:space="0" w:color="000000"/>
              <w:bottom w:val="nil"/>
            </w:tcBorders>
          </w:tcPr>
          <w:p w:rsidR="00A63476" w:rsidRDefault="00D22874">
            <w:pPr>
              <w:pStyle w:val="TableParagraph"/>
              <w:spacing w:line="145" w:lineRule="exact"/>
              <w:ind w:left="71" w:right="31"/>
              <w:jc w:val="center"/>
              <w:rPr>
                <w:sz w:val="16"/>
              </w:rPr>
            </w:pPr>
            <w:r>
              <w:rPr>
                <w:sz w:val="16"/>
              </w:rPr>
              <w:t>JUN</w:t>
            </w:r>
          </w:p>
        </w:tc>
        <w:tc>
          <w:tcPr>
            <w:tcW w:w="692" w:type="dxa"/>
            <w:tcBorders>
              <w:top w:val="nil"/>
              <w:bottom w:val="nil"/>
            </w:tcBorders>
          </w:tcPr>
          <w:p w:rsidR="00A63476" w:rsidRDefault="00D22874">
            <w:pPr>
              <w:pStyle w:val="TableParagraph"/>
              <w:spacing w:line="145" w:lineRule="exact"/>
              <w:ind w:left="168" w:right="91"/>
              <w:jc w:val="center"/>
              <w:rPr>
                <w:sz w:val="16"/>
              </w:rPr>
            </w:pPr>
            <w:r>
              <w:rPr>
                <w:sz w:val="16"/>
              </w:rPr>
              <w:t>EDI</w:t>
            </w:r>
          </w:p>
        </w:tc>
        <w:tc>
          <w:tcPr>
            <w:tcW w:w="554" w:type="dxa"/>
            <w:vMerge/>
            <w:tcBorders>
              <w:top w:val="nil"/>
            </w:tcBorders>
          </w:tcPr>
          <w:p w:rsidR="00A63476" w:rsidRDefault="00A63476">
            <w:pPr>
              <w:rPr>
                <w:sz w:val="2"/>
                <w:szCs w:val="2"/>
              </w:rPr>
            </w:pPr>
          </w:p>
        </w:tc>
        <w:tc>
          <w:tcPr>
            <w:tcW w:w="554" w:type="dxa"/>
            <w:tcBorders>
              <w:top w:val="nil"/>
              <w:bottom w:val="nil"/>
              <w:right w:val="single" w:sz="12" w:space="0" w:color="000000"/>
            </w:tcBorders>
          </w:tcPr>
          <w:p w:rsidR="00A63476" w:rsidRDefault="00D22874">
            <w:pPr>
              <w:pStyle w:val="TableParagraph"/>
              <w:spacing w:line="145" w:lineRule="exact"/>
              <w:ind w:left="66" w:right="43"/>
              <w:jc w:val="center"/>
              <w:rPr>
                <w:sz w:val="16"/>
              </w:rPr>
            </w:pPr>
            <w:r>
              <w:rPr>
                <w:sz w:val="16"/>
              </w:rPr>
              <w:t>U.</w:t>
            </w:r>
          </w:p>
        </w:tc>
      </w:tr>
      <w:tr w:rsidR="00A63476">
        <w:trPr>
          <w:trHeight w:val="165"/>
        </w:trPr>
        <w:tc>
          <w:tcPr>
            <w:tcW w:w="2478" w:type="dxa"/>
            <w:tcBorders>
              <w:top w:val="nil"/>
              <w:bottom w:val="nil"/>
            </w:tcBorders>
          </w:tcPr>
          <w:p w:rsidR="00A63476" w:rsidRDefault="00A63476">
            <w:pPr>
              <w:pStyle w:val="TableParagraph"/>
              <w:rPr>
                <w:rFonts w:ascii="Times New Roman"/>
                <w:sz w:val="10"/>
              </w:rPr>
            </w:pPr>
          </w:p>
        </w:tc>
        <w:tc>
          <w:tcPr>
            <w:tcW w:w="1648" w:type="dxa"/>
            <w:tcBorders>
              <w:top w:val="nil"/>
              <w:bottom w:val="nil"/>
              <w:right w:val="single" w:sz="12" w:space="0" w:color="000000"/>
            </w:tcBorders>
          </w:tcPr>
          <w:p w:rsidR="00A63476" w:rsidRDefault="00A63476">
            <w:pPr>
              <w:pStyle w:val="TableParagraph"/>
              <w:rPr>
                <w:rFonts w:ascii="Times New Roman"/>
                <w:sz w:val="10"/>
              </w:rPr>
            </w:pPr>
          </w:p>
        </w:tc>
        <w:tc>
          <w:tcPr>
            <w:tcW w:w="554" w:type="dxa"/>
            <w:tcBorders>
              <w:top w:val="nil"/>
              <w:left w:val="single" w:sz="12" w:space="0" w:color="000000"/>
              <w:bottom w:val="nil"/>
            </w:tcBorders>
          </w:tcPr>
          <w:p w:rsidR="00A63476" w:rsidRDefault="00D22874">
            <w:pPr>
              <w:pStyle w:val="TableParagraph"/>
              <w:spacing w:line="145" w:lineRule="exact"/>
              <w:ind w:left="68" w:right="43"/>
              <w:jc w:val="center"/>
              <w:rPr>
                <w:sz w:val="16"/>
              </w:rPr>
            </w:pPr>
            <w:r>
              <w:rPr>
                <w:sz w:val="16"/>
              </w:rPr>
              <w:t>TO</w:t>
            </w:r>
          </w:p>
        </w:tc>
        <w:tc>
          <w:tcPr>
            <w:tcW w:w="692" w:type="dxa"/>
            <w:tcBorders>
              <w:top w:val="nil"/>
              <w:bottom w:val="nil"/>
            </w:tcBorders>
          </w:tcPr>
          <w:p w:rsidR="00A63476" w:rsidRDefault="00D22874">
            <w:pPr>
              <w:pStyle w:val="TableParagraph"/>
              <w:spacing w:line="145" w:lineRule="exact"/>
              <w:ind w:left="159" w:right="91"/>
              <w:jc w:val="center"/>
              <w:rPr>
                <w:sz w:val="16"/>
              </w:rPr>
            </w:pPr>
            <w:r>
              <w:rPr>
                <w:sz w:val="16"/>
              </w:rPr>
              <w:t>FIC</w:t>
            </w:r>
          </w:p>
        </w:tc>
        <w:tc>
          <w:tcPr>
            <w:tcW w:w="554" w:type="dxa"/>
            <w:vMerge/>
            <w:tcBorders>
              <w:top w:val="nil"/>
            </w:tcBorders>
          </w:tcPr>
          <w:p w:rsidR="00A63476" w:rsidRDefault="00A63476">
            <w:pPr>
              <w:rPr>
                <w:sz w:val="2"/>
                <w:szCs w:val="2"/>
              </w:rPr>
            </w:pPr>
          </w:p>
        </w:tc>
        <w:tc>
          <w:tcPr>
            <w:tcW w:w="554" w:type="dxa"/>
            <w:tcBorders>
              <w:top w:val="nil"/>
              <w:bottom w:val="nil"/>
              <w:right w:val="single" w:sz="12" w:space="0" w:color="000000"/>
            </w:tcBorders>
          </w:tcPr>
          <w:p w:rsidR="00A63476" w:rsidRDefault="00D22874">
            <w:pPr>
              <w:pStyle w:val="TableParagraph"/>
              <w:spacing w:line="145" w:lineRule="exact"/>
              <w:ind w:left="71" w:right="39"/>
              <w:jc w:val="center"/>
              <w:rPr>
                <w:sz w:val="16"/>
              </w:rPr>
            </w:pPr>
            <w:r>
              <w:rPr>
                <w:sz w:val="16"/>
              </w:rPr>
              <w:t>HAB</w:t>
            </w:r>
          </w:p>
        </w:tc>
      </w:tr>
      <w:tr w:rsidR="00A63476">
        <w:trPr>
          <w:trHeight w:val="165"/>
        </w:trPr>
        <w:tc>
          <w:tcPr>
            <w:tcW w:w="2478" w:type="dxa"/>
            <w:tcBorders>
              <w:top w:val="nil"/>
              <w:bottom w:val="nil"/>
            </w:tcBorders>
          </w:tcPr>
          <w:p w:rsidR="00A63476" w:rsidRDefault="00A63476">
            <w:pPr>
              <w:pStyle w:val="TableParagraph"/>
              <w:rPr>
                <w:rFonts w:ascii="Times New Roman"/>
                <w:sz w:val="10"/>
              </w:rPr>
            </w:pPr>
          </w:p>
        </w:tc>
        <w:tc>
          <w:tcPr>
            <w:tcW w:w="1648" w:type="dxa"/>
            <w:tcBorders>
              <w:top w:val="nil"/>
              <w:bottom w:val="nil"/>
              <w:right w:val="single" w:sz="12" w:space="0" w:color="000000"/>
            </w:tcBorders>
          </w:tcPr>
          <w:p w:rsidR="00A63476" w:rsidRDefault="00A63476">
            <w:pPr>
              <w:pStyle w:val="TableParagraph"/>
              <w:rPr>
                <w:rFonts w:ascii="Times New Roman"/>
                <w:sz w:val="10"/>
              </w:rPr>
            </w:pPr>
          </w:p>
        </w:tc>
        <w:tc>
          <w:tcPr>
            <w:tcW w:w="554" w:type="dxa"/>
            <w:tcBorders>
              <w:top w:val="nil"/>
              <w:left w:val="single" w:sz="12" w:space="0" w:color="000000"/>
              <w:bottom w:val="nil"/>
            </w:tcBorders>
          </w:tcPr>
          <w:p w:rsidR="00A63476" w:rsidRDefault="00D22874">
            <w:pPr>
              <w:pStyle w:val="TableParagraph"/>
              <w:spacing w:line="145" w:lineRule="exact"/>
              <w:ind w:left="60" w:right="43"/>
              <w:jc w:val="center"/>
              <w:rPr>
                <w:sz w:val="16"/>
              </w:rPr>
            </w:pPr>
            <w:r>
              <w:rPr>
                <w:sz w:val="16"/>
              </w:rPr>
              <w:t>HAB</w:t>
            </w:r>
          </w:p>
        </w:tc>
        <w:tc>
          <w:tcPr>
            <w:tcW w:w="692" w:type="dxa"/>
            <w:tcBorders>
              <w:top w:val="nil"/>
              <w:bottom w:val="nil"/>
            </w:tcBorders>
          </w:tcPr>
          <w:p w:rsidR="00A63476" w:rsidRDefault="00D22874">
            <w:pPr>
              <w:pStyle w:val="TableParagraph"/>
              <w:spacing w:line="145" w:lineRule="exact"/>
              <w:ind w:left="163" w:right="91"/>
              <w:jc w:val="center"/>
              <w:rPr>
                <w:sz w:val="16"/>
              </w:rPr>
            </w:pPr>
            <w:r>
              <w:rPr>
                <w:sz w:val="16"/>
              </w:rPr>
              <w:t>ABL</w:t>
            </w:r>
          </w:p>
        </w:tc>
        <w:tc>
          <w:tcPr>
            <w:tcW w:w="554" w:type="dxa"/>
            <w:vMerge/>
            <w:tcBorders>
              <w:top w:val="nil"/>
            </w:tcBorders>
          </w:tcPr>
          <w:p w:rsidR="00A63476" w:rsidRDefault="00A63476">
            <w:pPr>
              <w:rPr>
                <w:sz w:val="2"/>
                <w:szCs w:val="2"/>
              </w:rPr>
            </w:pPr>
          </w:p>
        </w:tc>
        <w:tc>
          <w:tcPr>
            <w:tcW w:w="554" w:type="dxa"/>
            <w:tcBorders>
              <w:top w:val="nil"/>
              <w:bottom w:val="nil"/>
              <w:right w:val="single" w:sz="12" w:space="0" w:color="000000"/>
            </w:tcBorders>
          </w:tcPr>
          <w:p w:rsidR="00A63476" w:rsidRDefault="00D22874">
            <w:pPr>
              <w:pStyle w:val="TableParagraph"/>
              <w:spacing w:line="145" w:lineRule="exact"/>
              <w:ind w:left="59" w:right="43"/>
              <w:jc w:val="center"/>
              <w:rPr>
                <w:sz w:val="16"/>
              </w:rPr>
            </w:pPr>
            <w:r>
              <w:rPr>
                <w:sz w:val="16"/>
              </w:rPr>
              <w:t>ITAC</w:t>
            </w:r>
          </w:p>
        </w:tc>
      </w:tr>
      <w:tr w:rsidR="00A63476">
        <w:trPr>
          <w:trHeight w:val="165"/>
        </w:trPr>
        <w:tc>
          <w:tcPr>
            <w:tcW w:w="2478" w:type="dxa"/>
            <w:tcBorders>
              <w:top w:val="nil"/>
              <w:bottom w:val="nil"/>
            </w:tcBorders>
          </w:tcPr>
          <w:p w:rsidR="00A63476" w:rsidRDefault="00A63476">
            <w:pPr>
              <w:pStyle w:val="TableParagraph"/>
              <w:rPr>
                <w:rFonts w:ascii="Times New Roman"/>
                <w:sz w:val="10"/>
              </w:rPr>
            </w:pPr>
          </w:p>
        </w:tc>
        <w:tc>
          <w:tcPr>
            <w:tcW w:w="1648" w:type="dxa"/>
            <w:tcBorders>
              <w:top w:val="nil"/>
              <w:bottom w:val="nil"/>
              <w:right w:val="single" w:sz="12" w:space="0" w:color="000000"/>
            </w:tcBorders>
          </w:tcPr>
          <w:p w:rsidR="00A63476" w:rsidRDefault="00A63476">
            <w:pPr>
              <w:pStyle w:val="TableParagraph"/>
              <w:rPr>
                <w:rFonts w:ascii="Times New Roman"/>
                <w:sz w:val="10"/>
              </w:rPr>
            </w:pPr>
          </w:p>
        </w:tc>
        <w:tc>
          <w:tcPr>
            <w:tcW w:w="554" w:type="dxa"/>
            <w:tcBorders>
              <w:top w:val="nil"/>
              <w:left w:val="single" w:sz="12" w:space="0" w:color="000000"/>
              <w:bottom w:val="nil"/>
            </w:tcBorders>
          </w:tcPr>
          <w:p w:rsidR="00A63476" w:rsidRDefault="00D22874">
            <w:pPr>
              <w:pStyle w:val="TableParagraph"/>
              <w:spacing w:line="145" w:lineRule="exact"/>
              <w:ind w:left="71" w:right="30"/>
              <w:jc w:val="center"/>
              <w:rPr>
                <w:sz w:val="16"/>
              </w:rPr>
            </w:pPr>
            <w:r>
              <w:rPr>
                <w:sz w:val="16"/>
              </w:rPr>
              <w:t>ITAC</w:t>
            </w:r>
          </w:p>
        </w:tc>
        <w:tc>
          <w:tcPr>
            <w:tcW w:w="692" w:type="dxa"/>
            <w:tcBorders>
              <w:top w:val="nil"/>
              <w:bottom w:val="nil"/>
            </w:tcBorders>
          </w:tcPr>
          <w:p w:rsidR="00A63476" w:rsidRDefault="00D22874">
            <w:pPr>
              <w:pStyle w:val="TableParagraph"/>
              <w:spacing w:line="145" w:lineRule="exact"/>
              <w:ind w:left="77"/>
              <w:jc w:val="center"/>
              <w:rPr>
                <w:sz w:val="16"/>
              </w:rPr>
            </w:pPr>
            <w:r>
              <w:rPr>
                <w:sz w:val="16"/>
              </w:rPr>
              <w:t>E</w:t>
            </w:r>
          </w:p>
        </w:tc>
        <w:tc>
          <w:tcPr>
            <w:tcW w:w="554" w:type="dxa"/>
            <w:vMerge/>
            <w:tcBorders>
              <w:top w:val="nil"/>
            </w:tcBorders>
          </w:tcPr>
          <w:p w:rsidR="00A63476" w:rsidRDefault="00A63476">
            <w:pPr>
              <w:rPr>
                <w:sz w:val="2"/>
                <w:szCs w:val="2"/>
              </w:rPr>
            </w:pPr>
          </w:p>
        </w:tc>
        <w:tc>
          <w:tcPr>
            <w:tcW w:w="554" w:type="dxa"/>
            <w:tcBorders>
              <w:top w:val="nil"/>
              <w:bottom w:val="nil"/>
              <w:right w:val="single" w:sz="12" w:space="0" w:color="000000"/>
            </w:tcBorders>
          </w:tcPr>
          <w:p w:rsidR="00A63476" w:rsidRDefault="00D22874">
            <w:pPr>
              <w:pStyle w:val="TableParagraph"/>
              <w:spacing w:line="145" w:lineRule="exact"/>
              <w:ind w:left="71" w:right="43"/>
              <w:jc w:val="center"/>
              <w:rPr>
                <w:sz w:val="16"/>
              </w:rPr>
            </w:pPr>
            <w:r>
              <w:rPr>
                <w:sz w:val="16"/>
              </w:rPr>
              <w:t>ION</w:t>
            </w:r>
          </w:p>
        </w:tc>
      </w:tr>
      <w:tr w:rsidR="00A63476">
        <w:trPr>
          <w:trHeight w:val="165"/>
        </w:trPr>
        <w:tc>
          <w:tcPr>
            <w:tcW w:w="2478" w:type="dxa"/>
            <w:tcBorders>
              <w:top w:val="nil"/>
              <w:bottom w:val="nil"/>
            </w:tcBorders>
          </w:tcPr>
          <w:p w:rsidR="00A63476" w:rsidRDefault="00A63476">
            <w:pPr>
              <w:pStyle w:val="TableParagraph"/>
              <w:rPr>
                <w:rFonts w:ascii="Times New Roman"/>
                <w:sz w:val="10"/>
              </w:rPr>
            </w:pPr>
          </w:p>
        </w:tc>
        <w:tc>
          <w:tcPr>
            <w:tcW w:w="1648" w:type="dxa"/>
            <w:tcBorders>
              <w:top w:val="nil"/>
              <w:bottom w:val="nil"/>
              <w:right w:val="single" w:sz="12" w:space="0" w:color="000000"/>
            </w:tcBorders>
          </w:tcPr>
          <w:p w:rsidR="00A63476" w:rsidRDefault="00A63476">
            <w:pPr>
              <w:pStyle w:val="TableParagraph"/>
              <w:rPr>
                <w:rFonts w:ascii="Times New Roman"/>
                <w:sz w:val="10"/>
              </w:rPr>
            </w:pPr>
          </w:p>
        </w:tc>
        <w:tc>
          <w:tcPr>
            <w:tcW w:w="554" w:type="dxa"/>
            <w:tcBorders>
              <w:top w:val="nil"/>
              <w:left w:val="single" w:sz="12" w:space="0" w:color="000000"/>
              <w:bottom w:val="nil"/>
            </w:tcBorders>
          </w:tcPr>
          <w:p w:rsidR="00A63476" w:rsidRDefault="00D22874">
            <w:pPr>
              <w:pStyle w:val="TableParagraph"/>
              <w:spacing w:line="145" w:lineRule="exact"/>
              <w:ind w:left="56" w:right="43"/>
              <w:jc w:val="center"/>
              <w:rPr>
                <w:sz w:val="16"/>
              </w:rPr>
            </w:pPr>
            <w:r>
              <w:rPr>
                <w:sz w:val="16"/>
              </w:rPr>
              <w:t>ION</w:t>
            </w:r>
          </w:p>
        </w:tc>
        <w:tc>
          <w:tcPr>
            <w:tcW w:w="692" w:type="dxa"/>
            <w:tcBorders>
              <w:top w:val="nil"/>
              <w:bottom w:val="nil"/>
            </w:tcBorders>
          </w:tcPr>
          <w:p w:rsidR="00A63476" w:rsidRDefault="00D22874">
            <w:pPr>
              <w:pStyle w:val="TableParagraph"/>
              <w:spacing w:line="145" w:lineRule="exact"/>
              <w:ind w:left="168" w:right="91"/>
              <w:jc w:val="center"/>
              <w:rPr>
                <w:sz w:val="16"/>
              </w:rPr>
            </w:pPr>
            <w:r>
              <w:rPr>
                <w:sz w:val="16"/>
              </w:rPr>
              <w:t>RUR</w:t>
            </w:r>
          </w:p>
        </w:tc>
        <w:tc>
          <w:tcPr>
            <w:tcW w:w="554" w:type="dxa"/>
            <w:vMerge/>
            <w:tcBorders>
              <w:top w:val="nil"/>
            </w:tcBorders>
          </w:tcPr>
          <w:p w:rsidR="00A63476" w:rsidRDefault="00A63476">
            <w:pPr>
              <w:rPr>
                <w:sz w:val="2"/>
                <w:szCs w:val="2"/>
              </w:rPr>
            </w:pPr>
          </w:p>
        </w:tc>
        <w:tc>
          <w:tcPr>
            <w:tcW w:w="554" w:type="dxa"/>
            <w:tcBorders>
              <w:top w:val="nil"/>
              <w:bottom w:val="nil"/>
              <w:right w:val="single" w:sz="12" w:space="0" w:color="000000"/>
            </w:tcBorders>
          </w:tcPr>
          <w:p w:rsidR="00A63476" w:rsidRDefault="00D22874">
            <w:pPr>
              <w:pStyle w:val="TableParagraph"/>
              <w:spacing w:line="145" w:lineRule="exact"/>
              <w:ind w:left="71" w:right="25"/>
              <w:jc w:val="center"/>
              <w:rPr>
                <w:sz w:val="16"/>
              </w:rPr>
            </w:pPr>
            <w:r>
              <w:rPr>
                <w:sz w:val="16"/>
              </w:rPr>
              <w:t>ALE</w:t>
            </w:r>
          </w:p>
        </w:tc>
      </w:tr>
      <w:tr w:rsidR="00A63476">
        <w:trPr>
          <w:trHeight w:val="165"/>
        </w:trPr>
        <w:tc>
          <w:tcPr>
            <w:tcW w:w="2478" w:type="dxa"/>
            <w:tcBorders>
              <w:top w:val="nil"/>
              <w:bottom w:val="nil"/>
            </w:tcBorders>
          </w:tcPr>
          <w:p w:rsidR="00A63476" w:rsidRDefault="00A63476">
            <w:pPr>
              <w:pStyle w:val="TableParagraph"/>
              <w:rPr>
                <w:rFonts w:ascii="Times New Roman"/>
                <w:sz w:val="10"/>
              </w:rPr>
            </w:pPr>
          </w:p>
        </w:tc>
        <w:tc>
          <w:tcPr>
            <w:tcW w:w="1648" w:type="dxa"/>
            <w:tcBorders>
              <w:top w:val="nil"/>
              <w:bottom w:val="nil"/>
              <w:right w:val="single" w:sz="12" w:space="0" w:color="000000"/>
            </w:tcBorders>
          </w:tcPr>
          <w:p w:rsidR="00A63476" w:rsidRDefault="00A63476">
            <w:pPr>
              <w:pStyle w:val="TableParagraph"/>
              <w:rPr>
                <w:rFonts w:ascii="Times New Roman"/>
                <w:sz w:val="10"/>
              </w:rPr>
            </w:pPr>
          </w:p>
        </w:tc>
        <w:tc>
          <w:tcPr>
            <w:tcW w:w="554" w:type="dxa"/>
            <w:tcBorders>
              <w:top w:val="nil"/>
              <w:left w:val="single" w:sz="12" w:space="0" w:color="000000"/>
              <w:bottom w:val="nil"/>
            </w:tcBorders>
          </w:tcPr>
          <w:p w:rsidR="00A63476" w:rsidRDefault="00D22874">
            <w:pPr>
              <w:pStyle w:val="TableParagraph"/>
              <w:spacing w:line="145" w:lineRule="exact"/>
              <w:ind w:left="71" w:right="27"/>
              <w:jc w:val="center"/>
              <w:rPr>
                <w:sz w:val="16"/>
              </w:rPr>
            </w:pPr>
            <w:r>
              <w:rPr>
                <w:sz w:val="16"/>
              </w:rPr>
              <w:t>AL</w:t>
            </w:r>
          </w:p>
        </w:tc>
        <w:tc>
          <w:tcPr>
            <w:tcW w:w="692" w:type="dxa"/>
            <w:tcBorders>
              <w:top w:val="nil"/>
              <w:bottom w:val="nil"/>
            </w:tcBorders>
          </w:tcPr>
          <w:p w:rsidR="00A63476" w:rsidRDefault="00D22874">
            <w:pPr>
              <w:pStyle w:val="TableParagraph"/>
              <w:spacing w:line="145" w:lineRule="exact"/>
              <w:ind w:left="180" w:right="91"/>
              <w:jc w:val="center"/>
              <w:rPr>
                <w:sz w:val="16"/>
              </w:rPr>
            </w:pPr>
            <w:r>
              <w:rPr>
                <w:sz w:val="16"/>
              </w:rPr>
              <w:t>AL O</w:t>
            </w:r>
          </w:p>
        </w:tc>
        <w:tc>
          <w:tcPr>
            <w:tcW w:w="554" w:type="dxa"/>
            <w:vMerge/>
            <w:tcBorders>
              <w:top w:val="nil"/>
            </w:tcBorders>
          </w:tcPr>
          <w:p w:rsidR="00A63476" w:rsidRDefault="00A63476">
            <w:pPr>
              <w:rPr>
                <w:sz w:val="2"/>
                <w:szCs w:val="2"/>
              </w:rPr>
            </w:pPr>
          </w:p>
        </w:tc>
        <w:tc>
          <w:tcPr>
            <w:tcW w:w="554" w:type="dxa"/>
            <w:tcBorders>
              <w:top w:val="nil"/>
              <w:bottom w:val="nil"/>
              <w:right w:val="single" w:sz="12" w:space="0" w:color="000000"/>
            </w:tcBorders>
          </w:tcPr>
          <w:p w:rsidR="00A63476" w:rsidRDefault="00D22874">
            <w:pPr>
              <w:pStyle w:val="TableParagraph"/>
              <w:spacing w:line="145" w:lineRule="exact"/>
              <w:ind w:left="10"/>
              <w:jc w:val="center"/>
              <w:rPr>
                <w:sz w:val="16"/>
              </w:rPr>
            </w:pPr>
            <w:r>
              <w:rPr>
                <w:sz w:val="16"/>
              </w:rPr>
              <w:t>S</w:t>
            </w:r>
          </w:p>
        </w:tc>
      </w:tr>
      <w:tr w:rsidR="00A63476">
        <w:trPr>
          <w:trHeight w:val="165"/>
        </w:trPr>
        <w:tc>
          <w:tcPr>
            <w:tcW w:w="2478" w:type="dxa"/>
            <w:tcBorders>
              <w:top w:val="nil"/>
              <w:bottom w:val="nil"/>
            </w:tcBorders>
          </w:tcPr>
          <w:p w:rsidR="00A63476" w:rsidRDefault="00A63476">
            <w:pPr>
              <w:pStyle w:val="TableParagraph"/>
              <w:rPr>
                <w:rFonts w:ascii="Times New Roman"/>
                <w:sz w:val="10"/>
              </w:rPr>
            </w:pPr>
          </w:p>
        </w:tc>
        <w:tc>
          <w:tcPr>
            <w:tcW w:w="1648" w:type="dxa"/>
            <w:tcBorders>
              <w:top w:val="nil"/>
              <w:bottom w:val="nil"/>
              <w:right w:val="single" w:sz="12" w:space="0" w:color="000000"/>
            </w:tcBorders>
          </w:tcPr>
          <w:p w:rsidR="00A63476" w:rsidRDefault="00A63476">
            <w:pPr>
              <w:pStyle w:val="TableParagraph"/>
              <w:rPr>
                <w:rFonts w:ascii="Times New Roman"/>
                <w:sz w:val="10"/>
              </w:rPr>
            </w:pPr>
          </w:p>
        </w:tc>
        <w:tc>
          <w:tcPr>
            <w:tcW w:w="554" w:type="dxa"/>
            <w:tcBorders>
              <w:top w:val="nil"/>
              <w:left w:val="single" w:sz="12" w:space="0" w:color="000000"/>
              <w:bottom w:val="nil"/>
            </w:tcBorders>
          </w:tcPr>
          <w:p w:rsidR="00A63476" w:rsidRDefault="00A63476">
            <w:pPr>
              <w:pStyle w:val="TableParagraph"/>
              <w:rPr>
                <w:rFonts w:ascii="Times New Roman"/>
                <w:sz w:val="10"/>
              </w:rPr>
            </w:pPr>
          </w:p>
        </w:tc>
        <w:tc>
          <w:tcPr>
            <w:tcW w:w="692" w:type="dxa"/>
            <w:tcBorders>
              <w:top w:val="nil"/>
              <w:bottom w:val="nil"/>
            </w:tcBorders>
          </w:tcPr>
          <w:p w:rsidR="00A63476" w:rsidRDefault="00D22874">
            <w:pPr>
              <w:pStyle w:val="TableParagraph"/>
              <w:spacing w:line="145" w:lineRule="exact"/>
              <w:ind w:left="159" w:right="91"/>
              <w:jc w:val="center"/>
              <w:rPr>
                <w:sz w:val="16"/>
              </w:rPr>
            </w:pPr>
            <w:r>
              <w:rPr>
                <w:sz w:val="16"/>
              </w:rPr>
              <w:t>URB</w:t>
            </w:r>
          </w:p>
        </w:tc>
        <w:tc>
          <w:tcPr>
            <w:tcW w:w="554" w:type="dxa"/>
            <w:vMerge/>
            <w:tcBorders>
              <w:top w:val="nil"/>
            </w:tcBorders>
          </w:tcPr>
          <w:p w:rsidR="00A63476" w:rsidRDefault="00A63476">
            <w:pPr>
              <w:rPr>
                <w:sz w:val="2"/>
                <w:szCs w:val="2"/>
              </w:rPr>
            </w:pPr>
          </w:p>
        </w:tc>
        <w:tc>
          <w:tcPr>
            <w:tcW w:w="554" w:type="dxa"/>
            <w:tcBorders>
              <w:top w:val="nil"/>
              <w:bottom w:val="nil"/>
              <w:right w:val="single" w:sz="12" w:space="0" w:color="000000"/>
            </w:tcBorders>
          </w:tcPr>
          <w:p w:rsidR="00A63476" w:rsidRDefault="00A63476">
            <w:pPr>
              <w:pStyle w:val="TableParagraph"/>
              <w:rPr>
                <w:rFonts w:ascii="Times New Roman"/>
                <w:sz w:val="10"/>
              </w:rPr>
            </w:pPr>
          </w:p>
        </w:tc>
      </w:tr>
      <w:tr w:rsidR="00A63476">
        <w:trPr>
          <w:trHeight w:val="258"/>
        </w:trPr>
        <w:tc>
          <w:tcPr>
            <w:tcW w:w="2478" w:type="dxa"/>
            <w:tcBorders>
              <w:top w:val="nil"/>
            </w:tcBorders>
          </w:tcPr>
          <w:p w:rsidR="00A63476" w:rsidRDefault="00A63476">
            <w:pPr>
              <w:pStyle w:val="TableParagraph"/>
              <w:rPr>
                <w:rFonts w:ascii="Times New Roman"/>
                <w:sz w:val="16"/>
              </w:rPr>
            </w:pPr>
          </w:p>
        </w:tc>
        <w:tc>
          <w:tcPr>
            <w:tcW w:w="1648" w:type="dxa"/>
            <w:tcBorders>
              <w:top w:val="nil"/>
              <w:right w:val="single" w:sz="12" w:space="0" w:color="000000"/>
            </w:tcBorders>
          </w:tcPr>
          <w:p w:rsidR="00A63476" w:rsidRDefault="00A63476">
            <w:pPr>
              <w:pStyle w:val="TableParagraph"/>
              <w:rPr>
                <w:rFonts w:ascii="Times New Roman"/>
                <w:sz w:val="16"/>
              </w:rPr>
            </w:pPr>
          </w:p>
        </w:tc>
        <w:tc>
          <w:tcPr>
            <w:tcW w:w="554" w:type="dxa"/>
            <w:tcBorders>
              <w:top w:val="nil"/>
              <w:left w:val="single" w:sz="12" w:space="0" w:color="000000"/>
            </w:tcBorders>
          </w:tcPr>
          <w:p w:rsidR="00A63476" w:rsidRDefault="00A63476">
            <w:pPr>
              <w:pStyle w:val="TableParagraph"/>
              <w:rPr>
                <w:rFonts w:ascii="Times New Roman"/>
                <w:sz w:val="16"/>
              </w:rPr>
            </w:pPr>
          </w:p>
        </w:tc>
        <w:tc>
          <w:tcPr>
            <w:tcW w:w="692" w:type="dxa"/>
            <w:tcBorders>
              <w:top w:val="nil"/>
            </w:tcBorders>
          </w:tcPr>
          <w:p w:rsidR="00A63476" w:rsidRDefault="00D22874">
            <w:pPr>
              <w:pStyle w:val="TableParagraph"/>
              <w:spacing w:line="172" w:lineRule="exact"/>
              <w:ind w:left="168" w:right="91"/>
              <w:jc w:val="center"/>
              <w:rPr>
                <w:sz w:val="16"/>
              </w:rPr>
            </w:pPr>
            <w:r>
              <w:rPr>
                <w:sz w:val="16"/>
              </w:rPr>
              <w:t>ANO</w:t>
            </w:r>
          </w:p>
        </w:tc>
        <w:tc>
          <w:tcPr>
            <w:tcW w:w="554" w:type="dxa"/>
            <w:vMerge/>
            <w:tcBorders>
              <w:top w:val="nil"/>
            </w:tcBorders>
          </w:tcPr>
          <w:p w:rsidR="00A63476" w:rsidRDefault="00A63476">
            <w:pPr>
              <w:rPr>
                <w:sz w:val="2"/>
                <w:szCs w:val="2"/>
              </w:rPr>
            </w:pPr>
          </w:p>
        </w:tc>
        <w:tc>
          <w:tcPr>
            <w:tcW w:w="554" w:type="dxa"/>
            <w:tcBorders>
              <w:top w:val="nil"/>
              <w:right w:val="single" w:sz="12" w:space="0" w:color="000000"/>
            </w:tcBorders>
          </w:tcPr>
          <w:p w:rsidR="00A63476" w:rsidRDefault="00A63476">
            <w:pPr>
              <w:pStyle w:val="TableParagraph"/>
              <w:rPr>
                <w:rFonts w:ascii="Times New Roman"/>
                <w:sz w:val="16"/>
              </w:rPr>
            </w:pPr>
          </w:p>
        </w:tc>
      </w:tr>
      <w:tr w:rsidR="00A63476">
        <w:trPr>
          <w:trHeight w:val="366"/>
        </w:trPr>
        <w:tc>
          <w:tcPr>
            <w:tcW w:w="2478" w:type="dxa"/>
          </w:tcPr>
          <w:p w:rsidR="00A63476" w:rsidRDefault="00D22874">
            <w:pPr>
              <w:pStyle w:val="TableParagraph"/>
              <w:spacing w:before="94"/>
              <w:ind w:left="83"/>
              <w:rPr>
                <w:sz w:val="16"/>
              </w:rPr>
            </w:pPr>
            <w:r>
              <w:rPr>
                <w:sz w:val="16"/>
              </w:rPr>
              <w:t>Reparación parcial de vivienda</w:t>
            </w:r>
          </w:p>
        </w:tc>
        <w:tc>
          <w:tcPr>
            <w:tcW w:w="1648" w:type="dxa"/>
            <w:tcBorders>
              <w:right w:val="single" w:sz="12" w:space="0" w:color="000000"/>
            </w:tcBorders>
          </w:tcPr>
          <w:p w:rsidR="00A63476" w:rsidRDefault="00D22874">
            <w:pPr>
              <w:pStyle w:val="TableParagraph"/>
              <w:spacing w:before="94"/>
              <w:ind w:left="78" w:right="75"/>
              <w:jc w:val="center"/>
              <w:rPr>
                <w:sz w:val="16"/>
              </w:rPr>
            </w:pPr>
            <w:r>
              <w:rPr>
                <w:sz w:val="16"/>
              </w:rPr>
              <w:t>41</w:t>
            </w:r>
          </w:p>
        </w:tc>
        <w:tc>
          <w:tcPr>
            <w:tcW w:w="554" w:type="dxa"/>
            <w:tcBorders>
              <w:left w:val="single" w:sz="12" w:space="0" w:color="000000"/>
            </w:tcBorders>
          </w:tcPr>
          <w:p w:rsidR="00A63476" w:rsidRDefault="00A63476">
            <w:pPr>
              <w:pStyle w:val="TableParagraph"/>
              <w:rPr>
                <w:rFonts w:ascii="Times New Roman"/>
                <w:sz w:val="16"/>
              </w:rPr>
            </w:pPr>
          </w:p>
        </w:tc>
        <w:tc>
          <w:tcPr>
            <w:tcW w:w="692" w:type="dxa"/>
            <w:shd w:val="clear" w:color="auto" w:fill="D9D9D9"/>
          </w:tcPr>
          <w:p w:rsidR="00A63476" w:rsidRDefault="00D22874">
            <w:pPr>
              <w:pStyle w:val="TableParagraph"/>
              <w:spacing w:before="94"/>
              <w:jc w:val="center"/>
              <w:rPr>
                <w:sz w:val="16"/>
              </w:rPr>
            </w:pPr>
            <w:r>
              <w:rPr>
                <w:sz w:val="16"/>
              </w:rPr>
              <w:t>X</w:t>
            </w:r>
          </w:p>
        </w:tc>
        <w:tc>
          <w:tcPr>
            <w:tcW w:w="554" w:type="dxa"/>
          </w:tcPr>
          <w:p w:rsidR="00A63476" w:rsidRDefault="00A63476">
            <w:pPr>
              <w:pStyle w:val="TableParagraph"/>
              <w:rPr>
                <w:rFonts w:ascii="Times New Roman"/>
                <w:sz w:val="16"/>
              </w:rPr>
            </w:pPr>
          </w:p>
        </w:tc>
        <w:tc>
          <w:tcPr>
            <w:tcW w:w="554" w:type="dxa"/>
            <w:tcBorders>
              <w:right w:val="single" w:sz="12" w:space="0" w:color="000000"/>
            </w:tcBorders>
          </w:tcPr>
          <w:p w:rsidR="00A63476" w:rsidRDefault="00A63476">
            <w:pPr>
              <w:pStyle w:val="TableParagraph"/>
              <w:rPr>
                <w:rFonts w:ascii="Times New Roman"/>
                <w:sz w:val="16"/>
              </w:rPr>
            </w:pPr>
          </w:p>
        </w:tc>
      </w:tr>
      <w:tr w:rsidR="00A63476">
        <w:trPr>
          <w:trHeight w:val="366"/>
        </w:trPr>
        <w:tc>
          <w:tcPr>
            <w:tcW w:w="2478" w:type="dxa"/>
          </w:tcPr>
          <w:p w:rsidR="00A63476" w:rsidRDefault="00D22874">
            <w:pPr>
              <w:pStyle w:val="TableParagraph"/>
              <w:spacing w:before="112"/>
              <w:ind w:left="83"/>
              <w:rPr>
                <w:sz w:val="16"/>
              </w:rPr>
            </w:pPr>
            <w:r>
              <w:rPr>
                <w:sz w:val="16"/>
              </w:rPr>
              <w:t>Reparación Total de Vivienda</w:t>
            </w:r>
          </w:p>
        </w:tc>
        <w:tc>
          <w:tcPr>
            <w:tcW w:w="1648" w:type="dxa"/>
            <w:tcBorders>
              <w:right w:val="single" w:sz="12" w:space="0" w:color="000000"/>
            </w:tcBorders>
          </w:tcPr>
          <w:p w:rsidR="00A63476" w:rsidRDefault="00D22874">
            <w:pPr>
              <w:pStyle w:val="TableParagraph"/>
              <w:spacing w:before="112"/>
              <w:ind w:left="82" w:right="70"/>
              <w:jc w:val="center"/>
              <w:rPr>
                <w:sz w:val="16"/>
              </w:rPr>
            </w:pPr>
            <w:r>
              <w:rPr>
                <w:sz w:val="16"/>
              </w:rPr>
              <w:t>104</w:t>
            </w:r>
          </w:p>
        </w:tc>
        <w:tc>
          <w:tcPr>
            <w:tcW w:w="554" w:type="dxa"/>
            <w:tcBorders>
              <w:left w:val="single" w:sz="12" w:space="0" w:color="000000"/>
            </w:tcBorders>
          </w:tcPr>
          <w:p w:rsidR="00A63476" w:rsidRDefault="00A63476">
            <w:pPr>
              <w:pStyle w:val="TableParagraph"/>
              <w:rPr>
                <w:rFonts w:ascii="Times New Roman"/>
                <w:sz w:val="16"/>
              </w:rPr>
            </w:pPr>
          </w:p>
        </w:tc>
        <w:tc>
          <w:tcPr>
            <w:tcW w:w="692" w:type="dxa"/>
            <w:shd w:val="clear" w:color="auto" w:fill="D9D9D9"/>
          </w:tcPr>
          <w:p w:rsidR="00A63476" w:rsidRDefault="00D22874">
            <w:pPr>
              <w:pStyle w:val="TableParagraph"/>
              <w:spacing w:before="112"/>
              <w:jc w:val="center"/>
              <w:rPr>
                <w:sz w:val="16"/>
              </w:rPr>
            </w:pPr>
            <w:r>
              <w:rPr>
                <w:sz w:val="16"/>
              </w:rPr>
              <w:t>X</w:t>
            </w:r>
          </w:p>
        </w:tc>
        <w:tc>
          <w:tcPr>
            <w:tcW w:w="554" w:type="dxa"/>
          </w:tcPr>
          <w:p w:rsidR="00A63476" w:rsidRDefault="00A63476">
            <w:pPr>
              <w:pStyle w:val="TableParagraph"/>
              <w:rPr>
                <w:rFonts w:ascii="Times New Roman"/>
                <w:sz w:val="16"/>
              </w:rPr>
            </w:pPr>
          </w:p>
        </w:tc>
        <w:tc>
          <w:tcPr>
            <w:tcW w:w="554" w:type="dxa"/>
            <w:tcBorders>
              <w:right w:val="single" w:sz="12" w:space="0" w:color="000000"/>
            </w:tcBorders>
          </w:tcPr>
          <w:p w:rsidR="00A63476" w:rsidRDefault="00A63476">
            <w:pPr>
              <w:pStyle w:val="TableParagraph"/>
              <w:rPr>
                <w:rFonts w:ascii="Times New Roman"/>
                <w:sz w:val="16"/>
              </w:rPr>
            </w:pPr>
          </w:p>
        </w:tc>
      </w:tr>
      <w:tr w:rsidR="00A63476">
        <w:trPr>
          <w:trHeight w:val="366"/>
        </w:trPr>
        <w:tc>
          <w:tcPr>
            <w:tcW w:w="2478" w:type="dxa"/>
          </w:tcPr>
          <w:p w:rsidR="00A63476" w:rsidRDefault="00D22874">
            <w:pPr>
              <w:pStyle w:val="TableParagraph"/>
              <w:spacing w:before="111"/>
              <w:ind w:left="83"/>
              <w:rPr>
                <w:sz w:val="16"/>
              </w:rPr>
            </w:pPr>
            <w:r>
              <w:rPr>
                <w:sz w:val="16"/>
              </w:rPr>
              <w:t>Reubicación de Vivienda</w:t>
            </w:r>
          </w:p>
        </w:tc>
        <w:tc>
          <w:tcPr>
            <w:tcW w:w="1648" w:type="dxa"/>
            <w:tcBorders>
              <w:right w:val="single" w:sz="12" w:space="0" w:color="000000"/>
            </w:tcBorders>
          </w:tcPr>
          <w:p w:rsidR="00A63476" w:rsidRDefault="00D22874">
            <w:pPr>
              <w:pStyle w:val="TableParagraph"/>
              <w:spacing w:before="111"/>
              <w:ind w:left="82" w:right="70"/>
              <w:jc w:val="center"/>
              <w:rPr>
                <w:sz w:val="16"/>
              </w:rPr>
            </w:pPr>
            <w:r>
              <w:rPr>
                <w:sz w:val="16"/>
              </w:rPr>
              <w:t>172</w:t>
            </w:r>
          </w:p>
        </w:tc>
        <w:tc>
          <w:tcPr>
            <w:tcW w:w="554" w:type="dxa"/>
            <w:tcBorders>
              <w:left w:val="single" w:sz="12" w:space="0" w:color="000000"/>
            </w:tcBorders>
            <w:shd w:val="clear" w:color="auto" w:fill="D9D9D9"/>
          </w:tcPr>
          <w:p w:rsidR="00A63476" w:rsidRDefault="00D22874">
            <w:pPr>
              <w:pStyle w:val="TableParagraph"/>
              <w:spacing w:before="111"/>
              <w:ind w:right="2"/>
              <w:jc w:val="center"/>
              <w:rPr>
                <w:sz w:val="16"/>
              </w:rPr>
            </w:pPr>
            <w:r>
              <w:rPr>
                <w:sz w:val="16"/>
              </w:rPr>
              <w:t>X</w:t>
            </w:r>
          </w:p>
        </w:tc>
        <w:tc>
          <w:tcPr>
            <w:tcW w:w="692" w:type="dxa"/>
          </w:tcPr>
          <w:p w:rsidR="00A63476" w:rsidRDefault="00A63476">
            <w:pPr>
              <w:pStyle w:val="TableParagraph"/>
              <w:rPr>
                <w:rFonts w:ascii="Times New Roman"/>
                <w:sz w:val="16"/>
              </w:rPr>
            </w:pPr>
          </w:p>
        </w:tc>
        <w:tc>
          <w:tcPr>
            <w:tcW w:w="554" w:type="dxa"/>
            <w:shd w:val="clear" w:color="auto" w:fill="D9D9D9"/>
          </w:tcPr>
          <w:p w:rsidR="00A63476" w:rsidRDefault="00D22874">
            <w:pPr>
              <w:pStyle w:val="TableParagraph"/>
              <w:spacing w:before="111"/>
              <w:ind w:left="31"/>
              <w:jc w:val="center"/>
              <w:rPr>
                <w:sz w:val="16"/>
              </w:rPr>
            </w:pPr>
            <w:r>
              <w:rPr>
                <w:sz w:val="16"/>
              </w:rPr>
              <w:t>X</w:t>
            </w:r>
          </w:p>
        </w:tc>
        <w:tc>
          <w:tcPr>
            <w:tcW w:w="554" w:type="dxa"/>
            <w:tcBorders>
              <w:right w:val="single" w:sz="12" w:space="0" w:color="000000"/>
            </w:tcBorders>
          </w:tcPr>
          <w:p w:rsidR="00A63476" w:rsidRDefault="00A63476">
            <w:pPr>
              <w:pStyle w:val="TableParagraph"/>
              <w:rPr>
                <w:rFonts w:ascii="Times New Roman"/>
                <w:sz w:val="16"/>
              </w:rPr>
            </w:pPr>
          </w:p>
        </w:tc>
      </w:tr>
      <w:tr w:rsidR="00A63476">
        <w:trPr>
          <w:trHeight w:val="366"/>
        </w:trPr>
        <w:tc>
          <w:tcPr>
            <w:tcW w:w="2478" w:type="dxa"/>
          </w:tcPr>
          <w:p w:rsidR="00A63476" w:rsidRDefault="00D22874">
            <w:pPr>
              <w:pStyle w:val="TableParagraph"/>
              <w:spacing w:before="109"/>
              <w:ind w:left="83"/>
              <w:rPr>
                <w:sz w:val="16"/>
              </w:rPr>
            </w:pPr>
            <w:r>
              <w:rPr>
                <w:sz w:val="16"/>
              </w:rPr>
              <w:t>Acompañamiento Técnico</w:t>
            </w:r>
          </w:p>
        </w:tc>
        <w:tc>
          <w:tcPr>
            <w:tcW w:w="1648" w:type="dxa"/>
            <w:tcBorders>
              <w:right w:val="single" w:sz="12" w:space="0" w:color="000000"/>
            </w:tcBorders>
          </w:tcPr>
          <w:p w:rsidR="00A63476" w:rsidRDefault="00D22874">
            <w:pPr>
              <w:pStyle w:val="TableParagraph"/>
              <w:spacing w:before="109"/>
              <w:ind w:left="78" w:right="75"/>
              <w:jc w:val="center"/>
              <w:rPr>
                <w:sz w:val="16"/>
              </w:rPr>
            </w:pPr>
            <w:r>
              <w:rPr>
                <w:sz w:val="16"/>
              </w:rPr>
              <w:t>13</w:t>
            </w:r>
          </w:p>
        </w:tc>
        <w:tc>
          <w:tcPr>
            <w:tcW w:w="554" w:type="dxa"/>
            <w:tcBorders>
              <w:left w:val="single" w:sz="12" w:space="0" w:color="000000"/>
            </w:tcBorders>
          </w:tcPr>
          <w:p w:rsidR="00A63476" w:rsidRDefault="00A63476">
            <w:pPr>
              <w:pStyle w:val="TableParagraph"/>
              <w:rPr>
                <w:rFonts w:ascii="Times New Roman"/>
                <w:sz w:val="16"/>
              </w:rPr>
            </w:pPr>
          </w:p>
        </w:tc>
        <w:tc>
          <w:tcPr>
            <w:tcW w:w="692" w:type="dxa"/>
            <w:shd w:val="clear" w:color="auto" w:fill="D9D9D9"/>
          </w:tcPr>
          <w:p w:rsidR="00A63476" w:rsidRDefault="00D22874">
            <w:pPr>
              <w:pStyle w:val="TableParagraph"/>
              <w:spacing w:before="109"/>
              <w:jc w:val="center"/>
              <w:rPr>
                <w:sz w:val="16"/>
              </w:rPr>
            </w:pPr>
            <w:r>
              <w:rPr>
                <w:sz w:val="16"/>
              </w:rPr>
              <w:t>X</w:t>
            </w:r>
          </w:p>
        </w:tc>
        <w:tc>
          <w:tcPr>
            <w:tcW w:w="554" w:type="dxa"/>
          </w:tcPr>
          <w:p w:rsidR="00A63476" w:rsidRDefault="00A63476">
            <w:pPr>
              <w:pStyle w:val="TableParagraph"/>
              <w:rPr>
                <w:rFonts w:ascii="Times New Roman"/>
                <w:sz w:val="16"/>
              </w:rPr>
            </w:pPr>
          </w:p>
        </w:tc>
        <w:tc>
          <w:tcPr>
            <w:tcW w:w="554" w:type="dxa"/>
            <w:tcBorders>
              <w:right w:val="single" w:sz="12" w:space="0" w:color="000000"/>
            </w:tcBorders>
          </w:tcPr>
          <w:p w:rsidR="00A63476" w:rsidRDefault="00A63476">
            <w:pPr>
              <w:pStyle w:val="TableParagraph"/>
              <w:rPr>
                <w:rFonts w:ascii="Times New Roman"/>
                <w:sz w:val="16"/>
              </w:rPr>
            </w:pPr>
          </w:p>
        </w:tc>
      </w:tr>
      <w:tr w:rsidR="00A63476">
        <w:trPr>
          <w:trHeight w:val="366"/>
        </w:trPr>
        <w:tc>
          <w:tcPr>
            <w:tcW w:w="2478" w:type="dxa"/>
          </w:tcPr>
          <w:p w:rsidR="00A63476" w:rsidRDefault="00D22874">
            <w:pPr>
              <w:pStyle w:val="TableParagraph"/>
              <w:spacing w:before="107"/>
              <w:ind w:left="83"/>
              <w:rPr>
                <w:sz w:val="16"/>
              </w:rPr>
            </w:pPr>
            <w:r>
              <w:rPr>
                <w:sz w:val="16"/>
              </w:rPr>
              <w:t>Adquisición de suelo</w:t>
            </w:r>
          </w:p>
        </w:tc>
        <w:tc>
          <w:tcPr>
            <w:tcW w:w="1648" w:type="dxa"/>
            <w:tcBorders>
              <w:right w:val="single" w:sz="12" w:space="0" w:color="000000"/>
            </w:tcBorders>
          </w:tcPr>
          <w:p w:rsidR="00A63476" w:rsidRDefault="00D22874">
            <w:pPr>
              <w:pStyle w:val="TableParagraph"/>
              <w:spacing w:before="107"/>
              <w:ind w:left="78" w:right="75"/>
              <w:jc w:val="center"/>
              <w:rPr>
                <w:sz w:val="16"/>
              </w:rPr>
            </w:pPr>
            <w:r>
              <w:rPr>
                <w:sz w:val="16"/>
              </w:rPr>
              <w:t>45</w:t>
            </w:r>
          </w:p>
        </w:tc>
        <w:tc>
          <w:tcPr>
            <w:tcW w:w="554" w:type="dxa"/>
            <w:tcBorders>
              <w:left w:val="single" w:sz="12" w:space="0" w:color="000000"/>
            </w:tcBorders>
            <w:shd w:val="clear" w:color="auto" w:fill="D9D9D9"/>
          </w:tcPr>
          <w:p w:rsidR="00A63476" w:rsidRDefault="00D22874">
            <w:pPr>
              <w:pStyle w:val="TableParagraph"/>
              <w:spacing w:before="107"/>
              <w:ind w:right="2"/>
              <w:jc w:val="center"/>
              <w:rPr>
                <w:sz w:val="16"/>
              </w:rPr>
            </w:pPr>
            <w:r>
              <w:rPr>
                <w:sz w:val="16"/>
              </w:rPr>
              <w:t>X</w:t>
            </w:r>
          </w:p>
        </w:tc>
        <w:tc>
          <w:tcPr>
            <w:tcW w:w="692" w:type="dxa"/>
          </w:tcPr>
          <w:p w:rsidR="00A63476" w:rsidRDefault="00A63476">
            <w:pPr>
              <w:pStyle w:val="TableParagraph"/>
              <w:rPr>
                <w:rFonts w:ascii="Times New Roman"/>
                <w:sz w:val="16"/>
              </w:rPr>
            </w:pPr>
          </w:p>
        </w:tc>
        <w:tc>
          <w:tcPr>
            <w:tcW w:w="554" w:type="dxa"/>
          </w:tcPr>
          <w:p w:rsidR="00A63476" w:rsidRDefault="00A63476">
            <w:pPr>
              <w:pStyle w:val="TableParagraph"/>
              <w:rPr>
                <w:rFonts w:ascii="Times New Roman"/>
                <w:sz w:val="16"/>
              </w:rPr>
            </w:pPr>
          </w:p>
        </w:tc>
        <w:tc>
          <w:tcPr>
            <w:tcW w:w="554" w:type="dxa"/>
            <w:tcBorders>
              <w:right w:val="single" w:sz="12" w:space="0" w:color="000000"/>
            </w:tcBorders>
          </w:tcPr>
          <w:p w:rsidR="00A63476" w:rsidRDefault="00A63476">
            <w:pPr>
              <w:pStyle w:val="TableParagraph"/>
              <w:rPr>
                <w:rFonts w:ascii="Times New Roman"/>
                <w:sz w:val="16"/>
              </w:rPr>
            </w:pPr>
          </w:p>
        </w:tc>
      </w:tr>
      <w:tr w:rsidR="00A63476">
        <w:trPr>
          <w:trHeight w:val="366"/>
        </w:trPr>
        <w:tc>
          <w:tcPr>
            <w:tcW w:w="2478" w:type="dxa"/>
          </w:tcPr>
          <w:p w:rsidR="00A63476" w:rsidRDefault="00D22874">
            <w:pPr>
              <w:pStyle w:val="TableParagraph"/>
              <w:spacing w:before="106"/>
              <w:ind w:left="83"/>
              <w:rPr>
                <w:sz w:val="16"/>
              </w:rPr>
            </w:pPr>
            <w:r>
              <w:rPr>
                <w:sz w:val="16"/>
              </w:rPr>
              <w:t>Adquisición de Vivienda Nueva</w:t>
            </w:r>
          </w:p>
        </w:tc>
        <w:tc>
          <w:tcPr>
            <w:tcW w:w="1648" w:type="dxa"/>
            <w:tcBorders>
              <w:right w:val="single" w:sz="12" w:space="0" w:color="000000"/>
            </w:tcBorders>
          </w:tcPr>
          <w:p w:rsidR="00A63476" w:rsidRDefault="00D22874">
            <w:pPr>
              <w:pStyle w:val="TableParagraph"/>
              <w:spacing w:before="106"/>
              <w:ind w:left="82" w:right="70"/>
              <w:jc w:val="center"/>
              <w:rPr>
                <w:sz w:val="16"/>
              </w:rPr>
            </w:pPr>
            <w:r>
              <w:rPr>
                <w:sz w:val="16"/>
              </w:rPr>
              <w:t>172</w:t>
            </w:r>
          </w:p>
        </w:tc>
        <w:tc>
          <w:tcPr>
            <w:tcW w:w="554" w:type="dxa"/>
            <w:tcBorders>
              <w:left w:val="single" w:sz="12" w:space="0" w:color="000000"/>
            </w:tcBorders>
          </w:tcPr>
          <w:p w:rsidR="00A63476" w:rsidRDefault="00A63476">
            <w:pPr>
              <w:pStyle w:val="TableParagraph"/>
              <w:rPr>
                <w:rFonts w:ascii="Times New Roman"/>
                <w:sz w:val="16"/>
              </w:rPr>
            </w:pPr>
          </w:p>
        </w:tc>
        <w:tc>
          <w:tcPr>
            <w:tcW w:w="692" w:type="dxa"/>
          </w:tcPr>
          <w:p w:rsidR="00A63476" w:rsidRDefault="00A63476">
            <w:pPr>
              <w:pStyle w:val="TableParagraph"/>
              <w:rPr>
                <w:rFonts w:ascii="Times New Roman"/>
                <w:sz w:val="16"/>
              </w:rPr>
            </w:pPr>
          </w:p>
        </w:tc>
        <w:tc>
          <w:tcPr>
            <w:tcW w:w="554" w:type="dxa"/>
            <w:shd w:val="clear" w:color="auto" w:fill="D9D9D9"/>
          </w:tcPr>
          <w:p w:rsidR="00A63476" w:rsidRDefault="00D22874">
            <w:pPr>
              <w:pStyle w:val="TableParagraph"/>
              <w:spacing w:before="106"/>
              <w:ind w:left="31"/>
              <w:jc w:val="center"/>
              <w:rPr>
                <w:sz w:val="16"/>
              </w:rPr>
            </w:pPr>
            <w:r>
              <w:rPr>
                <w:sz w:val="16"/>
              </w:rPr>
              <w:t>X</w:t>
            </w:r>
          </w:p>
        </w:tc>
        <w:tc>
          <w:tcPr>
            <w:tcW w:w="554" w:type="dxa"/>
            <w:tcBorders>
              <w:right w:val="single" w:sz="12" w:space="0" w:color="000000"/>
            </w:tcBorders>
          </w:tcPr>
          <w:p w:rsidR="00A63476" w:rsidRDefault="00A63476">
            <w:pPr>
              <w:pStyle w:val="TableParagraph"/>
              <w:rPr>
                <w:rFonts w:ascii="Times New Roman"/>
                <w:sz w:val="16"/>
              </w:rPr>
            </w:pPr>
          </w:p>
        </w:tc>
      </w:tr>
      <w:tr w:rsidR="00A63476">
        <w:trPr>
          <w:trHeight w:val="366"/>
        </w:trPr>
        <w:tc>
          <w:tcPr>
            <w:tcW w:w="2478" w:type="dxa"/>
          </w:tcPr>
          <w:p w:rsidR="00A63476" w:rsidRDefault="00D22874">
            <w:pPr>
              <w:pStyle w:val="TableParagraph"/>
              <w:spacing w:before="104"/>
              <w:ind w:left="83"/>
              <w:rPr>
                <w:sz w:val="16"/>
              </w:rPr>
            </w:pPr>
            <w:r>
              <w:rPr>
                <w:sz w:val="16"/>
              </w:rPr>
              <w:t>Adquisición de Vivienda Usada</w:t>
            </w:r>
          </w:p>
        </w:tc>
        <w:tc>
          <w:tcPr>
            <w:tcW w:w="1648" w:type="dxa"/>
            <w:tcBorders>
              <w:right w:val="single" w:sz="12" w:space="0" w:color="000000"/>
            </w:tcBorders>
          </w:tcPr>
          <w:p w:rsidR="00A63476" w:rsidRDefault="00D22874">
            <w:pPr>
              <w:pStyle w:val="TableParagraph"/>
              <w:spacing w:before="104"/>
              <w:ind w:left="82" w:right="70"/>
              <w:jc w:val="center"/>
              <w:rPr>
                <w:sz w:val="16"/>
              </w:rPr>
            </w:pPr>
            <w:r>
              <w:rPr>
                <w:sz w:val="16"/>
              </w:rPr>
              <w:t>143</w:t>
            </w:r>
          </w:p>
        </w:tc>
        <w:tc>
          <w:tcPr>
            <w:tcW w:w="554" w:type="dxa"/>
            <w:tcBorders>
              <w:left w:val="single" w:sz="12" w:space="0" w:color="000000"/>
            </w:tcBorders>
          </w:tcPr>
          <w:p w:rsidR="00A63476" w:rsidRDefault="00A63476">
            <w:pPr>
              <w:pStyle w:val="TableParagraph"/>
              <w:rPr>
                <w:rFonts w:ascii="Times New Roman"/>
                <w:sz w:val="16"/>
              </w:rPr>
            </w:pPr>
          </w:p>
        </w:tc>
        <w:tc>
          <w:tcPr>
            <w:tcW w:w="692" w:type="dxa"/>
          </w:tcPr>
          <w:p w:rsidR="00A63476" w:rsidRDefault="00A63476">
            <w:pPr>
              <w:pStyle w:val="TableParagraph"/>
              <w:rPr>
                <w:rFonts w:ascii="Times New Roman"/>
                <w:sz w:val="16"/>
              </w:rPr>
            </w:pPr>
          </w:p>
        </w:tc>
        <w:tc>
          <w:tcPr>
            <w:tcW w:w="554" w:type="dxa"/>
            <w:shd w:val="clear" w:color="auto" w:fill="D9D9D9"/>
          </w:tcPr>
          <w:p w:rsidR="00A63476" w:rsidRDefault="00D22874">
            <w:pPr>
              <w:pStyle w:val="TableParagraph"/>
              <w:spacing w:before="104"/>
              <w:ind w:left="31"/>
              <w:jc w:val="center"/>
              <w:rPr>
                <w:sz w:val="16"/>
              </w:rPr>
            </w:pPr>
            <w:r>
              <w:rPr>
                <w:sz w:val="16"/>
              </w:rPr>
              <w:t>X</w:t>
            </w:r>
          </w:p>
        </w:tc>
        <w:tc>
          <w:tcPr>
            <w:tcW w:w="554" w:type="dxa"/>
            <w:tcBorders>
              <w:right w:val="single" w:sz="12" w:space="0" w:color="000000"/>
            </w:tcBorders>
          </w:tcPr>
          <w:p w:rsidR="00A63476" w:rsidRDefault="00A63476">
            <w:pPr>
              <w:pStyle w:val="TableParagraph"/>
              <w:rPr>
                <w:rFonts w:ascii="Times New Roman"/>
                <w:sz w:val="16"/>
              </w:rPr>
            </w:pPr>
          </w:p>
        </w:tc>
      </w:tr>
      <w:tr w:rsidR="00A63476">
        <w:trPr>
          <w:trHeight w:val="366"/>
        </w:trPr>
        <w:tc>
          <w:tcPr>
            <w:tcW w:w="2478" w:type="dxa"/>
          </w:tcPr>
          <w:p w:rsidR="00A63476" w:rsidRDefault="00D22874">
            <w:pPr>
              <w:pStyle w:val="TableParagraph"/>
              <w:spacing w:before="102"/>
              <w:ind w:left="83"/>
              <w:rPr>
                <w:sz w:val="16"/>
              </w:rPr>
            </w:pPr>
            <w:r>
              <w:rPr>
                <w:sz w:val="16"/>
              </w:rPr>
              <w:t>Estudios y Proyectos</w:t>
            </w:r>
          </w:p>
        </w:tc>
        <w:tc>
          <w:tcPr>
            <w:tcW w:w="1648" w:type="dxa"/>
            <w:tcBorders>
              <w:right w:val="single" w:sz="12" w:space="0" w:color="000000"/>
            </w:tcBorders>
          </w:tcPr>
          <w:p w:rsidR="00A63476" w:rsidRDefault="00D22874">
            <w:pPr>
              <w:pStyle w:val="TableParagraph"/>
              <w:spacing w:before="102"/>
              <w:ind w:left="82" w:right="74"/>
              <w:jc w:val="center"/>
              <w:rPr>
                <w:sz w:val="16"/>
              </w:rPr>
            </w:pPr>
            <w:r>
              <w:rPr>
                <w:sz w:val="16"/>
              </w:rPr>
              <w:t>3.5</w:t>
            </w:r>
          </w:p>
        </w:tc>
        <w:tc>
          <w:tcPr>
            <w:tcW w:w="554" w:type="dxa"/>
            <w:tcBorders>
              <w:left w:val="single" w:sz="12" w:space="0" w:color="000000"/>
            </w:tcBorders>
            <w:shd w:val="clear" w:color="auto" w:fill="D9D9D9"/>
          </w:tcPr>
          <w:p w:rsidR="00A63476" w:rsidRDefault="00D22874">
            <w:pPr>
              <w:pStyle w:val="TableParagraph"/>
              <w:spacing w:before="102"/>
              <w:ind w:right="2"/>
              <w:jc w:val="center"/>
              <w:rPr>
                <w:sz w:val="16"/>
              </w:rPr>
            </w:pPr>
            <w:r>
              <w:rPr>
                <w:sz w:val="16"/>
              </w:rPr>
              <w:t>X</w:t>
            </w:r>
          </w:p>
        </w:tc>
        <w:tc>
          <w:tcPr>
            <w:tcW w:w="692" w:type="dxa"/>
          </w:tcPr>
          <w:p w:rsidR="00A63476" w:rsidRDefault="00A63476">
            <w:pPr>
              <w:pStyle w:val="TableParagraph"/>
              <w:rPr>
                <w:rFonts w:ascii="Times New Roman"/>
                <w:sz w:val="16"/>
              </w:rPr>
            </w:pPr>
          </w:p>
        </w:tc>
        <w:tc>
          <w:tcPr>
            <w:tcW w:w="554" w:type="dxa"/>
          </w:tcPr>
          <w:p w:rsidR="00A63476" w:rsidRDefault="00A63476">
            <w:pPr>
              <w:pStyle w:val="TableParagraph"/>
              <w:rPr>
                <w:rFonts w:ascii="Times New Roman"/>
                <w:sz w:val="16"/>
              </w:rPr>
            </w:pPr>
          </w:p>
        </w:tc>
        <w:tc>
          <w:tcPr>
            <w:tcW w:w="554" w:type="dxa"/>
            <w:tcBorders>
              <w:right w:val="single" w:sz="12" w:space="0" w:color="000000"/>
            </w:tcBorders>
          </w:tcPr>
          <w:p w:rsidR="00A63476" w:rsidRDefault="00A63476">
            <w:pPr>
              <w:pStyle w:val="TableParagraph"/>
              <w:rPr>
                <w:rFonts w:ascii="Times New Roman"/>
                <w:sz w:val="16"/>
              </w:rPr>
            </w:pPr>
          </w:p>
        </w:tc>
      </w:tr>
      <w:tr w:rsidR="00A63476">
        <w:trPr>
          <w:trHeight w:val="366"/>
        </w:trPr>
        <w:tc>
          <w:tcPr>
            <w:tcW w:w="2478" w:type="dxa"/>
          </w:tcPr>
          <w:p w:rsidR="00A63476" w:rsidRDefault="00D22874">
            <w:pPr>
              <w:pStyle w:val="TableParagraph"/>
              <w:spacing w:before="100"/>
              <w:ind w:left="83"/>
              <w:rPr>
                <w:sz w:val="16"/>
              </w:rPr>
            </w:pPr>
            <w:r>
              <w:rPr>
                <w:sz w:val="16"/>
              </w:rPr>
              <w:t>Demolición</w:t>
            </w:r>
          </w:p>
        </w:tc>
        <w:tc>
          <w:tcPr>
            <w:tcW w:w="1648" w:type="dxa"/>
            <w:tcBorders>
              <w:right w:val="single" w:sz="12" w:space="0" w:color="000000"/>
            </w:tcBorders>
          </w:tcPr>
          <w:p w:rsidR="00A63476" w:rsidRDefault="00D22874">
            <w:pPr>
              <w:pStyle w:val="TableParagraph"/>
              <w:spacing w:before="100"/>
              <w:ind w:left="34"/>
              <w:jc w:val="center"/>
              <w:rPr>
                <w:sz w:val="16"/>
              </w:rPr>
            </w:pPr>
            <w:r>
              <w:rPr>
                <w:sz w:val="16"/>
              </w:rPr>
              <w:t>6</w:t>
            </w:r>
          </w:p>
        </w:tc>
        <w:tc>
          <w:tcPr>
            <w:tcW w:w="554" w:type="dxa"/>
            <w:tcBorders>
              <w:left w:val="single" w:sz="12" w:space="0" w:color="000000"/>
            </w:tcBorders>
            <w:shd w:val="clear" w:color="auto" w:fill="D9D9D9"/>
          </w:tcPr>
          <w:p w:rsidR="00A63476" w:rsidRDefault="00D22874">
            <w:pPr>
              <w:pStyle w:val="TableParagraph"/>
              <w:spacing w:before="100"/>
              <w:ind w:right="2"/>
              <w:jc w:val="center"/>
              <w:rPr>
                <w:sz w:val="16"/>
              </w:rPr>
            </w:pPr>
            <w:r>
              <w:rPr>
                <w:sz w:val="16"/>
              </w:rPr>
              <w:t>X</w:t>
            </w:r>
          </w:p>
        </w:tc>
        <w:tc>
          <w:tcPr>
            <w:tcW w:w="692" w:type="dxa"/>
          </w:tcPr>
          <w:p w:rsidR="00A63476" w:rsidRDefault="00A63476">
            <w:pPr>
              <w:pStyle w:val="TableParagraph"/>
              <w:rPr>
                <w:rFonts w:ascii="Times New Roman"/>
                <w:sz w:val="16"/>
              </w:rPr>
            </w:pPr>
          </w:p>
        </w:tc>
        <w:tc>
          <w:tcPr>
            <w:tcW w:w="554" w:type="dxa"/>
          </w:tcPr>
          <w:p w:rsidR="00A63476" w:rsidRDefault="00A63476">
            <w:pPr>
              <w:pStyle w:val="TableParagraph"/>
              <w:rPr>
                <w:rFonts w:ascii="Times New Roman"/>
                <w:sz w:val="16"/>
              </w:rPr>
            </w:pPr>
          </w:p>
        </w:tc>
        <w:tc>
          <w:tcPr>
            <w:tcW w:w="554" w:type="dxa"/>
            <w:tcBorders>
              <w:right w:val="single" w:sz="12" w:space="0" w:color="000000"/>
            </w:tcBorders>
          </w:tcPr>
          <w:p w:rsidR="00A63476" w:rsidRDefault="00A63476">
            <w:pPr>
              <w:pStyle w:val="TableParagraph"/>
              <w:rPr>
                <w:rFonts w:ascii="Times New Roman"/>
                <w:sz w:val="16"/>
              </w:rPr>
            </w:pPr>
          </w:p>
        </w:tc>
      </w:tr>
      <w:tr w:rsidR="00A63476">
        <w:trPr>
          <w:trHeight w:val="366"/>
        </w:trPr>
        <w:tc>
          <w:tcPr>
            <w:tcW w:w="2478" w:type="dxa"/>
          </w:tcPr>
          <w:p w:rsidR="00A63476" w:rsidRDefault="00D22874">
            <w:pPr>
              <w:pStyle w:val="TableParagraph"/>
              <w:spacing w:before="99"/>
              <w:ind w:left="83"/>
              <w:rPr>
                <w:sz w:val="16"/>
              </w:rPr>
            </w:pPr>
            <w:r>
              <w:rPr>
                <w:sz w:val="16"/>
              </w:rPr>
              <w:t>Edificación</w:t>
            </w:r>
          </w:p>
        </w:tc>
        <w:tc>
          <w:tcPr>
            <w:tcW w:w="1648" w:type="dxa"/>
            <w:tcBorders>
              <w:right w:val="single" w:sz="12" w:space="0" w:color="000000"/>
            </w:tcBorders>
          </w:tcPr>
          <w:p w:rsidR="00A63476" w:rsidRDefault="00D22874">
            <w:pPr>
              <w:pStyle w:val="TableParagraph"/>
              <w:spacing w:before="99"/>
              <w:ind w:left="76" w:right="75"/>
              <w:jc w:val="center"/>
              <w:rPr>
                <w:sz w:val="16"/>
              </w:rPr>
            </w:pPr>
            <w:r>
              <w:rPr>
                <w:sz w:val="16"/>
              </w:rPr>
              <w:t>113</w:t>
            </w:r>
          </w:p>
        </w:tc>
        <w:tc>
          <w:tcPr>
            <w:tcW w:w="554" w:type="dxa"/>
            <w:tcBorders>
              <w:left w:val="single" w:sz="12" w:space="0" w:color="000000"/>
            </w:tcBorders>
            <w:shd w:val="clear" w:color="auto" w:fill="D9D9D9"/>
          </w:tcPr>
          <w:p w:rsidR="00A63476" w:rsidRDefault="00D22874">
            <w:pPr>
              <w:pStyle w:val="TableParagraph"/>
              <w:spacing w:before="99"/>
              <w:ind w:right="2"/>
              <w:jc w:val="center"/>
              <w:rPr>
                <w:sz w:val="16"/>
              </w:rPr>
            </w:pPr>
            <w:r>
              <w:rPr>
                <w:sz w:val="16"/>
              </w:rPr>
              <w:t>X</w:t>
            </w:r>
          </w:p>
        </w:tc>
        <w:tc>
          <w:tcPr>
            <w:tcW w:w="692" w:type="dxa"/>
          </w:tcPr>
          <w:p w:rsidR="00A63476" w:rsidRDefault="00A63476">
            <w:pPr>
              <w:pStyle w:val="TableParagraph"/>
              <w:rPr>
                <w:rFonts w:ascii="Times New Roman"/>
                <w:sz w:val="16"/>
              </w:rPr>
            </w:pPr>
          </w:p>
        </w:tc>
        <w:tc>
          <w:tcPr>
            <w:tcW w:w="554" w:type="dxa"/>
          </w:tcPr>
          <w:p w:rsidR="00A63476" w:rsidRDefault="00A63476">
            <w:pPr>
              <w:pStyle w:val="TableParagraph"/>
              <w:rPr>
                <w:rFonts w:ascii="Times New Roman"/>
                <w:sz w:val="16"/>
              </w:rPr>
            </w:pPr>
          </w:p>
        </w:tc>
        <w:tc>
          <w:tcPr>
            <w:tcW w:w="554" w:type="dxa"/>
            <w:tcBorders>
              <w:right w:val="single" w:sz="12" w:space="0" w:color="000000"/>
            </w:tcBorders>
          </w:tcPr>
          <w:p w:rsidR="00A63476" w:rsidRDefault="00A63476">
            <w:pPr>
              <w:pStyle w:val="TableParagraph"/>
              <w:rPr>
                <w:rFonts w:ascii="Times New Roman"/>
                <w:sz w:val="16"/>
              </w:rPr>
            </w:pPr>
          </w:p>
        </w:tc>
      </w:tr>
      <w:tr w:rsidR="00A63476">
        <w:trPr>
          <w:trHeight w:val="366"/>
        </w:trPr>
        <w:tc>
          <w:tcPr>
            <w:tcW w:w="2478" w:type="dxa"/>
          </w:tcPr>
          <w:p w:rsidR="00A63476" w:rsidRDefault="00D22874">
            <w:pPr>
              <w:pStyle w:val="TableParagraph"/>
              <w:spacing w:before="97"/>
              <w:ind w:left="83"/>
              <w:rPr>
                <w:sz w:val="16"/>
              </w:rPr>
            </w:pPr>
            <w:r>
              <w:rPr>
                <w:sz w:val="16"/>
              </w:rPr>
              <w:t>Obra de Alcance Mayor</w:t>
            </w:r>
          </w:p>
        </w:tc>
        <w:tc>
          <w:tcPr>
            <w:tcW w:w="1648" w:type="dxa"/>
            <w:tcBorders>
              <w:right w:val="single" w:sz="12" w:space="0" w:color="000000"/>
            </w:tcBorders>
          </w:tcPr>
          <w:p w:rsidR="00A63476" w:rsidRDefault="00D22874">
            <w:pPr>
              <w:pStyle w:val="TableParagraph"/>
              <w:spacing w:before="97"/>
              <w:ind w:left="78" w:right="75"/>
              <w:jc w:val="center"/>
              <w:rPr>
                <w:sz w:val="16"/>
              </w:rPr>
            </w:pPr>
            <w:r>
              <w:rPr>
                <w:sz w:val="16"/>
              </w:rPr>
              <w:t>13</w:t>
            </w:r>
          </w:p>
        </w:tc>
        <w:tc>
          <w:tcPr>
            <w:tcW w:w="554" w:type="dxa"/>
            <w:tcBorders>
              <w:left w:val="single" w:sz="12" w:space="0" w:color="000000"/>
            </w:tcBorders>
            <w:shd w:val="clear" w:color="auto" w:fill="D9D9D9"/>
          </w:tcPr>
          <w:p w:rsidR="00A63476" w:rsidRDefault="00D22874">
            <w:pPr>
              <w:pStyle w:val="TableParagraph"/>
              <w:spacing w:before="97"/>
              <w:ind w:right="2"/>
              <w:jc w:val="center"/>
              <w:rPr>
                <w:sz w:val="16"/>
              </w:rPr>
            </w:pPr>
            <w:r>
              <w:rPr>
                <w:sz w:val="16"/>
              </w:rPr>
              <w:t>X</w:t>
            </w:r>
          </w:p>
        </w:tc>
        <w:tc>
          <w:tcPr>
            <w:tcW w:w="692" w:type="dxa"/>
          </w:tcPr>
          <w:p w:rsidR="00A63476" w:rsidRDefault="00A63476">
            <w:pPr>
              <w:pStyle w:val="TableParagraph"/>
              <w:rPr>
                <w:rFonts w:ascii="Times New Roman"/>
                <w:sz w:val="16"/>
              </w:rPr>
            </w:pPr>
          </w:p>
        </w:tc>
        <w:tc>
          <w:tcPr>
            <w:tcW w:w="554" w:type="dxa"/>
          </w:tcPr>
          <w:p w:rsidR="00A63476" w:rsidRDefault="00A63476">
            <w:pPr>
              <w:pStyle w:val="TableParagraph"/>
              <w:rPr>
                <w:rFonts w:ascii="Times New Roman"/>
                <w:sz w:val="16"/>
              </w:rPr>
            </w:pPr>
          </w:p>
        </w:tc>
        <w:tc>
          <w:tcPr>
            <w:tcW w:w="554" w:type="dxa"/>
            <w:tcBorders>
              <w:right w:val="single" w:sz="12" w:space="0" w:color="000000"/>
            </w:tcBorders>
          </w:tcPr>
          <w:p w:rsidR="00A63476" w:rsidRDefault="00A63476">
            <w:pPr>
              <w:pStyle w:val="TableParagraph"/>
              <w:rPr>
                <w:rFonts w:ascii="Times New Roman"/>
                <w:sz w:val="16"/>
              </w:rPr>
            </w:pPr>
          </w:p>
        </w:tc>
      </w:tr>
      <w:tr w:rsidR="00A63476">
        <w:trPr>
          <w:trHeight w:val="366"/>
        </w:trPr>
        <w:tc>
          <w:tcPr>
            <w:tcW w:w="2478" w:type="dxa"/>
          </w:tcPr>
          <w:p w:rsidR="00A63476" w:rsidRDefault="00D22874">
            <w:pPr>
              <w:pStyle w:val="TableParagraph"/>
              <w:spacing w:before="95"/>
              <w:ind w:left="83"/>
              <w:rPr>
                <w:sz w:val="16"/>
              </w:rPr>
            </w:pPr>
            <w:r>
              <w:rPr>
                <w:sz w:val="16"/>
              </w:rPr>
              <w:t>Ampliación de Vivienda</w:t>
            </w:r>
          </w:p>
        </w:tc>
        <w:tc>
          <w:tcPr>
            <w:tcW w:w="1648" w:type="dxa"/>
            <w:tcBorders>
              <w:right w:val="single" w:sz="12" w:space="0" w:color="000000"/>
            </w:tcBorders>
          </w:tcPr>
          <w:p w:rsidR="00A63476" w:rsidRDefault="00D22874">
            <w:pPr>
              <w:pStyle w:val="TableParagraph"/>
              <w:spacing w:before="95"/>
              <w:ind w:left="78" w:right="75"/>
              <w:jc w:val="center"/>
              <w:rPr>
                <w:sz w:val="16"/>
              </w:rPr>
            </w:pPr>
            <w:r>
              <w:rPr>
                <w:sz w:val="16"/>
              </w:rPr>
              <w:t>50</w:t>
            </w:r>
          </w:p>
        </w:tc>
        <w:tc>
          <w:tcPr>
            <w:tcW w:w="554" w:type="dxa"/>
            <w:tcBorders>
              <w:left w:val="single" w:sz="12" w:space="0" w:color="000000"/>
            </w:tcBorders>
          </w:tcPr>
          <w:p w:rsidR="00A63476" w:rsidRDefault="00A63476">
            <w:pPr>
              <w:pStyle w:val="TableParagraph"/>
              <w:rPr>
                <w:rFonts w:ascii="Times New Roman"/>
                <w:sz w:val="16"/>
              </w:rPr>
            </w:pPr>
          </w:p>
        </w:tc>
        <w:tc>
          <w:tcPr>
            <w:tcW w:w="692" w:type="dxa"/>
          </w:tcPr>
          <w:p w:rsidR="00A63476" w:rsidRDefault="00A63476">
            <w:pPr>
              <w:pStyle w:val="TableParagraph"/>
              <w:rPr>
                <w:rFonts w:ascii="Times New Roman"/>
                <w:sz w:val="16"/>
              </w:rPr>
            </w:pPr>
          </w:p>
        </w:tc>
        <w:tc>
          <w:tcPr>
            <w:tcW w:w="554" w:type="dxa"/>
          </w:tcPr>
          <w:p w:rsidR="00A63476" w:rsidRDefault="00A63476">
            <w:pPr>
              <w:pStyle w:val="TableParagraph"/>
              <w:rPr>
                <w:rFonts w:ascii="Times New Roman"/>
                <w:sz w:val="16"/>
              </w:rPr>
            </w:pPr>
          </w:p>
        </w:tc>
        <w:tc>
          <w:tcPr>
            <w:tcW w:w="554" w:type="dxa"/>
            <w:tcBorders>
              <w:right w:val="single" w:sz="12" w:space="0" w:color="000000"/>
            </w:tcBorders>
          </w:tcPr>
          <w:p w:rsidR="00A63476" w:rsidRDefault="00A63476">
            <w:pPr>
              <w:pStyle w:val="TableParagraph"/>
              <w:rPr>
                <w:rFonts w:ascii="Times New Roman"/>
                <w:sz w:val="16"/>
              </w:rPr>
            </w:pPr>
          </w:p>
        </w:tc>
      </w:tr>
      <w:tr w:rsidR="00A63476">
        <w:trPr>
          <w:trHeight w:val="366"/>
        </w:trPr>
        <w:tc>
          <w:tcPr>
            <w:tcW w:w="2478" w:type="dxa"/>
          </w:tcPr>
          <w:p w:rsidR="00A63476" w:rsidRDefault="00D22874">
            <w:pPr>
              <w:pStyle w:val="TableParagraph"/>
              <w:spacing w:before="94"/>
              <w:ind w:left="83"/>
              <w:rPr>
                <w:sz w:val="16"/>
              </w:rPr>
            </w:pPr>
            <w:r>
              <w:rPr>
                <w:sz w:val="16"/>
              </w:rPr>
              <w:t>Mejoramiento de vivienda</w:t>
            </w:r>
          </w:p>
        </w:tc>
        <w:tc>
          <w:tcPr>
            <w:tcW w:w="1648" w:type="dxa"/>
            <w:tcBorders>
              <w:right w:val="single" w:sz="12" w:space="0" w:color="000000"/>
            </w:tcBorders>
          </w:tcPr>
          <w:p w:rsidR="00A63476" w:rsidRDefault="00D22874">
            <w:pPr>
              <w:pStyle w:val="TableParagraph"/>
              <w:spacing w:before="94"/>
              <w:ind w:left="78" w:right="75"/>
              <w:jc w:val="center"/>
              <w:rPr>
                <w:sz w:val="16"/>
              </w:rPr>
            </w:pPr>
            <w:r>
              <w:rPr>
                <w:sz w:val="16"/>
              </w:rPr>
              <w:t>25</w:t>
            </w:r>
          </w:p>
        </w:tc>
        <w:tc>
          <w:tcPr>
            <w:tcW w:w="554" w:type="dxa"/>
            <w:tcBorders>
              <w:left w:val="single" w:sz="12" w:space="0" w:color="000000"/>
            </w:tcBorders>
          </w:tcPr>
          <w:p w:rsidR="00A63476" w:rsidRDefault="00A63476">
            <w:pPr>
              <w:pStyle w:val="TableParagraph"/>
              <w:rPr>
                <w:rFonts w:ascii="Times New Roman"/>
                <w:sz w:val="16"/>
              </w:rPr>
            </w:pPr>
          </w:p>
        </w:tc>
        <w:tc>
          <w:tcPr>
            <w:tcW w:w="692" w:type="dxa"/>
          </w:tcPr>
          <w:p w:rsidR="00A63476" w:rsidRDefault="00A63476">
            <w:pPr>
              <w:pStyle w:val="TableParagraph"/>
              <w:rPr>
                <w:rFonts w:ascii="Times New Roman"/>
                <w:sz w:val="16"/>
              </w:rPr>
            </w:pPr>
          </w:p>
        </w:tc>
        <w:tc>
          <w:tcPr>
            <w:tcW w:w="554" w:type="dxa"/>
          </w:tcPr>
          <w:p w:rsidR="00A63476" w:rsidRDefault="00A63476">
            <w:pPr>
              <w:pStyle w:val="TableParagraph"/>
              <w:rPr>
                <w:rFonts w:ascii="Times New Roman"/>
                <w:sz w:val="16"/>
              </w:rPr>
            </w:pPr>
          </w:p>
        </w:tc>
        <w:tc>
          <w:tcPr>
            <w:tcW w:w="554" w:type="dxa"/>
            <w:tcBorders>
              <w:right w:val="single" w:sz="12" w:space="0" w:color="000000"/>
            </w:tcBorders>
          </w:tcPr>
          <w:p w:rsidR="00A63476" w:rsidRDefault="00A63476">
            <w:pPr>
              <w:pStyle w:val="TableParagraph"/>
              <w:rPr>
                <w:rFonts w:ascii="Times New Roman"/>
                <w:sz w:val="16"/>
              </w:rPr>
            </w:pPr>
          </w:p>
        </w:tc>
      </w:tr>
      <w:tr w:rsidR="00A63476">
        <w:trPr>
          <w:trHeight w:val="582"/>
        </w:trPr>
        <w:tc>
          <w:tcPr>
            <w:tcW w:w="2478" w:type="dxa"/>
          </w:tcPr>
          <w:p w:rsidR="00A63476" w:rsidRDefault="00D22874">
            <w:pPr>
              <w:pStyle w:val="TableParagraph"/>
              <w:spacing w:before="112" w:line="261" w:lineRule="auto"/>
              <w:ind w:left="83" w:right="1017"/>
              <w:rPr>
                <w:sz w:val="16"/>
              </w:rPr>
            </w:pPr>
            <w:r>
              <w:rPr>
                <w:sz w:val="16"/>
              </w:rPr>
              <w:t>Vivienda Nueva (O autoproducción)</w:t>
            </w:r>
          </w:p>
        </w:tc>
        <w:tc>
          <w:tcPr>
            <w:tcW w:w="1648" w:type="dxa"/>
            <w:tcBorders>
              <w:right w:val="single" w:sz="12" w:space="0" w:color="000000"/>
            </w:tcBorders>
          </w:tcPr>
          <w:p w:rsidR="00A63476" w:rsidRDefault="00A63476">
            <w:pPr>
              <w:pStyle w:val="TableParagraph"/>
              <w:spacing w:before="5"/>
              <w:rPr>
                <w:b/>
                <w:sz w:val="18"/>
              </w:rPr>
            </w:pPr>
          </w:p>
          <w:p w:rsidR="00A63476" w:rsidRDefault="00D22874">
            <w:pPr>
              <w:pStyle w:val="TableParagraph"/>
              <w:ind w:left="82" w:right="70"/>
              <w:jc w:val="center"/>
              <w:rPr>
                <w:sz w:val="16"/>
              </w:rPr>
            </w:pPr>
            <w:r>
              <w:rPr>
                <w:sz w:val="16"/>
              </w:rPr>
              <w:t>127</w:t>
            </w:r>
          </w:p>
        </w:tc>
        <w:tc>
          <w:tcPr>
            <w:tcW w:w="554" w:type="dxa"/>
            <w:tcBorders>
              <w:left w:val="single" w:sz="12" w:space="0" w:color="000000"/>
            </w:tcBorders>
          </w:tcPr>
          <w:p w:rsidR="00A63476" w:rsidRDefault="00A63476">
            <w:pPr>
              <w:pStyle w:val="TableParagraph"/>
              <w:rPr>
                <w:rFonts w:ascii="Times New Roman"/>
                <w:sz w:val="16"/>
              </w:rPr>
            </w:pPr>
          </w:p>
        </w:tc>
        <w:tc>
          <w:tcPr>
            <w:tcW w:w="692" w:type="dxa"/>
          </w:tcPr>
          <w:p w:rsidR="00A63476" w:rsidRDefault="00A63476">
            <w:pPr>
              <w:pStyle w:val="TableParagraph"/>
              <w:rPr>
                <w:rFonts w:ascii="Times New Roman"/>
                <w:sz w:val="16"/>
              </w:rPr>
            </w:pPr>
          </w:p>
        </w:tc>
        <w:tc>
          <w:tcPr>
            <w:tcW w:w="554" w:type="dxa"/>
          </w:tcPr>
          <w:p w:rsidR="00A63476" w:rsidRDefault="00A63476">
            <w:pPr>
              <w:pStyle w:val="TableParagraph"/>
              <w:rPr>
                <w:rFonts w:ascii="Times New Roman"/>
                <w:sz w:val="16"/>
              </w:rPr>
            </w:pPr>
          </w:p>
        </w:tc>
        <w:tc>
          <w:tcPr>
            <w:tcW w:w="554" w:type="dxa"/>
            <w:tcBorders>
              <w:right w:val="single" w:sz="12" w:space="0" w:color="000000"/>
            </w:tcBorders>
          </w:tcPr>
          <w:p w:rsidR="00A63476" w:rsidRDefault="00A63476">
            <w:pPr>
              <w:pStyle w:val="TableParagraph"/>
              <w:rPr>
                <w:rFonts w:ascii="Times New Roman"/>
                <w:sz w:val="16"/>
              </w:rPr>
            </w:pPr>
          </w:p>
        </w:tc>
      </w:tr>
      <w:tr w:rsidR="00A63476">
        <w:trPr>
          <w:trHeight w:val="366"/>
        </w:trPr>
        <w:tc>
          <w:tcPr>
            <w:tcW w:w="2478" w:type="dxa"/>
          </w:tcPr>
          <w:p w:rsidR="00A63476" w:rsidRDefault="00D22874">
            <w:pPr>
              <w:pStyle w:val="TableParagraph"/>
              <w:spacing w:before="94"/>
              <w:ind w:left="83"/>
              <w:rPr>
                <w:sz w:val="16"/>
              </w:rPr>
            </w:pPr>
            <w:r>
              <w:rPr>
                <w:sz w:val="16"/>
              </w:rPr>
              <w:t>Sustentabilidad</w:t>
            </w:r>
          </w:p>
        </w:tc>
        <w:tc>
          <w:tcPr>
            <w:tcW w:w="1648" w:type="dxa"/>
            <w:tcBorders>
              <w:right w:val="single" w:sz="12" w:space="0" w:color="000000"/>
            </w:tcBorders>
          </w:tcPr>
          <w:p w:rsidR="00A63476" w:rsidRDefault="00D22874">
            <w:pPr>
              <w:pStyle w:val="TableParagraph"/>
              <w:spacing w:before="94"/>
              <w:ind w:left="78" w:right="75"/>
              <w:jc w:val="center"/>
              <w:rPr>
                <w:sz w:val="16"/>
              </w:rPr>
            </w:pPr>
            <w:r>
              <w:rPr>
                <w:sz w:val="16"/>
              </w:rPr>
              <w:t>13</w:t>
            </w:r>
          </w:p>
        </w:tc>
        <w:tc>
          <w:tcPr>
            <w:tcW w:w="554" w:type="dxa"/>
            <w:tcBorders>
              <w:left w:val="single" w:sz="12" w:space="0" w:color="000000"/>
            </w:tcBorders>
            <w:shd w:val="clear" w:color="auto" w:fill="D9D9D9"/>
          </w:tcPr>
          <w:p w:rsidR="00A63476" w:rsidRDefault="00D22874">
            <w:pPr>
              <w:pStyle w:val="TableParagraph"/>
              <w:spacing w:before="94"/>
              <w:ind w:right="2"/>
              <w:jc w:val="center"/>
              <w:rPr>
                <w:sz w:val="16"/>
              </w:rPr>
            </w:pPr>
            <w:r>
              <w:rPr>
                <w:sz w:val="16"/>
              </w:rPr>
              <w:t>X</w:t>
            </w:r>
          </w:p>
        </w:tc>
        <w:tc>
          <w:tcPr>
            <w:tcW w:w="692" w:type="dxa"/>
            <w:shd w:val="clear" w:color="auto" w:fill="D9D9D9"/>
          </w:tcPr>
          <w:p w:rsidR="00A63476" w:rsidRDefault="00D22874">
            <w:pPr>
              <w:pStyle w:val="TableParagraph"/>
              <w:spacing w:before="94"/>
              <w:jc w:val="center"/>
              <w:rPr>
                <w:sz w:val="16"/>
              </w:rPr>
            </w:pPr>
            <w:r>
              <w:rPr>
                <w:sz w:val="16"/>
              </w:rPr>
              <w:t>X</w:t>
            </w:r>
          </w:p>
        </w:tc>
        <w:tc>
          <w:tcPr>
            <w:tcW w:w="554" w:type="dxa"/>
          </w:tcPr>
          <w:p w:rsidR="00A63476" w:rsidRDefault="00A63476">
            <w:pPr>
              <w:pStyle w:val="TableParagraph"/>
              <w:rPr>
                <w:rFonts w:ascii="Times New Roman"/>
                <w:sz w:val="16"/>
              </w:rPr>
            </w:pPr>
          </w:p>
        </w:tc>
        <w:tc>
          <w:tcPr>
            <w:tcW w:w="554" w:type="dxa"/>
            <w:tcBorders>
              <w:right w:val="single" w:sz="12" w:space="0" w:color="000000"/>
            </w:tcBorders>
          </w:tcPr>
          <w:p w:rsidR="00A63476" w:rsidRDefault="00A63476">
            <w:pPr>
              <w:pStyle w:val="TableParagraph"/>
              <w:rPr>
                <w:rFonts w:ascii="Times New Roman"/>
                <w:sz w:val="16"/>
              </w:rPr>
            </w:pPr>
          </w:p>
        </w:tc>
      </w:tr>
      <w:tr w:rsidR="00A63476">
        <w:trPr>
          <w:trHeight w:val="366"/>
        </w:trPr>
        <w:tc>
          <w:tcPr>
            <w:tcW w:w="2478" w:type="dxa"/>
          </w:tcPr>
          <w:p w:rsidR="00A63476" w:rsidRDefault="00D22874">
            <w:pPr>
              <w:pStyle w:val="TableParagraph"/>
              <w:spacing w:before="93"/>
              <w:ind w:left="83"/>
              <w:rPr>
                <w:sz w:val="16"/>
              </w:rPr>
            </w:pPr>
            <w:r>
              <w:rPr>
                <w:sz w:val="16"/>
              </w:rPr>
              <w:t>Espacio Auxiliar Comunitario</w:t>
            </w:r>
          </w:p>
        </w:tc>
        <w:tc>
          <w:tcPr>
            <w:tcW w:w="1648" w:type="dxa"/>
            <w:tcBorders>
              <w:right w:val="single" w:sz="12" w:space="0" w:color="000000"/>
            </w:tcBorders>
          </w:tcPr>
          <w:p w:rsidR="00A63476" w:rsidRDefault="00D22874">
            <w:pPr>
              <w:pStyle w:val="TableParagraph"/>
              <w:spacing w:before="93"/>
              <w:ind w:left="82" w:right="70"/>
              <w:jc w:val="center"/>
              <w:rPr>
                <w:sz w:val="16"/>
              </w:rPr>
            </w:pPr>
            <w:r>
              <w:rPr>
                <w:sz w:val="16"/>
              </w:rPr>
              <w:t>172</w:t>
            </w:r>
          </w:p>
        </w:tc>
        <w:tc>
          <w:tcPr>
            <w:tcW w:w="554" w:type="dxa"/>
            <w:tcBorders>
              <w:left w:val="single" w:sz="12" w:space="0" w:color="000000"/>
            </w:tcBorders>
            <w:shd w:val="clear" w:color="auto" w:fill="D9D9D9"/>
          </w:tcPr>
          <w:p w:rsidR="00A63476" w:rsidRDefault="00D22874">
            <w:pPr>
              <w:pStyle w:val="TableParagraph"/>
              <w:spacing w:before="93"/>
              <w:ind w:right="2"/>
              <w:jc w:val="center"/>
              <w:rPr>
                <w:sz w:val="16"/>
              </w:rPr>
            </w:pPr>
            <w:r>
              <w:rPr>
                <w:sz w:val="16"/>
              </w:rPr>
              <w:t>X</w:t>
            </w:r>
          </w:p>
        </w:tc>
        <w:tc>
          <w:tcPr>
            <w:tcW w:w="692" w:type="dxa"/>
          </w:tcPr>
          <w:p w:rsidR="00A63476" w:rsidRDefault="00A63476">
            <w:pPr>
              <w:pStyle w:val="TableParagraph"/>
              <w:rPr>
                <w:rFonts w:ascii="Times New Roman"/>
                <w:sz w:val="16"/>
              </w:rPr>
            </w:pPr>
          </w:p>
        </w:tc>
        <w:tc>
          <w:tcPr>
            <w:tcW w:w="554" w:type="dxa"/>
          </w:tcPr>
          <w:p w:rsidR="00A63476" w:rsidRDefault="00A63476">
            <w:pPr>
              <w:pStyle w:val="TableParagraph"/>
              <w:rPr>
                <w:rFonts w:ascii="Times New Roman"/>
                <w:sz w:val="16"/>
              </w:rPr>
            </w:pPr>
          </w:p>
        </w:tc>
        <w:tc>
          <w:tcPr>
            <w:tcW w:w="554" w:type="dxa"/>
            <w:tcBorders>
              <w:right w:val="single" w:sz="12" w:space="0" w:color="000000"/>
            </w:tcBorders>
          </w:tcPr>
          <w:p w:rsidR="00A63476" w:rsidRDefault="00A63476">
            <w:pPr>
              <w:pStyle w:val="TableParagraph"/>
              <w:rPr>
                <w:rFonts w:ascii="Times New Roman"/>
                <w:sz w:val="16"/>
              </w:rPr>
            </w:pPr>
          </w:p>
        </w:tc>
      </w:tr>
      <w:tr w:rsidR="00A63476">
        <w:trPr>
          <w:trHeight w:val="366"/>
        </w:trPr>
        <w:tc>
          <w:tcPr>
            <w:tcW w:w="2478" w:type="dxa"/>
          </w:tcPr>
          <w:p w:rsidR="00A63476" w:rsidRDefault="00D22874">
            <w:pPr>
              <w:pStyle w:val="TableParagraph"/>
              <w:spacing w:before="111"/>
              <w:ind w:left="83"/>
              <w:rPr>
                <w:sz w:val="16"/>
              </w:rPr>
            </w:pPr>
            <w:r>
              <w:rPr>
                <w:sz w:val="16"/>
              </w:rPr>
              <w:t>Gastos Complementarios</w:t>
            </w:r>
          </w:p>
        </w:tc>
        <w:tc>
          <w:tcPr>
            <w:tcW w:w="1648" w:type="dxa"/>
            <w:tcBorders>
              <w:right w:val="single" w:sz="12" w:space="0" w:color="000000"/>
            </w:tcBorders>
          </w:tcPr>
          <w:p w:rsidR="00A63476" w:rsidRDefault="00D22874">
            <w:pPr>
              <w:pStyle w:val="TableParagraph"/>
              <w:spacing w:before="111"/>
              <w:ind w:left="78" w:right="75"/>
              <w:jc w:val="center"/>
              <w:rPr>
                <w:sz w:val="16"/>
              </w:rPr>
            </w:pPr>
            <w:r>
              <w:rPr>
                <w:sz w:val="16"/>
              </w:rPr>
              <w:t>13</w:t>
            </w:r>
          </w:p>
        </w:tc>
        <w:tc>
          <w:tcPr>
            <w:tcW w:w="554" w:type="dxa"/>
            <w:tcBorders>
              <w:left w:val="single" w:sz="12" w:space="0" w:color="000000"/>
              <w:bottom w:val="single" w:sz="12" w:space="0" w:color="000000"/>
            </w:tcBorders>
            <w:shd w:val="clear" w:color="auto" w:fill="D9D9D9"/>
          </w:tcPr>
          <w:p w:rsidR="00A63476" w:rsidRDefault="00D22874">
            <w:pPr>
              <w:pStyle w:val="TableParagraph"/>
              <w:spacing w:before="111"/>
              <w:ind w:right="2"/>
              <w:jc w:val="center"/>
              <w:rPr>
                <w:sz w:val="16"/>
              </w:rPr>
            </w:pPr>
            <w:r>
              <w:rPr>
                <w:sz w:val="16"/>
              </w:rPr>
              <w:t>X</w:t>
            </w:r>
          </w:p>
        </w:tc>
        <w:tc>
          <w:tcPr>
            <w:tcW w:w="692" w:type="dxa"/>
            <w:tcBorders>
              <w:bottom w:val="single" w:sz="12" w:space="0" w:color="000000"/>
            </w:tcBorders>
          </w:tcPr>
          <w:p w:rsidR="00A63476" w:rsidRDefault="00A63476">
            <w:pPr>
              <w:pStyle w:val="TableParagraph"/>
              <w:rPr>
                <w:rFonts w:ascii="Times New Roman"/>
                <w:sz w:val="16"/>
              </w:rPr>
            </w:pPr>
          </w:p>
        </w:tc>
        <w:tc>
          <w:tcPr>
            <w:tcW w:w="554" w:type="dxa"/>
            <w:tcBorders>
              <w:bottom w:val="single" w:sz="12" w:space="0" w:color="000000"/>
            </w:tcBorders>
          </w:tcPr>
          <w:p w:rsidR="00A63476" w:rsidRDefault="00A63476">
            <w:pPr>
              <w:pStyle w:val="TableParagraph"/>
              <w:rPr>
                <w:rFonts w:ascii="Times New Roman"/>
                <w:sz w:val="16"/>
              </w:rPr>
            </w:pPr>
          </w:p>
        </w:tc>
        <w:tc>
          <w:tcPr>
            <w:tcW w:w="554" w:type="dxa"/>
            <w:tcBorders>
              <w:bottom w:val="single" w:sz="12" w:space="0" w:color="000000"/>
              <w:right w:val="single" w:sz="12" w:space="0" w:color="000000"/>
            </w:tcBorders>
          </w:tcPr>
          <w:p w:rsidR="00A63476" w:rsidRDefault="00A63476">
            <w:pPr>
              <w:pStyle w:val="TableParagraph"/>
              <w:rPr>
                <w:rFonts w:ascii="Times New Roman"/>
                <w:sz w:val="16"/>
              </w:rPr>
            </w:pPr>
          </w:p>
        </w:tc>
      </w:tr>
    </w:tbl>
    <w:p w:rsidR="00A63476" w:rsidRDefault="00D22874">
      <w:pPr>
        <w:spacing w:before="155" w:line="278" w:lineRule="auto"/>
        <w:ind w:left="520" w:right="655" w:firstLine="280"/>
        <w:jc w:val="both"/>
        <w:rPr>
          <w:b/>
          <w:sz w:val="18"/>
        </w:rPr>
      </w:pPr>
      <w:r>
        <w:rPr>
          <w:b/>
          <w:sz w:val="18"/>
        </w:rPr>
        <w:t>Nota: Los montos del subsidio descritos incluyen 7% del pago por concepto de asistencia técnica. El porcentaje deberá ser referido contra el costo de la intervención y será aplicado como deductiva al subsidio aprobado.</w:t>
      </w:r>
    </w:p>
    <w:p w:rsidR="00A63476" w:rsidRDefault="00D22874">
      <w:pPr>
        <w:spacing w:before="100"/>
        <w:ind w:left="800"/>
        <w:rPr>
          <w:sz w:val="14"/>
        </w:rPr>
      </w:pPr>
      <w:r>
        <w:rPr>
          <w:w w:val="105"/>
          <w:sz w:val="18"/>
        </w:rPr>
        <w:t>I</w:t>
      </w:r>
      <w:r>
        <w:rPr>
          <w:w w:val="105"/>
          <w:sz w:val="14"/>
        </w:rPr>
        <w:t>NTEGRACIÓN DE LAS LÍNEAS DE APOYO</w:t>
      </w:r>
    </w:p>
    <w:p w:rsidR="00A63476" w:rsidRDefault="00D22874">
      <w:pPr>
        <w:spacing w:before="133" w:line="283" w:lineRule="auto"/>
        <w:ind w:left="520" w:right="655" w:firstLine="280"/>
        <w:jc w:val="both"/>
        <w:rPr>
          <w:i/>
          <w:sz w:val="18"/>
        </w:rPr>
      </w:pPr>
      <w:r>
        <w:rPr>
          <w:sz w:val="18"/>
        </w:rPr>
        <w:t>En</w:t>
      </w:r>
      <w:r>
        <w:rPr>
          <w:sz w:val="18"/>
        </w:rPr>
        <w:t xml:space="preserve"> la forma de intervención </w:t>
      </w:r>
      <w:r>
        <w:rPr>
          <w:i/>
          <w:sz w:val="18"/>
        </w:rPr>
        <w:t xml:space="preserve">Viviendas Afectadas por Fenómenos Naturales, </w:t>
      </w:r>
      <w:r>
        <w:rPr>
          <w:sz w:val="18"/>
        </w:rPr>
        <w:t xml:space="preserve">para definir el techo máximo para el subsidio, la </w:t>
      </w:r>
      <w:r>
        <w:rPr>
          <w:spacing w:val="-3"/>
          <w:sz w:val="18"/>
        </w:rPr>
        <w:t xml:space="preserve">CONAVI </w:t>
      </w:r>
      <w:r>
        <w:rPr>
          <w:sz w:val="18"/>
        </w:rPr>
        <w:t xml:space="preserve">revisará la solicitud y determinará la procedencia de la integración de las líneas de apoyo aplicables, en cada modalidad. Para </w:t>
      </w:r>
      <w:r>
        <w:rPr>
          <w:sz w:val="18"/>
        </w:rPr>
        <w:t xml:space="preserve">la modalidad de </w:t>
      </w:r>
      <w:r>
        <w:rPr>
          <w:i/>
          <w:sz w:val="18"/>
        </w:rPr>
        <w:t>Vivienda en Conjunto Habitacional</w:t>
      </w:r>
      <w:r>
        <w:rPr>
          <w:sz w:val="18"/>
        </w:rPr>
        <w:t xml:space="preserve">, </w:t>
      </w:r>
      <w:r>
        <w:rPr>
          <w:spacing w:val="-7"/>
          <w:sz w:val="18"/>
        </w:rPr>
        <w:t xml:space="preserve">en </w:t>
      </w:r>
      <w:r>
        <w:rPr>
          <w:sz w:val="18"/>
        </w:rPr>
        <w:t>Reubicación, se podrá disponer de la integración de las Líneas de Apoyo correspondientes a</w:t>
      </w:r>
      <w:r>
        <w:rPr>
          <w:i/>
          <w:sz w:val="18"/>
        </w:rPr>
        <w:t xml:space="preserve">: Adquisición de </w:t>
      </w:r>
      <w:r>
        <w:rPr>
          <w:i/>
          <w:sz w:val="18"/>
        </w:rPr>
        <w:t>Suelo, Estudios y Proyectos, Demolición, Edificación, Obra de Alcance Mayor, Sustentabilidad y</w:t>
      </w:r>
      <w:r>
        <w:rPr>
          <w:i/>
          <w:spacing w:val="-6"/>
          <w:sz w:val="18"/>
        </w:rPr>
        <w:t xml:space="preserve"> </w:t>
      </w:r>
      <w:r>
        <w:rPr>
          <w:i/>
          <w:sz w:val="18"/>
        </w:rPr>
        <w:t>Gastos</w:t>
      </w:r>
    </w:p>
    <w:p w:rsidR="00A63476" w:rsidRDefault="00A63476">
      <w:pPr>
        <w:spacing w:line="283" w:lineRule="auto"/>
        <w:jc w:val="both"/>
        <w:rPr>
          <w:sz w:val="18"/>
        </w:rPr>
        <w:sectPr w:rsidR="00A63476">
          <w:pgSz w:w="12240" w:h="15840"/>
          <w:pgMar w:top="920" w:right="1040" w:bottom="280" w:left="1180" w:header="700" w:footer="0" w:gutter="0"/>
          <w:cols w:space="720"/>
        </w:sectPr>
      </w:pPr>
    </w:p>
    <w:p w:rsidR="00A63476" w:rsidRDefault="00A63476">
      <w:pPr>
        <w:pStyle w:val="Textoindependiente"/>
        <w:spacing w:before="5"/>
        <w:ind w:left="0" w:right="0" w:firstLine="0"/>
        <w:jc w:val="left"/>
        <w:rPr>
          <w:i/>
          <w:sz w:val="12"/>
        </w:rPr>
      </w:pPr>
    </w:p>
    <w:p w:rsidR="00A63476" w:rsidRDefault="00D22874">
      <w:pPr>
        <w:pStyle w:val="Textoindependiente"/>
        <w:spacing w:before="95" w:line="285" w:lineRule="auto"/>
        <w:ind w:right="645" w:firstLine="0"/>
      </w:pPr>
      <w:r>
        <w:rPr>
          <w:i/>
        </w:rPr>
        <w:t>Complementarios</w:t>
      </w:r>
      <w:r>
        <w:t xml:space="preserve">, pudiendo ser un subsidio máximo integral de hasta 139 veces el valor de la UMA por vivienda. Para la modalidad de </w:t>
      </w:r>
      <w:r>
        <w:rPr>
          <w:i/>
        </w:rPr>
        <w:t>Vivienda en Espacio Edificable Rural o Urbano</w:t>
      </w:r>
      <w:r>
        <w:t xml:space="preserve">, se podrá disponer de la integración de las Líneas de Apoyo correspondientes a: </w:t>
      </w:r>
      <w:r>
        <w:rPr>
          <w:i/>
        </w:rPr>
        <w:t>Reparación Par</w:t>
      </w:r>
      <w:r>
        <w:rPr>
          <w:i/>
        </w:rPr>
        <w:t xml:space="preserve">cial y Sustentabilidad, </w:t>
      </w:r>
      <w:r>
        <w:t>pudiendo ser un subsidio máximo integral de hasta de 54 veces el valor de la UMA por vivienda; cuando se integren, Reparación Total, Sustentabilidad el monto máximo del subsidio será de hasta 117 veces el valor de la UMA por viviend</w:t>
      </w:r>
      <w:r>
        <w:t>a. Para la modalidad de Adquisición de Vivienda, en reubicación, se podrá disponer de la integración de las Líneas de Apoyo correspondientes a: Adquisición de Vivienda Nueva o Usada.</w:t>
      </w:r>
    </w:p>
    <w:p w:rsidR="00A63476" w:rsidRDefault="00D22874">
      <w:pPr>
        <w:pStyle w:val="Textoindependiente"/>
        <w:spacing w:before="95" w:line="302" w:lineRule="auto"/>
        <w:ind w:right="663"/>
      </w:pPr>
      <w:r>
        <w:t xml:space="preserve">Para efectos de la reubicación de vivienda y del acompañamiento técnico, </w:t>
      </w:r>
      <w:r>
        <w:t>las consideraciones aplicables son las siguientes:</w:t>
      </w:r>
    </w:p>
    <w:p w:rsidR="00A63476" w:rsidRDefault="00D22874">
      <w:pPr>
        <w:spacing w:before="99"/>
        <w:ind w:left="800"/>
        <w:rPr>
          <w:sz w:val="14"/>
        </w:rPr>
      </w:pPr>
      <w:r>
        <w:rPr>
          <w:w w:val="105"/>
          <w:sz w:val="18"/>
        </w:rPr>
        <w:t>R</w:t>
      </w:r>
      <w:r>
        <w:rPr>
          <w:w w:val="105"/>
          <w:sz w:val="14"/>
        </w:rPr>
        <w:t>EUBICACIÓN DE VIVIENDA</w:t>
      </w:r>
    </w:p>
    <w:p w:rsidR="00A63476" w:rsidRDefault="00D22874">
      <w:pPr>
        <w:pStyle w:val="Textoindependiente"/>
        <w:spacing w:before="153" w:line="302" w:lineRule="auto"/>
        <w:ind w:right="654"/>
      </w:pPr>
      <w:r>
        <w:t>Para la reubicación de aquellas viviendas ubicadas en asentamientos considerados de riesgo, será necesario proyectar su reubicación debiéndose iniciar el proceso con la gestión y ad</w:t>
      </w:r>
      <w:r>
        <w:t>quisición de un nuevo terreno para su posterior edificación, se podrá optar por las siguientes consideraciones:</w:t>
      </w:r>
    </w:p>
    <w:p w:rsidR="00A63476" w:rsidRDefault="00D22874">
      <w:pPr>
        <w:pStyle w:val="Prrafodelista"/>
        <w:numPr>
          <w:ilvl w:val="0"/>
          <w:numId w:val="46"/>
        </w:numPr>
        <w:tabs>
          <w:tab w:val="left" w:pos="1232"/>
        </w:tabs>
        <w:spacing w:before="97" w:line="302" w:lineRule="auto"/>
        <w:ind w:right="655" w:hanging="440"/>
        <w:rPr>
          <w:sz w:val="18"/>
        </w:rPr>
      </w:pPr>
      <w:r>
        <w:rPr>
          <w:sz w:val="18"/>
        </w:rPr>
        <w:t>La adquisición de predios para la reubicación de la vivienda afectada podrá ser a través de compra a un tercero o mediante la donación por parte</w:t>
      </w:r>
      <w:r>
        <w:rPr>
          <w:sz w:val="18"/>
        </w:rPr>
        <w:t xml:space="preserve"> del gobierno estatal o municipal o por los sectores social y privado.</w:t>
      </w:r>
    </w:p>
    <w:p w:rsidR="00A63476" w:rsidRDefault="00D22874">
      <w:pPr>
        <w:pStyle w:val="Prrafodelista"/>
        <w:numPr>
          <w:ilvl w:val="0"/>
          <w:numId w:val="46"/>
        </w:numPr>
        <w:tabs>
          <w:tab w:val="left" w:pos="1232"/>
        </w:tabs>
        <w:spacing w:before="98" w:line="292" w:lineRule="auto"/>
        <w:ind w:right="655" w:hanging="440"/>
        <w:rPr>
          <w:sz w:val="18"/>
        </w:rPr>
      </w:pPr>
      <w:r>
        <w:rPr>
          <w:sz w:val="18"/>
        </w:rPr>
        <w:t>Los predios para reubicación deberán considerar suelo seguro sin riegos, regularizado, libre de gravamen, en el ámbito urbano, deberá tener licencia de uso del suelo y contar con servic</w:t>
      </w:r>
      <w:r>
        <w:rPr>
          <w:sz w:val="18"/>
        </w:rPr>
        <w:t xml:space="preserve">ios de </w:t>
      </w:r>
      <w:r>
        <w:rPr>
          <w:spacing w:val="-5"/>
          <w:sz w:val="18"/>
        </w:rPr>
        <w:t xml:space="preserve">agua </w:t>
      </w:r>
      <w:r>
        <w:rPr>
          <w:sz w:val="18"/>
        </w:rPr>
        <w:t>potable, drenaje sanitario o equivalente y energía eléctrica, así como con accesibilidad a los centros de empleo, equipamiento y servicios</w:t>
      </w:r>
      <w:r>
        <w:rPr>
          <w:spacing w:val="-1"/>
          <w:sz w:val="18"/>
        </w:rPr>
        <w:t xml:space="preserve"> </w:t>
      </w:r>
      <w:r>
        <w:rPr>
          <w:sz w:val="18"/>
        </w:rPr>
        <w:t>urbanos.</w:t>
      </w:r>
    </w:p>
    <w:p w:rsidR="00A63476" w:rsidRDefault="00D22874">
      <w:pPr>
        <w:pStyle w:val="Prrafodelista"/>
        <w:numPr>
          <w:ilvl w:val="0"/>
          <w:numId w:val="46"/>
        </w:numPr>
        <w:tabs>
          <w:tab w:val="left" w:pos="1232"/>
        </w:tabs>
        <w:spacing w:before="110" w:line="302" w:lineRule="auto"/>
        <w:ind w:right="655" w:hanging="440"/>
        <w:rPr>
          <w:sz w:val="18"/>
        </w:rPr>
      </w:pPr>
      <w:r>
        <w:rPr>
          <w:sz w:val="18"/>
        </w:rPr>
        <w:t>El subsidio destinado a la construcción de la vivienda se podrá llevar a cabo por procesos de pr</w:t>
      </w:r>
      <w:r>
        <w:rPr>
          <w:sz w:val="18"/>
        </w:rPr>
        <w:t xml:space="preserve">oducción social asistida con el acompañamiento de asistencia técnica o con la contratación de una empresa constructora previamente inscritos en la </w:t>
      </w:r>
      <w:r>
        <w:rPr>
          <w:spacing w:val="-3"/>
          <w:sz w:val="18"/>
        </w:rPr>
        <w:t xml:space="preserve">CONAVI. </w:t>
      </w:r>
      <w:r>
        <w:rPr>
          <w:sz w:val="18"/>
        </w:rPr>
        <w:t>Para el caso de reconstrucción mediante empresa contratista se deberá asignar a un</w:t>
      </w:r>
      <w:r>
        <w:rPr>
          <w:spacing w:val="-1"/>
          <w:sz w:val="18"/>
        </w:rPr>
        <w:t xml:space="preserve"> </w:t>
      </w:r>
      <w:r>
        <w:rPr>
          <w:sz w:val="18"/>
        </w:rPr>
        <w:t>supervisor.</w:t>
      </w:r>
    </w:p>
    <w:p w:rsidR="00A63476" w:rsidRDefault="00D22874">
      <w:pPr>
        <w:pStyle w:val="Prrafodelista"/>
        <w:numPr>
          <w:ilvl w:val="0"/>
          <w:numId w:val="46"/>
        </w:numPr>
        <w:tabs>
          <w:tab w:val="left" w:pos="1232"/>
        </w:tabs>
        <w:spacing w:before="97" w:line="302" w:lineRule="auto"/>
        <w:ind w:right="663" w:hanging="440"/>
        <w:rPr>
          <w:sz w:val="18"/>
        </w:rPr>
      </w:pPr>
      <w:r>
        <w:rPr>
          <w:sz w:val="18"/>
        </w:rPr>
        <w:t>Se pod</w:t>
      </w:r>
      <w:r>
        <w:rPr>
          <w:sz w:val="18"/>
        </w:rPr>
        <w:t xml:space="preserve">rá aplicar la modalidad de adquisición de vivienda, ya sea en las líneas de adquisición </w:t>
      </w:r>
      <w:r>
        <w:rPr>
          <w:spacing w:val="-6"/>
          <w:sz w:val="18"/>
        </w:rPr>
        <w:t xml:space="preserve">de </w:t>
      </w:r>
      <w:r>
        <w:rPr>
          <w:sz w:val="18"/>
        </w:rPr>
        <w:t>vivienda nueva o usada.</w:t>
      </w:r>
    </w:p>
    <w:p w:rsidR="00A63476" w:rsidRDefault="00D22874">
      <w:pPr>
        <w:spacing w:before="98"/>
        <w:ind w:left="800"/>
        <w:rPr>
          <w:sz w:val="14"/>
        </w:rPr>
      </w:pPr>
      <w:r>
        <w:rPr>
          <w:w w:val="105"/>
          <w:sz w:val="18"/>
        </w:rPr>
        <w:t>A</w:t>
      </w:r>
      <w:r>
        <w:rPr>
          <w:w w:val="105"/>
          <w:sz w:val="14"/>
        </w:rPr>
        <w:t>SISTENCIA TÉCNICA</w:t>
      </w:r>
    </w:p>
    <w:p w:rsidR="00A63476" w:rsidRDefault="00D22874">
      <w:pPr>
        <w:pStyle w:val="Textoindependiente"/>
        <w:spacing w:before="153" w:line="295" w:lineRule="auto"/>
      </w:pPr>
      <w:r>
        <w:t xml:space="preserve">En caso de que las personas beneficiarias reciban por parte de otra dependencia, fundación o entidad de la Administración Pública federal, estatal o municipal, los recursos para la realización de las intervenciones </w:t>
      </w:r>
      <w:r>
        <w:rPr>
          <w:spacing w:val="-7"/>
        </w:rPr>
        <w:t xml:space="preserve">de </w:t>
      </w:r>
      <w:r>
        <w:t>su vivienda, ya sea para la reparación</w:t>
      </w:r>
      <w:r>
        <w:t xml:space="preserve"> parcial, total o la reubicación, podrán contar con un subsidio de hasta de 100% del costo de la asistencia técnica, para llevar a cabo el acompañamiento técnico necesario para la producción de su vivienda, en las etapas de diseño y</w:t>
      </w:r>
      <w:r>
        <w:rPr>
          <w:spacing w:val="-2"/>
        </w:rPr>
        <w:t xml:space="preserve"> </w:t>
      </w:r>
      <w:r>
        <w:t>construcción.</w:t>
      </w:r>
    </w:p>
    <w:p w:rsidR="00A63476" w:rsidRDefault="00D22874">
      <w:pPr>
        <w:spacing w:before="107"/>
        <w:ind w:left="800"/>
        <w:rPr>
          <w:sz w:val="14"/>
        </w:rPr>
      </w:pPr>
      <w:r>
        <w:rPr>
          <w:w w:val="105"/>
          <w:sz w:val="18"/>
        </w:rPr>
        <w:t>P</w:t>
      </w:r>
      <w:r>
        <w:rPr>
          <w:w w:val="105"/>
          <w:sz w:val="14"/>
        </w:rPr>
        <w:t>ARTICIPA</w:t>
      </w:r>
      <w:r>
        <w:rPr>
          <w:w w:val="105"/>
          <w:sz w:val="14"/>
        </w:rPr>
        <w:t>NTES</w:t>
      </w:r>
    </w:p>
    <w:p w:rsidR="00A63476" w:rsidRDefault="00D22874">
      <w:pPr>
        <w:pStyle w:val="Prrafodelista"/>
        <w:numPr>
          <w:ilvl w:val="0"/>
          <w:numId w:val="49"/>
        </w:numPr>
        <w:tabs>
          <w:tab w:val="left" w:pos="1231"/>
          <w:tab w:val="left" w:pos="1232"/>
        </w:tabs>
        <w:spacing w:before="153" w:line="417" w:lineRule="auto"/>
        <w:ind w:left="800" w:right="4343" w:firstLine="0"/>
        <w:jc w:val="left"/>
        <w:rPr>
          <w:sz w:val="18"/>
        </w:rPr>
      </w:pPr>
      <w:r>
        <w:rPr>
          <w:sz w:val="18"/>
        </w:rPr>
        <w:t>La Secretaría De Desarrollo</w:t>
      </w:r>
      <w:r>
        <w:rPr>
          <w:spacing w:val="-37"/>
          <w:sz w:val="18"/>
        </w:rPr>
        <w:t xml:space="preserve"> </w:t>
      </w:r>
      <w:r>
        <w:rPr>
          <w:sz w:val="18"/>
        </w:rPr>
        <w:t xml:space="preserve">Agrario Territorial Y </w:t>
      </w:r>
      <w:r>
        <w:rPr>
          <w:spacing w:val="-3"/>
          <w:sz w:val="18"/>
        </w:rPr>
        <w:t xml:space="preserve">Urbano </w:t>
      </w:r>
      <w:r>
        <w:rPr>
          <w:sz w:val="18"/>
        </w:rPr>
        <w:t>Presidirá la Comisión Intersecretarial de</w:t>
      </w:r>
      <w:r>
        <w:rPr>
          <w:spacing w:val="-1"/>
          <w:sz w:val="18"/>
        </w:rPr>
        <w:t xml:space="preserve"> </w:t>
      </w:r>
      <w:r>
        <w:rPr>
          <w:sz w:val="18"/>
        </w:rPr>
        <w:t>Reconstrucción</w:t>
      </w:r>
    </w:p>
    <w:p w:rsidR="00A63476" w:rsidRDefault="00D22874">
      <w:pPr>
        <w:pStyle w:val="Prrafodelista"/>
        <w:numPr>
          <w:ilvl w:val="0"/>
          <w:numId w:val="49"/>
        </w:numPr>
        <w:tabs>
          <w:tab w:val="left" w:pos="1231"/>
          <w:tab w:val="left" w:pos="1232"/>
        </w:tabs>
        <w:spacing w:before="0" w:line="417" w:lineRule="auto"/>
        <w:ind w:left="800" w:right="4824" w:firstLine="0"/>
        <w:jc w:val="left"/>
        <w:rPr>
          <w:sz w:val="18"/>
        </w:rPr>
      </w:pPr>
      <w:r>
        <w:rPr>
          <w:sz w:val="18"/>
        </w:rPr>
        <w:t xml:space="preserve">Comisión Intersecretarial De Reconstrucción </w:t>
      </w:r>
      <w:r>
        <w:rPr>
          <w:spacing w:val="-4"/>
          <w:sz w:val="18"/>
        </w:rPr>
        <w:t xml:space="preserve">(Cir) </w:t>
      </w:r>
      <w:r>
        <w:rPr>
          <w:sz w:val="18"/>
        </w:rPr>
        <w:t>Instancia de</w:t>
      </w:r>
      <w:r>
        <w:rPr>
          <w:spacing w:val="-1"/>
          <w:sz w:val="18"/>
        </w:rPr>
        <w:t xml:space="preserve"> </w:t>
      </w:r>
      <w:r>
        <w:rPr>
          <w:sz w:val="18"/>
        </w:rPr>
        <w:t>coordinación</w:t>
      </w:r>
    </w:p>
    <w:p w:rsidR="00A63476" w:rsidRDefault="00D22874">
      <w:pPr>
        <w:pStyle w:val="Prrafodelista"/>
        <w:numPr>
          <w:ilvl w:val="0"/>
          <w:numId w:val="49"/>
        </w:numPr>
        <w:tabs>
          <w:tab w:val="left" w:pos="1231"/>
          <w:tab w:val="left" w:pos="1232"/>
        </w:tabs>
        <w:spacing w:before="0" w:line="207" w:lineRule="exact"/>
        <w:ind w:left="1232"/>
        <w:jc w:val="left"/>
        <w:rPr>
          <w:sz w:val="18"/>
        </w:rPr>
      </w:pPr>
      <w:r>
        <w:rPr>
          <w:sz w:val="18"/>
        </w:rPr>
        <w:t>Comisión Nacional de</w:t>
      </w:r>
      <w:r>
        <w:rPr>
          <w:spacing w:val="-1"/>
          <w:sz w:val="18"/>
        </w:rPr>
        <w:t xml:space="preserve"> </w:t>
      </w:r>
      <w:r>
        <w:rPr>
          <w:sz w:val="18"/>
        </w:rPr>
        <w:t>Vivienda</w:t>
      </w:r>
    </w:p>
    <w:p w:rsidR="00A63476" w:rsidRDefault="00D22874">
      <w:pPr>
        <w:pStyle w:val="Textoindependiente"/>
        <w:spacing w:before="153"/>
        <w:ind w:left="800" w:right="0" w:firstLine="0"/>
      </w:pPr>
      <w:r>
        <w:t>Instancia encargada de otorgar el subsidio federal.</w:t>
      </w:r>
    </w:p>
    <w:p w:rsidR="00A63476" w:rsidRDefault="00D22874">
      <w:pPr>
        <w:pStyle w:val="Textoindependiente"/>
        <w:spacing w:before="153" w:line="302" w:lineRule="auto"/>
      </w:pPr>
      <w:r>
        <w:rPr>
          <w:spacing w:val="-3"/>
        </w:rPr>
        <w:t xml:space="preserve">También </w:t>
      </w:r>
      <w:r>
        <w:t xml:space="preserve">será quien defina el nivel o grado de intervención en cada una de las viviendas afectadas, a través de la inspección física que realice la asistencia técnica previamente acreditada ante la </w:t>
      </w:r>
      <w:r>
        <w:rPr>
          <w:spacing w:val="-3"/>
        </w:rPr>
        <w:t>CONAVI,</w:t>
      </w:r>
      <w:r>
        <w:rPr>
          <w:spacing w:val="44"/>
        </w:rPr>
        <w:t xml:space="preserve"> </w:t>
      </w:r>
      <w:r>
        <w:t>especificando si la reconstrucción será parcial o total (daño menor o mayor), o bien, si se requerirá la reubicación de la vivienda dañada, además del alcance en superficie y habitabilidad de la</w:t>
      </w:r>
      <w:r>
        <w:rPr>
          <w:spacing w:val="-2"/>
        </w:rPr>
        <w:t xml:space="preserve"> </w:t>
      </w:r>
      <w:r>
        <w:t>misma.</w:t>
      </w:r>
    </w:p>
    <w:p w:rsidR="00A63476" w:rsidRDefault="00D22874">
      <w:pPr>
        <w:pStyle w:val="Prrafodelista"/>
        <w:numPr>
          <w:ilvl w:val="0"/>
          <w:numId w:val="49"/>
        </w:numPr>
        <w:tabs>
          <w:tab w:val="left" w:pos="1232"/>
        </w:tabs>
        <w:spacing w:before="97"/>
        <w:ind w:left="1232"/>
        <w:rPr>
          <w:sz w:val="18"/>
        </w:rPr>
      </w:pPr>
      <w:r>
        <w:rPr>
          <w:sz w:val="18"/>
        </w:rPr>
        <w:t>Entidades federativas y municipios</w:t>
      </w:r>
    </w:p>
    <w:p w:rsidR="00A63476" w:rsidRDefault="00A63476">
      <w:pPr>
        <w:jc w:val="both"/>
        <w:rPr>
          <w:sz w:val="18"/>
        </w:rPr>
        <w:sectPr w:rsidR="00A63476">
          <w:pgSz w:w="12240" w:h="15840"/>
          <w:pgMar w:top="920" w:right="1040" w:bottom="280" w:left="1180" w:header="700" w:footer="0" w:gutter="0"/>
          <w:cols w:space="720"/>
        </w:sectPr>
      </w:pPr>
    </w:p>
    <w:p w:rsidR="00A63476" w:rsidRDefault="00A63476">
      <w:pPr>
        <w:pStyle w:val="Textoindependiente"/>
        <w:spacing w:before="2"/>
        <w:ind w:left="0" w:right="0" w:firstLine="0"/>
        <w:jc w:val="left"/>
        <w:rPr>
          <w:sz w:val="14"/>
        </w:rPr>
      </w:pPr>
    </w:p>
    <w:p w:rsidR="00A63476" w:rsidRDefault="00D22874">
      <w:pPr>
        <w:pStyle w:val="Textoindependiente"/>
        <w:spacing w:before="95" w:line="302" w:lineRule="auto"/>
        <w:ind w:right="663"/>
      </w:pPr>
      <w:r>
        <w:t xml:space="preserve">Podrán participar conforme a sus facultades y atribuciones en todas aquellas acciones que contribuyan </w:t>
      </w:r>
      <w:r>
        <w:rPr>
          <w:spacing w:val="-16"/>
        </w:rPr>
        <w:t>a</w:t>
      </w:r>
      <w:r>
        <w:rPr>
          <w:spacing w:val="18"/>
        </w:rPr>
        <w:t xml:space="preserve"> </w:t>
      </w:r>
      <w:r>
        <w:t>la materialización y a la agilización del Programa en favor de la población</w:t>
      </w:r>
      <w:r>
        <w:rPr>
          <w:spacing w:val="-1"/>
        </w:rPr>
        <w:t xml:space="preserve"> </w:t>
      </w:r>
      <w:r>
        <w:t>afectada.</w:t>
      </w:r>
    </w:p>
    <w:p w:rsidR="00A63476" w:rsidRDefault="00D22874">
      <w:pPr>
        <w:pStyle w:val="Prrafodelista"/>
        <w:numPr>
          <w:ilvl w:val="0"/>
          <w:numId w:val="49"/>
        </w:numPr>
        <w:tabs>
          <w:tab w:val="left" w:pos="1232"/>
        </w:tabs>
        <w:spacing w:before="98"/>
        <w:ind w:left="1232"/>
        <w:rPr>
          <w:sz w:val="18"/>
        </w:rPr>
      </w:pPr>
      <w:r>
        <w:rPr>
          <w:sz w:val="18"/>
        </w:rPr>
        <w:t>Organismo Ejecutor de Obra</w:t>
      </w:r>
      <w:r>
        <w:rPr>
          <w:spacing w:val="-1"/>
          <w:sz w:val="18"/>
        </w:rPr>
        <w:t xml:space="preserve"> </w:t>
      </w:r>
      <w:r>
        <w:rPr>
          <w:sz w:val="18"/>
        </w:rPr>
        <w:t>(OEO)</w:t>
      </w:r>
    </w:p>
    <w:p w:rsidR="00A63476" w:rsidRDefault="00D22874">
      <w:pPr>
        <w:pStyle w:val="Textoindependiente"/>
        <w:spacing w:before="153" w:line="292" w:lineRule="auto"/>
      </w:pPr>
      <w:r>
        <w:t>Acreditado ante la Comisión podrá</w:t>
      </w:r>
      <w:r>
        <w:t xml:space="preserve"> ser asignado por las personas beneficiarias del programa, para desarrollar, acompañar y ejecutar los procesos constructivos en la modalidad de Vivienda Nueva en Conjunto Habitacional, y en Vivienda Nueva en Espacio Edificable Rural o Urbano. Los lineamien</w:t>
      </w:r>
      <w:r>
        <w:t xml:space="preserve">tos para el proceso de registro como OEO, </w:t>
      </w:r>
      <w:hyperlink r:id="rId25">
        <w:r>
          <w:t>se podrán consultar en la página www.gob.mx/conavi</w:t>
        </w:r>
      </w:hyperlink>
    </w:p>
    <w:p w:rsidR="00A63476" w:rsidRDefault="00D22874">
      <w:pPr>
        <w:pStyle w:val="Prrafodelista"/>
        <w:numPr>
          <w:ilvl w:val="0"/>
          <w:numId w:val="49"/>
        </w:numPr>
        <w:tabs>
          <w:tab w:val="left" w:pos="1232"/>
        </w:tabs>
        <w:spacing w:before="90"/>
        <w:ind w:left="1232"/>
        <w:rPr>
          <w:sz w:val="18"/>
        </w:rPr>
      </w:pPr>
      <w:r>
        <w:rPr>
          <w:sz w:val="18"/>
        </w:rPr>
        <w:t>Asistencia técnica</w:t>
      </w:r>
    </w:p>
    <w:p w:rsidR="00A63476" w:rsidRDefault="00D22874">
      <w:pPr>
        <w:pStyle w:val="Textoindependiente"/>
        <w:spacing w:before="133" w:line="264" w:lineRule="auto"/>
      </w:pPr>
      <w:r>
        <w:t>En todos los casos la intervención habitacional se hará con apoyo y acompañamiento de una asistencia</w:t>
      </w:r>
      <w:r>
        <w:t xml:space="preserve"> técnica calificada que comprende aspectos técnicos, financieros, organizativos, legales y de gestión, adecuados a las características de las familias beneficiarias del programa y atendiendo las condiciones de habitabilidad y seguridad estructural.</w:t>
      </w:r>
    </w:p>
    <w:p w:rsidR="00A63476" w:rsidRDefault="00D22874">
      <w:pPr>
        <w:pStyle w:val="Textoindependiente"/>
        <w:spacing w:before="89" w:line="264" w:lineRule="auto"/>
      </w:pPr>
      <w:r>
        <w:t>La cola</w:t>
      </w:r>
      <w:r>
        <w:t>boración de los profesionales que participan en la asistencia técnica se establecerá por corredores, zonas o regiones que abarquen los sitios de intervención, de acuerdo con sus posibilidades de trabajo, respetando su labor en sus áreas de influencia, de m</w:t>
      </w:r>
      <w:r>
        <w:t>odo tal que se pueda garantizar su participación y permanencia en el programa.</w:t>
      </w:r>
    </w:p>
    <w:p w:rsidR="00A63476" w:rsidRDefault="00D22874">
      <w:pPr>
        <w:pStyle w:val="Textoindependiente"/>
        <w:spacing w:before="109" w:line="254" w:lineRule="auto"/>
        <w:ind w:right="663"/>
      </w:pPr>
      <w:r>
        <w:t xml:space="preserve">Los lineamientos para el proceso de acreditación para la asistencia técnica, se podrán consultar en la </w:t>
      </w:r>
      <w:hyperlink r:id="rId26">
        <w:r>
          <w:t>página www.gob.mx/conavi</w:t>
        </w:r>
      </w:hyperlink>
    </w:p>
    <w:p w:rsidR="00A63476" w:rsidRDefault="00D22874">
      <w:pPr>
        <w:pStyle w:val="Prrafodelista"/>
        <w:numPr>
          <w:ilvl w:val="0"/>
          <w:numId w:val="49"/>
        </w:numPr>
        <w:tabs>
          <w:tab w:val="left" w:pos="1232"/>
        </w:tabs>
        <w:spacing w:before="122"/>
        <w:ind w:left="1232"/>
        <w:rPr>
          <w:sz w:val="18"/>
        </w:rPr>
      </w:pPr>
      <w:r>
        <w:rPr>
          <w:sz w:val="18"/>
        </w:rPr>
        <w:t>Super</w:t>
      </w:r>
      <w:r>
        <w:rPr>
          <w:sz w:val="18"/>
        </w:rPr>
        <w:t>visión técnica y</w:t>
      </w:r>
      <w:r>
        <w:rPr>
          <w:spacing w:val="-1"/>
          <w:sz w:val="18"/>
        </w:rPr>
        <w:t xml:space="preserve"> </w:t>
      </w:r>
      <w:r>
        <w:rPr>
          <w:sz w:val="18"/>
        </w:rPr>
        <w:t>administrativa</w:t>
      </w:r>
    </w:p>
    <w:p w:rsidR="00A63476" w:rsidRDefault="00D22874">
      <w:pPr>
        <w:pStyle w:val="Textoindependiente"/>
        <w:spacing w:before="113" w:line="264" w:lineRule="auto"/>
      </w:pPr>
      <w:r>
        <w:t>Se encargará de la supervisión técnica y administrativa de las obras durante el proceso de construcción de la vivienda en cumplimiento de las condiciones aprobadas y conforme a los atributos en la vivienda establecidos por l</w:t>
      </w:r>
      <w:r>
        <w:t xml:space="preserve">a CONAVI. Los lineamientos para el proceso de registro como supervisor de obra se podrán consultar en la página </w:t>
      </w:r>
      <w:hyperlink r:id="rId27">
        <w:r>
          <w:rPr>
            <w:u w:val="single"/>
          </w:rPr>
          <w:t>www.gob.mx/conav</w:t>
        </w:r>
        <w:r>
          <w:t>i</w:t>
        </w:r>
      </w:hyperlink>
    </w:p>
    <w:p w:rsidR="00A63476" w:rsidRDefault="00D22874">
      <w:pPr>
        <w:pStyle w:val="Prrafodelista"/>
        <w:numPr>
          <w:ilvl w:val="0"/>
          <w:numId w:val="49"/>
        </w:numPr>
        <w:tabs>
          <w:tab w:val="left" w:pos="1232"/>
        </w:tabs>
        <w:spacing w:before="109"/>
        <w:ind w:left="1232"/>
        <w:rPr>
          <w:sz w:val="18"/>
        </w:rPr>
      </w:pPr>
      <w:r>
        <w:rPr>
          <w:sz w:val="18"/>
        </w:rPr>
        <w:t>Empresas</w:t>
      </w:r>
      <w:r>
        <w:rPr>
          <w:spacing w:val="-1"/>
          <w:sz w:val="18"/>
        </w:rPr>
        <w:t xml:space="preserve"> </w:t>
      </w:r>
      <w:r>
        <w:rPr>
          <w:sz w:val="18"/>
        </w:rPr>
        <w:t>constructoras</w:t>
      </w:r>
    </w:p>
    <w:p w:rsidR="00A63476" w:rsidRDefault="00D22874">
      <w:pPr>
        <w:pStyle w:val="Textoindependiente"/>
        <w:spacing w:before="113" w:line="266" w:lineRule="auto"/>
        <w:ind w:right="656"/>
      </w:pPr>
      <w:r>
        <w:t xml:space="preserve">Podrán participar en la línea de apoyo Reparación total de </w:t>
      </w:r>
      <w:r>
        <w:t>vivienda, para ello se deberá acompañar el proceso por una empresa de supervisión previamente registrada ante la Comisión, con cargo al subsidio otorgado para la intervención habitacional.</w:t>
      </w:r>
    </w:p>
    <w:p w:rsidR="00A63476" w:rsidRDefault="00D22874">
      <w:pPr>
        <w:pStyle w:val="Prrafodelista"/>
        <w:numPr>
          <w:ilvl w:val="0"/>
          <w:numId w:val="49"/>
        </w:numPr>
        <w:tabs>
          <w:tab w:val="left" w:pos="1232"/>
        </w:tabs>
        <w:spacing w:before="111"/>
        <w:ind w:left="1232"/>
        <w:rPr>
          <w:sz w:val="18"/>
        </w:rPr>
      </w:pPr>
      <w:r>
        <w:rPr>
          <w:sz w:val="18"/>
        </w:rPr>
        <w:t>Verificadores</w:t>
      </w:r>
    </w:p>
    <w:p w:rsidR="00A63476" w:rsidRDefault="00D22874">
      <w:pPr>
        <w:pStyle w:val="Textoindependiente"/>
        <w:spacing w:before="113" w:line="266" w:lineRule="auto"/>
      </w:pPr>
      <w:r>
        <w:t>La CONAVI podrá optar por la contratación de personas físicas o morales previamente inscritas ante la misma Comisión, para verificar el cumplimiento del acompañamiento técnico, así como de la correcta aplicación de los subsidios otorgados para el desarroll</w:t>
      </w:r>
      <w:r>
        <w:t>o del Programa.</w:t>
      </w:r>
    </w:p>
    <w:p w:rsidR="00A63476" w:rsidRDefault="00D22874">
      <w:pPr>
        <w:pStyle w:val="Ttulo1"/>
        <w:numPr>
          <w:ilvl w:val="2"/>
          <w:numId w:val="52"/>
        </w:numPr>
        <w:tabs>
          <w:tab w:val="left" w:pos="1337"/>
        </w:tabs>
        <w:spacing w:before="90"/>
        <w:ind w:left="1337" w:hanging="537"/>
        <w:jc w:val="both"/>
      </w:pPr>
      <w:r>
        <w:t>Vivienda ubicada en proyectos</w:t>
      </w:r>
      <w:r>
        <w:rPr>
          <w:spacing w:val="-2"/>
        </w:rPr>
        <w:t xml:space="preserve"> </w:t>
      </w:r>
      <w:r>
        <w:t>estratégicos</w:t>
      </w:r>
    </w:p>
    <w:p w:rsidR="00A63476" w:rsidRDefault="00D22874">
      <w:pPr>
        <w:spacing w:before="133"/>
        <w:ind w:left="800"/>
        <w:jc w:val="both"/>
        <w:rPr>
          <w:sz w:val="14"/>
        </w:rPr>
      </w:pPr>
      <w:r>
        <w:rPr>
          <w:w w:val="105"/>
          <w:sz w:val="18"/>
        </w:rPr>
        <w:t>O</w:t>
      </w:r>
      <w:r>
        <w:rPr>
          <w:w w:val="105"/>
          <w:sz w:val="14"/>
        </w:rPr>
        <w:t>BJETO DE LA FORMA DE INTERVENCIÓN</w:t>
      </w:r>
    </w:p>
    <w:p w:rsidR="00A63476" w:rsidRDefault="00D22874">
      <w:pPr>
        <w:pStyle w:val="Textoindependiente"/>
        <w:spacing w:before="114" w:line="266" w:lineRule="auto"/>
      </w:pPr>
      <w:r>
        <w:t xml:space="preserve">Se refiere a la intervención habitacional en zonas específicas destinadas al desarrollo de proyectos estratégicos, de alto impacto social y económico, propuestos </w:t>
      </w:r>
      <w:r>
        <w:t xml:space="preserve">por el gobierno federal, que tendrán como consecuencia la demanda de vivienda y satisfactores urbanos en las localidades involucradas en dichos proyectos, ya sea de población asentada en los sitios impactados o por la población que arribará producto de la </w:t>
      </w:r>
      <w:r>
        <w:t>oferta de empleos de la inversión económica que en ellas tendrán lugar.</w:t>
      </w:r>
    </w:p>
    <w:p w:rsidR="00A63476" w:rsidRDefault="00D22874">
      <w:pPr>
        <w:pStyle w:val="Textoindependiente"/>
        <w:spacing w:before="91" w:line="264" w:lineRule="auto"/>
      </w:pPr>
      <w:r>
        <w:t xml:space="preserve">Los esquemas de operación aplicables son: Subsidio proveniente de los gobiernos de las Entidades Federativas a través de los Organismos Estatales de Vivienda, más subsidio </w:t>
      </w:r>
      <w:r>
        <w:rPr>
          <w:spacing w:val="-3"/>
        </w:rPr>
        <w:t xml:space="preserve">CONAVI, </w:t>
      </w:r>
      <w:r>
        <w:t>más ahorro previo de la persona beneficiaria.; Crédito otorgado por una enti</w:t>
      </w:r>
      <w:r>
        <w:t xml:space="preserve">dad ejecutora, más subsidio </w:t>
      </w:r>
      <w:r>
        <w:rPr>
          <w:spacing w:val="-3"/>
        </w:rPr>
        <w:t xml:space="preserve">CONAVI, </w:t>
      </w:r>
      <w:r>
        <w:t xml:space="preserve">más ahorro </w:t>
      </w:r>
      <w:r>
        <w:rPr>
          <w:spacing w:val="-3"/>
        </w:rPr>
        <w:t xml:space="preserve">previo </w:t>
      </w:r>
      <w:r>
        <w:t xml:space="preserve">de la persona beneficiaria; </w:t>
      </w:r>
      <w:r>
        <w:rPr>
          <w:spacing w:val="-7"/>
        </w:rPr>
        <w:t xml:space="preserve">y, </w:t>
      </w:r>
      <w:r>
        <w:t xml:space="preserve">Subsidio </w:t>
      </w:r>
      <w:r>
        <w:rPr>
          <w:spacing w:val="-3"/>
        </w:rPr>
        <w:t>CONAVI</w:t>
      </w:r>
      <w:r>
        <w:rPr>
          <w:spacing w:val="4"/>
        </w:rPr>
        <w:t xml:space="preserve"> </w:t>
      </w:r>
      <w:r>
        <w:t>100%.</w:t>
      </w:r>
    </w:p>
    <w:p w:rsidR="00A63476" w:rsidRDefault="00D22874">
      <w:pPr>
        <w:spacing w:before="109"/>
        <w:ind w:left="800"/>
        <w:jc w:val="both"/>
        <w:rPr>
          <w:sz w:val="14"/>
        </w:rPr>
      </w:pPr>
      <w:r>
        <w:rPr>
          <w:w w:val="105"/>
          <w:sz w:val="18"/>
        </w:rPr>
        <w:t>P</w:t>
      </w:r>
      <w:r>
        <w:rPr>
          <w:w w:val="105"/>
          <w:sz w:val="14"/>
        </w:rPr>
        <w:t>OBLACIÓN BENEFICIARIA</w:t>
      </w:r>
    </w:p>
    <w:p w:rsidR="00A63476" w:rsidRDefault="00D22874">
      <w:pPr>
        <w:pStyle w:val="Textoindependiente"/>
        <w:spacing w:before="113" w:line="266" w:lineRule="auto"/>
      </w:pPr>
      <w:r>
        <w:t>En esta forma de intervención, la población beneficiaria será aquella que se encuentre identificada como parte de los proyecto</w:t>
      </w:r>
      <w:r>
        <w:t xml:space="preserve">s de intervención definidos por la </w:t>
      </w:r>
      <w:r>
        <w:rPr>
          <w:spacing w:val="-3"/>
        </w:rPr>
        <w:t xml:space="preserve">SEDATU </w:t>
      </w:r>
      <w:r>
        <w:t>y que cumpla con los criterios y requisitos para la población objetivo dispuestos en el numeral 4.4. de las presentes Reglas de</w:t>
      </w:r>
      <w:r>
        <w:rPr>
          <w:spacing w:val="-2"/>
        </w:rPr>
        <w:t xml:space="preserve"> </w:t>
      </w:r>
      <w:r>
        <w:t>Operación.</w:t>
      </w:r>
    </w:p>
    <w:p w:rsidR="00A63476" w:rsidRDefault="00D22874">
      <w:pPr>
        <w:pStyle w:val="Textoindependiente"/>
        <w:spacing w:before="111" w:line="254" w:lineRule="auto"/>
      </w:pPr>
      <w:r>
        <w:t>En los casos de población beneficiaria derechohabiente de INFONAVIT, FOVISS</w:t>
      </w:r>
      <w:r>
        <w:t>STE o de otro Organismo de Seguridad Social municipal, estatal o federal, con ingreso individual de hasta 2.8 veces el valor de la UMA, así como de la población no derechohabientes con ingreso individual de hasta 5 veces el valor de la UMA y</w:t>
      </w:r>
    </w:p>
    <w:p w:rsidR="00A63476" w:rsidRDefault="00A63476">
      <w:pPr>
        <w:spacing w:line="254" w:lineRule="auto"/>
        <w:sectPr w:rsidR="00A63476">
          <w:pgSz w:w="12240" w:h="15840"/>
          <w:pgMar w:top="920" w:right="1040" w:bottom="280" w:left="1180" w:header="700" w:footer="0" w:gutter="0"/>
          <w:cols w:space="720"/>
        </w:sectPr>
      </w:pPr>
    </w:p>
    <w:p w:rsidR="00A63476" w:rsidRDefault="00A63476">
      <w:pPr>
        <w:pStyle w:val="Textoindependiente"/>
        <w:spacing w:before="5"/>
        <w:ind w:left="0" w:right="0" w:firstLine="0"/>
        <w:jc w:val="left"/>
        <w:rPr>
          <w:sz w:val="12"/>
        </w:rPr>
      </w:pPr>
    </w:p>
    <w:p w:rsidR="00A63476" w:rsidRDefault="00D22874">
      <w:pPr>
        <w:pStyle w:val="Textoindependiente"/>
        <w:spacing w:before="95" w:line="266" w:lineRule="auto"/>
        <w:ind w:firstLine="0"/>
      </w:pPr>
      <w:r>
        <w:t>que cuenten con un crédito de vivienda por parte de una Entidad Ejecutora o Financiera, podrán optar por las modalidades de aplicación del subsidio: Adquisición de Vivienda; y, Vivienda en Espacio Edificable Rural o Urbano.</w:t>
      </w:r>
    </w:p>
    <w:p w:rsidR="00A63476" w:rsidRDefault="00D22874">
      <w:pPr>
        <w:pStyle w:val="Textoindependiente"/>
        <w:spacing w:before="90" w:line="264" w:lineRule="auto"/>
      </w:pPr>
      <w:r>
        <w:t>En caso de que, durante el proc</w:t>
      </w:r>
      <w:r>
        <w:t>eso de diagnóstico para la definición de los proyectos a intervenir, se determine la necesidad de relocalizar o reubicar parcial o totalmente algún asentamiento, se podrá gestionar la reubicación del mismo en acompañamiento con el INSUS, considerando dentr</w:t>
      </w:r>
      <w:r>
        <w:t xml:space="preserve">o de los alcances del subsidio la adquisición de un nuevo terreno. Se podrá diseñar la intervención, en las mismas condiciones señaladas para la Reubicación de Vivienda, indicadas para la forma de intervención de Vivienda afectada por fenómenos naturales, </w:t>
      </w:r>
      <w:r>
        <w:t>en su respectivo</w:t>
      </w:r>
      <w:r>
        <w:rPr>
          <w:spacing w:val="-2"/>
        </w:rPr>
        <w:t xml:space="preserve"> </w:t>
      </w:r>
      <w:r>
        <w:t>apartado.</w:t>
      </w:r>
    </w:p>
    <w:p w:rsidR="00A63476" w:rsidRDefault="00D22874">
      <w:pPr>
        <w:spacing w:before="114"/>
        <w:ind w:left="800"/>
        <w:rPr>
          <w:sz w:val="14"/>
        </w:rPr>
      </w:pPr>
      <w:r>
        <w:rPr>
          <w:w w:val="105"/>
          <w:sz w:val="18"/>
        </w:rPr>
        <w:t>P</w:t>
      </w:r>
      <w:r>
        <w:rPr>
          <w:w w:val="105"/>
          <w:sz w:val="14"/>
        </w:rPr>
        <w:t>OBLACIÓN PRIORITARIA</w:t>
      </w:r>
    </w:p>
    <w:p w:rsidR="00A63476" w:rsidRDefault="00D22874">
      <w:pPr>
        <w:pStyle w:val="Textoindependiente"/>
        <w:spacing w:before="153" w:line="290" w:lineRule="auto"/>
      </w:pPr>
      <w:r>
        <w:t>En esta forma de intervención tendrán como prioridad para ser beneficiarias las personas que habiten en zonas de población mayoritariamente indígena, zonas con mayor grado de marginación o zonas con altos índices de violencia, según los mecanismos establec</w:t>
      </w:r>
      <w:r>
        <w:t>idos por la Secretaría de Bienestar.</w:t>
      </w:r>
    </w:p>
    <w:p w:rsidR="00A63476" w:rsidRDefault="00D22874">
      <w:pPr>
        <w:spacing w:before="109"/>
        <w:ind w:left="800"/>
        <w:rPr>
          <w:sz w:val="14"/>
        </w:rPr>
      </w:pPr>
      <w:r>
        <w:rPr>
          <w:w w:val="105"/>
          <w:sz w:val="18"/>
        </w:rPr>
        <w:t>M</w:t>
      </w:r>
      <w:r>
        <w:rPr>
          <w:w w:val="105"/>
          <w:sz w:val="14"/>
        </w:rPr>
        <w:t>ODALIDADES PARA LA APLICACIÓN DEL SUBSIDIO Y LÍNEAS DE APOYO</w:t>
      </w:r>
    </w:p>
    <w:p w:rsidR="00A63476" w:rsidRDefault="00D22874">
      <w:pPr>
        <w:pStyle w:val="Textoindependiente"/>
        <w:spacing w:before="153" w:line="292" w:lineRule="auto"/>
      </w:pPr>
      <w:r>
        <w:t xml:space="preserve">Las modalidades para la aplicación del subsidio en esta forma de intervención son: Vivienda en Conjunto Habitacional; Vivienda en Espacio Edificable Rural o </w:t>
      </w:r>
      <w:r>
        <w:t>Urbano; Adquisición de Vivienda; y, Mejoramiento en Unidades Habitacionales con sus respectivas líneas de apoyo; aplican procesos de autoadministración o autoproducción con asistencia técnica. Así mismo se podrá optar por la contratación directa de empresa</w:t>
      </w:r>
      <w:r>
        <w:t>s constructoras u Organismos Ejecutores de Obra, preferentemente locales, previamente acreditados ante CONAVI.</w:t>
      </w:r>
    </w:p>
    <w:p w:rsidR="00A63476" w:rsidRDefault="00D22874">
      <w:pPr>
        <w:pStyle w:val="Ttulo2"/>
        <w:numPr>
          <w:ilvl w:val="0"/>
          <w:numId w:val="45"/>
        </w:numPr>
        <w:tabs>
          <w:tab w:val="left" w:pos="1217"/>
          <w:tab w:val="left" w:pos="1219"/>
        </w:tabs>
      </w:pPr>
      <w:r>
        <w:t>Vivienda en Conjunto</w:t>
      </w:r>
      <w:r>
        <w:rPr>
          <w:spacing w:val="-3"/>
        </w:rPr>
        <w:t xml:space="preserve"> </w:t>
      </w:r>
      <w:r>
        <w:t>Habitacional</w:t>
      </w:r>
    </w:p>
    <w:p w:rsidR="00A63476" w:rsidRDefault="00D22874">
      <w:pPr>
        <w:pStyle w:val="Textoindependiente"/>
        <w:spacing w:before="133" w:line="302" w:lineRule="auto"/>
      </w:pPr>
      <w:r>
        <w:t>Esta modalidad corresponde a la construcción de conjuntos habitacionales de vivienda nueva en desarrollos verti</w:t>
      </w:r>
      <w:r>
        <w:t>cales u horizontales, priorizando los verticales, preferentemente con procesos participativos en el diseño y construcción de la vivienda.</w:t>
      </w:r>
    </w:p>
    <w:p w:rsidR="00A63476" w:rsidRDefault="00D22874">
      <w:pPr>
        <w:pStyle w:val="Textoindependiente"/>
        <w:spacing w:before="77" w:line="297" w:lineRule="auto"/>
      </w:pPr>
      <w:r>
        <w:t>El desarrollo de Vivienda en Conjunto Habitacional está orientado a optimizar el uso del suelo habitacional en zonas u</w:t>
      </w:r>
      <w:r>
        <w:t>rbanas que cuentan con servicios y equipamiento urbano disponible, constituye una estrategia de redensificación habitacional al interior de las ciudades. Se ubica en predios con uso habitacional y con factibilidad de servicios, en un proceso único de edifi</w:t>
      </w:r>
      <w:r>
        <w:t>cación que cumpla con las regulaciones de densidad, superficie construida, seguridad estructural, instalaciones, servicios, áreas de uso común entre otros, establecidos por la reglamentación local correspondiente.</w:t>
      </w:r>
    </w:p>
    <w:p w:rsidR="00A63476" w:rsidRDefault="00D22874">
      <w:pPr>
        <w:pStyle w:val="Textoindependiente"/>
        <w:spacing w:before="80" w:line="302" w:lineRule="auto"/>
        <w:ind w:right="663"/>
      </w:pPr>
      <w:r>
        <w:t>Las líneas de apoyo aplicables son: Adquis</w:t>
      </w:r>
      <w:r>
        <w:t>ición de suelo; Estudios y proyectos; Demolición; Edificación; Gastos complementarios; Obra de Alcance Mayor; Sustentabilidad; Espacio Auxiliar Comunitario.</w:t>
      </w:r>
    </w:p>
    <w:p w:rsidR="00A63476" w:rsidRDefault="00D22874">
      <w:pPr>
        <w:pStyle w:val="Prrafodelista"/>
        <w:numPr>
          <w:ilvl w:val="0"/>
          <w:numId w:val="49"/>
        </w:numPr>
        <w:tabs>
          <w:tab w:val="left" w:pos="1232"/>
        </w:tabs>
        <w:spacing w:before="99" w:line="290" w:lineRule="auto"/>
        <w:ind w:right="654" w:hanging="440"/>
        <w:rPr>
          <w:sz w:val="18"/>
        </w:rPr>
      </w:pPr>
      <w:r>
        <w:rPr>
          <w:sz w:val="18"/>
          <w:u w:val="single"/>
        </w:rPr>
        <w:t>Adquisición de suelo</w:t>
      </w:r>
      <w:r>
        <w:rPr>
          <w:sz w:val="18"/>
        </w:rPr>
        <w:t xml:space="preserve">. La </w:t>
      </w:r>
      <w:r>
        <w:rPr>
          <w:spacing w:val="-3"/>
          <w:sz w:val="18"/>
        </w:rPr>
        <w:t xml:space="preserve">CONAVI </w:t>
      </w:r>
      <w:r>
        <w:rPr>
          <w:sz w:val="18"/>
        </w:rPr>
        <w:t>podrá otorgar subsidio de hasta por la cantidad equivalente a 45 ve</w:t>
      </w:r>
      <w:r>
        <w:rPr>
          <w:sz w:val="18"/>
        </w:rPr>
        <w:t xml:space="preserve">ces el valor de la UMA por unidad de vivienda, para la adquisición de suelo urbano, para incorporarlo al desarrollo de un programa de vivienda en la modalidad de Vivienda en Conjunto Habitacional. En la adquisición de suelo para vivienda se tomará siempre </w:t>
      </w:r>
      <w:r>
        <w:rPr>
          <w:sz w:val="18"/>
        </w:rPr>
        <w:t xml:space="preserve">en cuenta la variable </w:t>
      </w:r>
      <w:r>
        <w:rPr>
          <w:spacing w:val="-7"/>
          <w:sz w:val="18"/>
        </w:rPr>
        <w:t xml:space="preserve">de </w:t>
      </w:r>
      <w:r>
        <w:rPr>
          <w:sz w:val="18"/>
        </w:rPr>
        <w:t>riesgo de</w:t>
      </w:r>
      <w:r>
        <w:rPr>
          <w:spacing w:val="-1"/>
          <w:sz w:val="18"/>
        </w:rPr>
        <w:t xml:space="preserve"> </w:t>
      </w:r>
      <w:r>
        <w:rPr>
          <w:sz w:val="18"/>
        </w:rPr>
        <w:t>desastres.</w:t>
      </w:r>
    </w:p>
    <w:p w:rsidR="00A63476" w:rsidRDefault="00D22874">
      <w:pPr>
        <w:pStyle w:val="Prrafodelista"/>
        <w:numPr>
          <w:ilvl w:val="0"/>
          <w:numId w:val="49"/>
        </w:numPr>
        <w:tabs>
          <w:tab w:val="left" w:pos="1232"/>
        </w:tabs>
        <w:spacing w:before="108" w:line="295" w:lineRule="auto"/>
        <w:ind w:right="655" w:hanging="440"/>
        <w:rPr>
          <w:sz w:val="18"/>
        </w:rPr>
      </w:pPr>
      <w:r>
        <w:rPr>
          <w:sz w:val="18"/>
          <w:u w:val="single"/>
        </w:rPr>
        <w:t>Estudios y proyectos</w:t>
      </w:r>
      <w:r>
        <w:rPr>
          <w:sz w:val="18"/>
        </w:rPr>
        <w:t xml:space="preserve">. Como parte integral de la construcción de vivienda en conjunto habitacional, la </w:t>
      </w:r>
      <w:r>
        <w:rPr>
          <w:spacing w:val="-3"/>
          <w:sz w:val="18"/>
        </w:rPr>
        <w:t xml:space="preserve">CONAVI </w:t>
      </w:r>
      <w:r>
        <w:rPr>
          <w:sz w:val="18"/>
        </w:rPr>
        <w:t>podrá otorgar subsidio para desarrollar e integrar la documentación de carácter técnico, social, fina</w:t>
      </w:r>
      <w:r>
        <w:rPr>
          <w:sz w:val="18"/>
        </w:rPr>
        <w:t>nciero, jurídico y administrativo que permita sustentar los proyectos propuestos para recibir el apoyo por la cantidad de hasta 2.5% del monto de la obra, por la totalidad de viviendas contempladas en el Conjunto Habitacional.</w:t>
      </w:r>
    </w:p>
    <w:p w:rsidR="00A63476" w:rsidRDefault="00D22874">
      <w:pPr>
        <w:pStyle w:val="Prrafodelista"/>
        <w:numPr>
          <w:ilvl w:val="0"/>
          <w:numId w:val="49"/>
        </w:numPr>
        <w:tabs>
          <w:tab w:val="left" w:pos="1232"/>
        </w:tabs>
        <w:spacing w:before="87" w:line="297" w:lineRule="auto"/>
        <w:ind w:right="655" w:hanging="440"/>
        <w:rPr>
          <w:sz w:val="18"/>
        </w:rPr>
      </w:pPr>
      <w:r>
        <w:rPr>
          <w:sz w:val="18"/>
          <w:u w:val="single"/>
        </w:rPr>
        <w:t>Edificación</w:t>
      </w:r>
      <w:r>
        <w:rPr>
          <w:sz w:val="18"/>
        </w:rPr>
        <w:t>. Como parte integ</w:t>
      </w:r>
      <w:r>
        <w:rPr>
          <w:sz w:val="18"/>
        </w:rPr>
        <w:t xml:space="preserve">ral de la construcción de vivienda en conjunto habitacional, la </w:t>
      </w:r>
      <w:r>
        <w:rPr>
          <w:spacing w:val="-3"/>
          <w:sz w:val="18"/>
        </w:rPr>
        <w:t xml:space="preserve">CONAVI </w:t>
      </w:r>
      <w:r>
        <w:rPr>
          <w:sz w:val="18"/>
        </w:rPr>
        <w:t xml:space="preserve">podrá otorgar subsidio de hasta por la cantidad equivalente a </w:t>
      </w:r>
      <w:r>
        <w:rPr>
          <w:spacing w:val="-5"/>
          <w:sz w:val="18"/>
        </w:rPr>
        <w:t xml:space="preserve">113 </w:t>
      </w:r>
      <w:r>
        <w:rPr>
          <w:sz w:val="18"/>
        </w:rPr>
        <w:t xml:space="preserve">veces el valor de la UMA, por unidad de vivienda, para los trabajos de construcción de vivienda nueva mediante la contratación </w:t>
      </w:r>
      <w:r>
        <w:rPr>
          <w:spacing w:val="-6"/>
          <w:sz w:val="18"/>
        </w:rPr>
        <w:t xml:space="preserve">de </w:t>
      </w:r>
      <w:r>
        <w:rPr>
          <w:sz w:val="18"/>
        </w:rPr>
        <w:t>empresas constructoras, previamente registradas ante la Comisión, que apliquen procesos industrializados o a través de proceso</w:t>
      </w:r>
      <w:r>
        <w:rPr>
          <w:sz w:val="18"/>
        </w:rPr>
        <w:t xml:space="preserve">s de autoadministración, en los que participan directamente </w:t>
      </w:r>
      <w:r>
        <w:rPr>
          <w:spacing w:val="-4"/>
          <w:sz w:val="18"/>
        </w:rPr>
        <w:t xml:space="preserve">las </w:t>
      </w:r>
      <w:r>
        <w:rPr>
          <w:sz w:val="18"/>
        </w:rPr>
        <w:t xml:space="preserve">personas beneficiarias y su equipo técnico, validado por la propia </w:t>
      </w:r>
      <w:r>
        <w:rPr>
          <w:spacing w:val="-3"/>
          <w:sz w:val="18"/>
        </w:rPr>
        <w:t>CONAVI.</w:t>
      </w:r>
    </w:p>
    <w:p w:rsidR="00A63476" w:rsidRDefault="00A63476">
      <w:pPr>
        <w:spacing w:line="297" w:lineRule="auto"/>
        <w:jc w:val="both"/>
        <w:rPr>
          <w:sz w:val="18"/>
        </w:rPr>
        <w:sectPr w:rsidR="00A63476">
          <w:pgSz w:w="12240" w:h="15840"/>
          <w:pgMar w:top="920" w:right="1040" w:bottom="280" w:left="1180" w:header="700" w:footer="0" w:gutter="0"/>
          <w:cols w:space="720"/>
        </w:sectPr>
      </w:pPr>
    </w:p>
    <w:p w:rsidR="00A63476" w:rsidRDefault="00A63476">
      <w:pPr>
        <w:pStyle w:val="Textoindependiente"/>
        <w:spacing w:before="2"/>
        <w:ind w:left="0" w:right="0" w:firstLine="0"/>
        <w:jc w:val="left"/>
        <w:rPr>
          <w:sz w:val="14"/>
        </w:rPr>
      </w:pPr>
    </w:p>
    <w:p w:rsidR="00A63476" w:rsidRDefault="00D22874">
      <w:pPr>
        <w:pStyle w:val="Prrafodelista"/>
        <w:numPr>
          <w:ilvl w:val="0"/>
          <w:numId w:val="49"/>
        </w:numPr>
        <w:tabs>
          <w:tab w:val="left" w:pos="1232"/>
        </w:tabs>
        <w:spacing w:before="95" w:line="290" w:lineRule="auto"/>
        <w:ind w:right="655" w:hanging="440"/>
        <w:rPr>
          <w:sz w:val="18"/>
        </w:rPr>
      </w:pPr>
      <w:r>
        <w:rPr>
          <w:sz w:val="18"/>
          <w:u w:val="single"/>
        </w:rPr>
        <w:t>Espacio Auxiliar Comunitario</w:t>
      </w:r>
      <w:r>
        <w:rPr>
          <w:sz w:val="18"/>
        </w:rPr>
        <w:t xml:space="preserve">. Con la finalidad de contribuir al desarrollo de actividades culturales o productivas, de las comunidades y como parte integral de la construcción de vivienda en conjunto habitacional, la </w:t>
      </w:r>
      <w:r>
        <w:rPr>
          <w:spacing w:val="-3"/>
          <w:sz w:val="18"/>
        </w:rPr>
        <w:t xml:space="preserve">CONAVI </w:t>
      </w:r>
      <w:r>
        <w:rPr>
          <w:sz w:val="18"/>
        </w:rPr>
        <w:t>podrá otorgar subsidio comunitario equivalente, hasta por la</w:t>
      </w:r>
      <w:r>
        <w:rPr>
          <w:sz w:val="18"/>
        </w:rPr>
        <w:t xml:space="preserve"> cantidad equivalente a 172 veces el valor de la UMA y que corresponde al subsidio total de una vivienda, </w:t>
      </w:r>
      <w:r>
        <w:rPr>
          <w:spacing w:val="-6"/>
          <w:sz w:val="18"/>
        </w:rPr>
        <w:t xml:space="preserve">que </w:t>
      </w:r>
      <w:r>
        <w:rPr>
          <w:sz w:val="18"/>
        </w:rPr>
        <w:t>se distribuirá entre todos los beneficiarios del</w:t>
      </w:r>
      <w:r>
        <w:rPr>
          <w:spacing w:val="-1"/>
          <w:sz w:val="18"/>
        </w:rPr>
        <w:t xml:space="preserve"> </w:t>
      </w:r>
      <w:r>
        <w:rPr>
          <w:sz w:val="18"/>
        </w:rPr>
        <w:t>proyecto.</w:t>
      </w:r>
    </w:p>
    <w:p w:rsidR="00A63476" w:rsidRDefault="00D22874">
      <w:pPr>
        <w:pStyle w:val="Prrafodelista"/>
        <w:numPr>
          <w:ilvl w:val="0"/>
          <w:numId w:val="49"/>
        </w:numPr>
        <w:tabs>
          <w:tab w:val="left" w:pos="1232"/>
        </w:tabs>
        <w:spacing w:before="107" w:line="292" w:lineRule="auto"/>
        <w:ind w:right="655" w:hanging="440"/>
        <w:rPr>
          <w:sz w:val="18"/>
        </w:rPr>
      </w:pPr>
      <w:r>
        <w:rPr>
          <w:sz w:val="18"/>
          <w:u w:val="single"/>
        </w:rPr>
        <w:t>Demolición</w:t>
      </w:r>
      <w:r>
        <w:rPr>
          <w:sz w:val="18"/>
        </w:rPr>
        <w:t>. Como parte integral de la construcción de vivienda en conjunto habitacional</w:t>
      </w:r>
      <w:r>
        <w:rPr>
          <w:sz w:val="18"/>
        </w:rPr>
        <w:t xml:space="preserve">, la </w:t>
      </w:r>
      <w:r>
        <w:rPr>
          <w:spacing w:val="-3"/>
          <w:sz w:val="18"/>
        </w:rPr>
        <w:t xml:space="preserve">CONAVI </w:t>
      </w:r>
      <w:r>
        <w:rPr>
          <w:sz w:val="18"/>
        </w:rPr>
        <w:t>podrá otorgar subsidio hasta por la cantidad equivalente a 6 veces el valor de la UMA, por unidad de vivienda para demoler las construcciones existentes en un terreno donde se desarrollarán viviendas nuevas.</w:t>
      </w:r>
    </w:p>
    <w:p w:rsidR="00A63476" w:rsidRDefault="00D22874">
      <w:pPr>
        <w:pStyle w:val="Prrafodelista"/>
        <w:numPr>
          <w:ilvl w:val="0"/>
          <w:numId w:val="49"/>
        </w:numPr>
        <w:tabs>
          <w:tab w:val="left" w:pos="1232"/>
        </w:tabs>
        <w:spacing w:before="110" w:line="292" w:lineRule="auto"/>
        <w:ind w:right="655" w:hanging="440"/>
        <w:rPr>
          <w:sz w:val="18"/>
        </w:rPr>
      </w:pPr>
      <w:r>
        <w:rPr>
          <w:sz w:val="18"/>
          <w:u w:val="single"/>
        </w:rPr>
        <w:t>Gastos complementarios</w:t>
      </w:r>
      <w:r>
        <w:rPr>
          <w:sz w:val="18"/>
        </w:rPr>
        <w:t>. Como parte i</w:t>
      </w:r>
      <w:r>
        <w:rPr>
          <w:sz w:val="18"/>
        </w:rPr>
        <w:t xml:space="preserve">ntegral de la construcción de vivienda en conjunto habitacional, la </w:t>
      </w:r>
      <w:r>
        <w:rPr>
          <w:spacing w:val="-3"/>
          <w:sz w:val="18"/>
        </w:rPr>
        <w:t xml:space="preserve">CONAVI </w:t>
      </w:r>
      <w:r>
        <w:rPr>
          <w:sz w:val="18"/>
        </w:rPr>
        <w:t>podrá otorgar Subsidio destinado a cubrir los gastos relacionados con supervisión externa, laboratorio de control, Director Responsable de Obra, electrificación y escrituración hast</w:t>
      </w:r>
      <w:r>
        <w:rPr>
          <w:sz w:val="18"/>
        </w:rPr>
        <w:t>a por la cantidad equivalente a 13 veces el valor de la UMA, por unidad de</w:t>
      </w:r>
      <w:r>
        <w:rPr>
          <w:spacing w:val="-2"/>
          <w:sz w:val="18"/>
        </w:rPr>
        <w:t xml:space="preserve"> </w:t>
      </w:r>
      <w:r>
        <w:rPr>
          <w:sz w:val="18"/>
        </w:rPr>
        <w:t>vivienda.</w:t>
      </w:r>
    </w:p>
    <w:p w:rsidR="00A63476" w:rsidRDefault="00D22874">
      <w:pPr>
        <w:pStyle w:val="Prrafodelista"/>
        <w:numPr>
          <w:ilvl w:val="0"/>
          <w:numId w:val="49"/>
        </w:numPr>
        <w:tabs>
          <w:tab w:val="left" w:pos="1232"/>
        </w:tabs>
        <w:spacing w:before="110" w:line="292" w:lineRule="auto"/>
        <w:ind w:right="655" w:hanging="440"/>
        <w:rPr>
          <w:sz w:val="18"/>
        </w:rPr>
      </w:pPr>
      <w:r>
        <w:rPr>
          <w:sz w:val="18"/>
          <w:u w:val="single"/>
        </w:rPr>
        <w:t>Obra de Alcance Mayor</w:t>
      </w:r>
      <w:r>
        <w:rPr>
          <w:sz w:val="18"/>
        </w:rPr>
        <w:t xml:space="preserve">. Como parte integral de la construcción de vivienda en conjunto habitacional, la </w:t>
      </w:r>
      <w:r>
        <w:rPr>
          <w:spacing w:val="-3"/>
          <w:sz w:val="18"/>
        </w:rPr>
        <w:t xml:space="preserve">CONAVI </w:t>
      </w:r>
      <w:r>
        <w:rPr>
          <w:sz w:val="18"/>
        </w:rPr>
        <w:t>podrá otorgar subsidio que se aplica en los predios cuyo núme</w:t>
      </w:r>
      <w:r>
        <w:rPr>
          <w:sz w:val="18"/>
        </w:rPr>
        <w:t>ro de acciones de vivienda y capacidad de servicios de las instalaciones domésticas, así como por su disposición en el terreno y su diseño de conjunto, requieren obras de mayor alcance, en cuanto al suministro de servicios básicos (agua potable, drenaje, e</w:t>
      </w:r>
      <w:r>
        <w:rPr>
          <w:sz w:val="18"/>
        </w:rPr>
        <w:t xml:space="preserve">nergía eléctrica y alumbrado exterior), así como para el </w:t>
      </w:r>
      <w:r>
        <w:rPr>
          <w:spacing w:val="-3"/>
          <w:sz w:val="18"/>
        </w:rPr>
        <w:t xml:space="preserve">óptimo </w:t>
      </w:r>
      <w:r>
        <w:rPr>
          <w:sz w:val="18"/>
        </w:rPr>
        <w:t>funcionamiento interior de los conjuntos (áreas de circulación peatonal o vehicular). Tiene como finalidad reducir el costo que arrojan tales instalaciones, en virtud de la magnitud y compleji</w:t>
      </w:r>
      <w:r>
        <w:rPr>
          <w:sz w:val="18"/>
        </w:rPr>
        <w:t>dad de éstas y del proyecto de vivienda, hasta por la cantidad equivalente de 13 veces el valor de la UMA, por unidad de vivienda.</w:t>
      </w:r>
    </w:p>
    <w:p w:rsidR="00A63476" w:rsidRDefault="00D22874">
      <w:pPr>
        <w:pStyle w:val="Prrafodelista"/>
        <w:numPr>
          <w:ilvl w:val="0"/>
          <w:numId w:val="49"/>
        </w:numPr>
        <w:tabs>
          <w:tab w:val="left" w:pos="1232"/>
        </w:tabs>
        <w:spacing w:before="107" w:line="292" w:lineRule="auto"/>
        <w:ind w:right="655" w:hanging="440"/>
        <w:rPr>
          <w:sz w:val="18"/>
        </w:rPr>
      </w:pPr>
      <w:r>
        <w:rPr>
          <w:sz w:val="18"/>
          <w:u w:val="single"/>
        </w:rPr>
        <w:t>Sustentabilidad</w:t>
      </w:r>
      <w:r>
        <w:rPr>
          <w:sz w:val="18"/>
        </w:rPr>
        <w:t xml:space="preserve">. La </w:t>
      </w:r>
      <w:r>
        <w:rPr>
          <w:spacing w:val="-3"/>
          <w:sz w:val="18"/>
        </w:rPr>
        <w:t xml:space="preserve">CONAVI </w:t>
      </w:r>
      <w:r>
        <w:rPr>
          <w:sz w:val="18"/>
        </w:rPr>
        <w:t>podrá otorgar subsidio hasta por la cantidad equivalente a 13 veces el valor de la UMA, por unidad</w:t>
      </w:r>
      <w:r>
        <w:rPr>
          <w:sz w:val="18"/>
        </w:rPr>
        <w:t xml:space="preserve"> de vivienda, para la aplicación de diseños e instalación de tecnologías que permitan la disminución de emisiones de bióxido de carbono, el ahorro de energía y el ahorro </w:t>
      </w:r>
      <w:r>
        <w:rPr>
          <w:spacing w:val="-17"/>
          <w:sz w:val="18"/>
        </w:rPr>
        <w:t>y</w:t>
      </w:r>
      <w:r>
        <w:rPr>
          <w:spacing w:val="16"/>
          <w:sz w:val="18"/>
        </w:rPr>
        <w:t xml:space="preserve"> </w:t>
      </w:r>
      <w:r>
        <w:rPr>
          <w:sz w:val="18"/>
        </w:rPr>
        <w:t xml:space="preserve">manejo adecuado del agua en la vivienda, así como la protección y cuidado del medio </w:t>
      </w:r>
      <w:r>
        <w:rPr>
          <w:sz w:val="18"/>
        </w:rPr>
        <w:t>ambiente. Estos diseños y tecnologías también contribuirán a reducir el riesgo de que la vivienda sufra daños por futuras contingencias y</w:t>
      </w:r>
      <w:r>
        <w:rPr>
          <w:spacing w:val="-1"/>
          <w:sz w:val="18"/>
        </w:rPr>
        <w:t xml:space="preserve"> </w:t>
      </w:r>
      <w:r>
        <w:rPr>
          <w:sz w:val="18"/>
        </w:rPr>
        <w:t>desastres.</w:t>
      </w:r>
    </w:p>
    <w:p w:rsidR="00A63476" w:rsidRDefault="00D22874">
      <w:pPr>
        <w:pStyle w:val="Ttulo2"/>
        <w:numPr>
          <w:ilvl w:val="0"/>
          <w:numId w:val="45"/>
        </w:numPr>
        <w:tabs>
          <w:tab w:val="left" w:pos="1219"/>
        </w:tabs>
        <w:jc w:val="both"/>
      </w:pPr>
      <w:r>
        <w:t>Vivienda en Espacio Edificable Rural o</w:t>
      </w:r>
      <w:r>
        <w:rPr>
          <w:spacing w:val="-5"/>
        </w:rPr>
        <w:t xml:space="preserve"> </w:t>
      </w:r>
      <w:r>
        <w:t>Urbano</w:t>
      </w:r>
    </w:p>
    <w:p w:rsidR="00A63476" w:rsidRDefault="00D22874">
      <w:pPr>
        <w:pStyle w:val="Textoindependiente"/>
        <w:spacing w:before="153" w:line="295" w:lineRule="auto"/>
      </w:pPr>
      <w:r>
        <w:t>La modalidad de Vivienda en Espacio Edificable Rural o Urbano</w:t>
      </w:r>
      <w:r>
        <w:t xml:space="preserve"> tiene el propósito de atender problemas de hacinamiento, desdoblamiento familiar, vivienda precaria y en general vivienda que por su deterioro atenta contra las condiciones de habitabilidad, tanto en localidades rurales como en urbanas; también tiene </w:t>
      </w:r>
      <w:r>
        <w:rPr>
          <w:spacing w:val="-5"/>
        </w:rPr>
        <w:t>como</w:t>
      </w:r>
      <w:r>
        <w:rPr>
          <w:spacing w:val="-5"/>
        </w:rPr>
        <w:t xml:space="preserve"> </w:t>
      </w:r>
      <w:r>
        <w:t xml:space="preserve">finalidad contribuir a los procesos de consolidación y/o mejoramiento de las colonias y barrios de las </w:t>
      </w:r>
      <w:r>
        <w:rPr>
          <w:spacing w:val="-3"/>
        </w:rPr>
        <w:t xml:space="preserve">zonas  </w:t>
      </w:r>
      <w:r>
        <w:t>intraurbanas de las ciudades.</w:t>
      </w:r>
    </w:p>
    <w:p w:rsidR="00A63476" w:rsidRDefault="00D22874">
      <w:pPr>
        <w:pStyle w:val="Textoindependiente"/>
        <w:spacing w:before="87" w:line="302" w:lineRule="auto"/>
        <w:ind w:right="663"/>
      </w:pPr>
      <w:r>
        <w:t>Las líneas de apoyo aplicables son: Ampliación de Vivienda; Mejoramiento de Vivienda; Vivienda Nueva; Sustentabilid</w:t>
      </w:r>
      <w:r>
        <w:t>ad; Espacio Auxiliar Productivo.</w:t>
      </w:r>
    </w:p>
    <w:p w:rsidR="00A63476" w:rsidRDefault="00D22874">
      <w:pPr>
        <w:pStyle w:val="Prrafodelista"/>
        <w:numPr>
          <w:ilvl w:val="0"/>
          <w:numId w:val="49"/>
        </w:numPr>
        <w:tabs>
          <w:tab w:val="left" w:pos="1232"/>
        </w:tabs>
        <w:spacing w:before="99" w:line="292" w:lineRule="auto"/>
        <w:ind w:right="655" w:hanging="440"/>
        <w:rPr>
          <w:sz w:val="18"/>
        </w:rPr>
      </w:pPr>
      <w:r>
        <w:rPr>
          <w:sz w:val="18"/>
          <w:u w:val="single"/>
        </w:rPr>
        <w:t>Ampliación de vivienda.</w:t>
      </w:r>
      <w:r>
        <w:rPr>
          <w:sz w:val="18"/>
        </w:rPr>
        <w:t xml:space="preserve"> La </w:t>
      </w:r>
      <w:r>
        <w:rPr>
          <w:spacing w:val="-3"/>
          <w:sz w:val="18"/>
        </w:rPr>
        <w:t xml:space="preserve">CONAVI </w:t>
      </w:r>
      <w:r>
        <w:rPr>
          <w:sz w:val="18"/>
        </w:rPr>
        <w:t xml:space="preserve">podrá otorgar subsidio de hasta por la cantidad equivalente a </w:t>
      </w:r>
      <w:r>
        <w:rPr>
          <w:b/>
          <w:sz w:val="18"/>
        </w:rPr>
        <w:t xml:space="preserve">50 </w:t>
      </w:r>
      <w:r>
        <w:rPr>
          <w:sz w:val="18"/>
        </w:rPr>
        <w:t xml:space="preserve">veces el valor de la UMA, por unidad de vivienda con el propósito de incrementar la superficie de construcción habitable de </w:t>
      </w:r>
      <w:r>
        <w:rPr>
          <w:sz w:val="18"/>
        </w:rPr>
        <w:t>una vivienda edificada con anterioridad, a fin de disminuir el hacinamiento en la vivienda o mejorar sus condiciones de habitabilidad.</w:t>
      </w:r>
    </w:p>
    <w:p w:rsidR="00A63476" w:rsidRDefault="00D22874">
      <w:pPr>
        <w:pStyle w:val="Prrafodelista"/>
        <w:numPr>
          <w:ilvl w:val="0"/>
          <w:numId w:val="49"/>
        </w:numPr>
        <w:tabs>
          <w:tab w:val="left" w:pos="1232"/>
        </w:tabs>
        <w:spacing w:before="110" w:line="295" w:lineRule="auto"/>
        <w:ind w:right="655" w:hanging="440"/>
        <w:rPr>
          <w:sz w:val="18"/>
        </w:rPr>
      </w:pPr>
      <w:r>
        <w:rPr>
          <w:sz w:val="18"/>
          <w:u w:val="single"/>
        </w:rPr>
        <w:t>Mejoramiento de Vivienda</w:t>
      </w:r>
      <w:r>
        <w:rPr>
          <w:b/>
          <w:sz w:val="18"/>
        </w:rPr>
        <w:t xml:space="preserve">. </w:t>
      </w:r>
      <w:r>
        <w:rPr>
          <w:sz w:val="18"/>
        </w:rPr>
        <w:t xml:space="preserve">La </w:t>
      </w:r>
      <w:r>
        <w:rPr>
          <w:spacing w:val="-3"/>
          <w:sz w:val="18"/>
        </w:rPr>
        <w:t xml:space="preserve">CONAVI </w:t>
      </w:r>
      <w:r>
        <w:rPr>
          <w:sz w:val="18"/>
        </w:rPr>
        <w:t>podrá otorgar subsidio con el propósito de la mejora de la vivienda, que podrá responder a la rehabilitación de vivienda en la intervención de sus elementos estructurales (losas, columnas y trabes), la readecuación del espacio habitable, el cambio de insta</w:t>
      </w:r>
      <w:r>
        <w:rPr>
          <w:sz w:val="18"/>
        </w:rPr>
        <w:t>laciones ocultas, entre otros; así como aquellos conceptos que no afectan elementos estructurales, sin embargo inciden en la vida útil de la vivienda tales como; la impermeabilización, aplanados, instalaciones hidrosanitarias expuestas ahorradoras de agua,</w:t>
      </w:r>
      <w:r>
        <w:rPr>
          <w:sz w:val="18"/>
        </w:rPr>
        <w:t xml:space="preserve"> cableado eléctrico y lámparas ahorradoras de energía, cambio de pisos, entre otros acabados, hasta por la cantidad </w:t>
      </w:r>
      <w:r>
        <w:rPr>
          <w:spacing w:val="-7"/>
          <w:sz w:val="18"/>
        </w:rPr>
        <w:t xml:space="preserve">el </w:t>
      </w:r>
      <w:r>
        <w:rPr>
          <w:sz w:val="18"/>
        </w:rPr>
        <w:t>equivalente de 25 veces el valor de la UMA, por unidad de</w:t>
      </w:r>
      <w:r>
        <w:rPr>
          <w:spacing w:val="-1"/>
          <w:sz w:val="18"/>
        </w:rPr>
        <w:t xml:space="preserve"> </w:t>
      </w:r>
      <w:r>
        <w:rPr>
          <w:sz w:val="18"/>
        </w:rPr>
        <w:t>vivienda.</w:t>
      </w:r>
    </w:p>
    <w:p w:rsidR="00A63476" w:rsidRDefault="00A63476">
      <w:pPr>
        <w:spacing w:line="295" w:lineRule="auto"/>
        <w:jc w:val="both"/>
        <w:rPr>
          <w:sz w:val="18"/>
        </w:rPr>
        <w:sectPr w:rsidR="00A63476">
          <w:pgSz w:w="12240" w:h="15840"/>
          <w:pgMar w:top="920" w:right="1040" w:bottom="280" w:left="1180" w:header="700" w:footer="0" w:gutter="0"/>
          <w:cols w:space="720"/>
        </w:sectPr>
      </w:pPr>
    </w:p>
    <w:p w:rsidR="00A63476" w:rsidRDefault="00A63476">
      <w:pPr>
        <w:pStyle w:val="Textoindependiente"/>
        <w:spacing w:before="2"/>
        <w:ind w:left="0" w:right="0" w:firstLine="0"/>
        <w:jc w:val="left"/>
        <w:rPr>
          <w:sz w:val="14"/>
        </w:rPr>
      </w:pPr>
    </w:p>
    <w:p w:rsidR="00A63476" w:rsidRDefault="00D22874">
      <w:pPr>
        <w:pStyle w:val="Prrafodelista"/>
        <w:numPr>
          <w:ilvl w:val="0"/>
          <w:numId w:val="49"/>
        </w:numPr>
        <w:tabs>
          <w:tab w:val="left" w:pos="1232"/>
        </w:tabs>
        <w:spacing w:before="95" w:line="292" w:lineRule="auto"/>
        <w:ind w:right="655" w:hanging="440"/>
        <w:rPr>
          <w:sz w:val="18"/>
        </w:rPr>
      </w:pPr>
      <w:r>
        <w:rPr>
          <w:sz w:val="18"/>
          <w:u w:val="single"/>
        </w:rPr>
        <w:t>Vivienda Nueva</w:t>
      </w:r>
      <w:r>
        <w:rPr>
          <w:b/>
          <w:sz w:val="18"/>
        </w:rPr>
        <w:t xml:space="preserve">. </w:t>
      </w:r>
      <w:r>
        <w:rPr>
          <w:sz w:val="18"/>
        </w:rPr>
        <w:t xml:space="preserve">La </w:t>
      </w:r>
      <w:r>
        <w:rPr>
          <w:spacing w:val="-3"/>
          <w:sz w:val="18"/>
        </w:rPr>
        <w:t xml:space="preserve">CONAVI </w:t>
      </w:r>
      <w:r>
        <w:rPr>
          <w:sz w:val="18"/>
        </w:rPr>
        <w:t xml:space="preserve">podrá otorgar subsidio para la construcción de vivienda nueva en Espacio Edificable Rural o Urbano, con espacios habitables y complementarios que estén en correspondencia con el contexto cultural y regional, que se puede generar en espacios </w:t>
      </w:r>
      <w:r>
        <w:rPr>
          <w:spacing w:val="-2"/>
          <w:sz w:val="18"/>
        </w:rPr>
        <w:t xml:space="preserve">edificables, </w:t>
      </w:r>
      <w:r>
        <w:rPr>
          <w:sz w:val="18"/>
        </w:rPr>
        <w:t>ha</w:t>
      </w:r>
      <w:r>
        <w:rPr>
          <w:sz w:val="18"/>
        </w:rPr>
        <w:t xml:space="preserve">sta por la cantidad equivalente a </w:t>
      </w:r>
      <w:r>
        <w:rPr>
          <w:b/>
          <w:sz w:val="18"/>
        </w:rPr>
        <w:t xml:space="preserve">127 </w:t>
      </w:r>
      <w:r>
        <w:rPr>
          <w:sz w:val="18"/>
        </w:rPr>
        <w:t>veces el valor de la UMA por unidad de</w:t>
      </w:r>
      <w:r>
        <w:rPr>
          <w:spacing w:val="-13"/>
          <w:sz w:val="18"/>
        </w:rPr>
        <w:t xml:space="preserve"> </w:t>
      </w:r>
      <w:r>
        <w:rPr>
          <w:sz w:val="18"/>
        </w:rPr>
        <w:t>vivienda.</w:t>
      </w:r>
    </w:p>
    <w:p w:rsidR="00A63476" w:rsidRDefault="00D22874">
      <w:pPr>
        <w:pStyle w:val="Prrafodelista"/>
        <w:numPr>
          <w:ilvl w:val="0"/>
          <w:numId w:val="49"/>
        </w:numPr>
        <w:tabs>
          <w:tab w:val="left" w:pos="1232"/>
        </w:tabs>
        <w:spacing w:before="109" w:line="292" w:lineRule="auto"/>
        <w:ind w:right="655" w:hanging="440"/>
        <w:rPr>
          <w:sz w:val="18"/>
        </w:rPr>
      </w:pPr>
      <w:r>
        <w:rPr>
          <w:sz w:val="18"/>
          <w:u w:val="single"/>
        </w:rPr>
        <w:t>Sustentabilidad</w:t>
      </w:r>
      <w:r>
        <w:rPr>
          <w:sz w:val="18"/>
        </w:rPr>
        <w:t xml:space="preserve">. La </w:t>
      </w:r>
      <w:r>
        <w:rPr>
          <w:spacing w:val="-3"/>
          <w:sz w:val="18"/>
        </w:rPr>
        <w:t xml:space="preserve">CONAVI </w:t>
      </w:r>
      <w:r>
        <w:rPr>
          <w:sz w:val="18"/>
        </w:rPr>
        <w:t xml:space="preserve">podrá otorgar subsidio hasta por la cantidad equivalente a 13 veces el valor de la UMA, por unidad de vivienda, para la aplicación de diseños </w:t>
      </w:r>
      <w:r>
        <w:rPr>
          <w:sz w:val="18"/>
        </w:rPr>
        <w:t xml:space="preserve">e instalación de tecnologías que permitan la disminución de emisiones de bióxido de carbono, el ahorro de energía y el ahorro </w:t>
      </w:r>
      <w:r>
        <w:rPr>
          <w:spacing w:val="-17"/>
          <w:sz w:val="18"/>
        </w:rPr>
        <w:t>y</w:t>
      </w:r>
      <w:r>
        <w:rPr>
          <w:spacing w:val="16"/>
          <w:sz w:val="18"/>
        </w:rPr>
        <w:t xml:space="preserve"> </w:t>
      </w:r>
      <w:r>
        <w:rPr>
          <w:sz w:val="18"/>
        </w:rPr>
        <w:t>manejo adecuado del agua en la vivienda, así como la protección y cuidado del medio ambiente. Estos diseños y tecnologías tambié</w:t>
      </w:r>
      <w:r>
        <w:rPr>
          <w:sz w:val="18"/>
        </w:rPr>
        <w:t>n contribuirán a reducir el riesgo de que la vivienda sufra daños por futuras contingencias y</w:t>
      </w:r>
      <w:r>
        <w:rPr>
          <w:spacing w:val="-1"/>
          <w:sz w:val="18"/>
        </w:rPr>
        <w:t xml:space="preserve"> </w:t>
      </w:r>
      <w:r>
        <w:rPr>
          <w:sz w:val="18"/>
        </w:rPr>
        <w:t>desastres.</w:t>
      </w:r>
    </w:p>
    <w:p w:rsidR="00A63476" w:rsidRDefault="00D22874">
      <w:pPr>
        <w:pStyle w:val="Prrafodelista"/>
        <w:numPr>
          <w:ilvl w:val="0"/>
          <w:numId w:val="49"/>
        </w:numPr>
        <w:tabs>
          <w:tab w:val="left" w:pos="1232"/>
        </w:tabs>
        <w:spacing w:before="105" w:line="290" w:lineRule="auto"/>
        <w:ind w:right="655" w:hanging="440"/>
        <w:rPr>
          <w:sz w:val="18"/>
        </w:rPr>
      </w:pPr>
      <w:r>
        <w:rPr>
          <w:sz w:val="18"/>
          <w:u w:val="single"/>
        </w:rPr>
        <w:t>Espacio Auxiliar Productivo.</w:t>
      </w:r>
      <w:r>
        <w:rPr>
          <w:sz w:val="18"/>
        </w:rPr>
        <w:t xml:space="preserve"> Con la finalidad de contribuir a la economía familiar y </w:t>
      </w:r>
      <w:r>
        <w:rPr>
          <w:b/>
          <w:sz w:val="18"/>
        </w:rPr>
        <w:t>c</w:t>
      </w:r>
      <w:r>
        <w:rPr>
          <w:sz w:val="18"/>
        </w:rPr>
        <w:t>omo parte integral de la ampliación o construcción de vivienda en</w:t>
      </w:r>
      <w:r>
        <w:rPr>
          <w:sz w:val="18"/>
        </w:rPr>
        <w:t xml:space="preserve"> Espacio Edificable Rural o Urbano, la </w:t>
      </w:r>
      <w:r>
        <w:rPr>
          <w:spacing w:val="-3"/>
          <w:sz w:val="18"/>
        </w:rPr>
        <w:t xml:space="preserve">CONAVI </w:t>
      </w:r>
      <w:r>
        <w:rPr>
          <w:sz w:val="18"/>
        </w:rPr>
        <w:t xml:space="preserve">podrá otorgar subsidio complementario para la construcción de locales auxiliares, hasta por la cantidad equivalente a 64 veces el valor de la UMA que corresponde al 50% del subsidio para la construcción de una </w:t>
      </w:r>
      <w:r>
        <w:rPr>
          <w:sz w:val="18"/>
        </w:rPr>
        <w:t>vivienda.</w:t>
      </w:r>
    </w:p>
    <w:p w:rsidR="00A63476" w:rsidRDefault="00D22874">
      <w:pPr>
        <w:pStyle w:val="Ttulo2"/>
        <w:spacing w:before="108"/>
        <w:ind w:left="800" w:firstLine="0"/>
      </w:pPr>
      <w:r>
        <w:t>Adquisición de Vivienda</w:t>
      </w:r>
    </w:p>
    <w:p w:rsidR="00A63476" w:rsidRDefault="00D22874">
      <w:pPr>
        <w:pStyle w:val="Textoindependiente"/>
        <w:spacing w:before="153" w:line="292" w:lineRule="auto"/>
      </w:pPr>
      <w:r>
        <w:t>Esta modalidad corresponde a la adquisición de vivienda terminada, individual o en conjunto, realizada por terceros, en un proceso único de edificación, que cumpla con las necesidades de densidad, superficie construida, se</w:t>
      </w:r>
      <w:r>
        <w:t>guridad estructural, instalaciones, servicios, áreas de uso común, entre otros, establecidos por  la reglamentación local correspondiente.</w:t>
      </w:r>
    </w:p>
    <w:p w:rsidR="00A63476" w:rsidRDefault="00D22874">
      <w:pPr>
        <w:pStyle w:val="Textoindependiente"/>
        <w:spacing w:before="90" w:line="302" w:lineRule="auto"/>
      </w:pPr>
      <w:r>
        <w:t>La vivienda podrá ser nueva o usada y deberá cumplir con el uso del suelo habitacional en las zonas urbanas, contar c</w:t>
      </w:r>
      <w:r>
        <w:t>on servicios que garanticen condiciones de habitabilidad y no estar ubicada en sitios de riesgo.</w:t>
      </w:r>
    </w:p>
    <w:p w:rsidR="00A63476" w:rsidRDefault="00D22874">
      <w:pPr>
        <w:pStyle w:val="Textoindependiente"/>
        <w:spacing w:before="78"/>
        <w:ind w:left="800" w:right="0" w:firstLine="0"/>
      </w:pPr>
      <w:r>
        <w:t>Las líneas de apoyo aplicables son: Adquisición de vivienda nueva y Adquisición de vivienda usada.</w:t>
      </w:r>
    </w:p>
    <w:p w:rsidR="00A63476" w:rsidRDefault="00D22874">
      <w:pPr>
        <w:pStyle w:val="Prrafodelista"/>
        <w:numPr>
          <w:ilvl w:val="0"/>
          <w:numId w:val="49"/>
        </w:numPr>
        <w:tabs>
          <w:tab w:val="left" w:pos="1232"/>
        </w:tabs>
        <w:spacing w:before="153" w:line="292" w:lineRule="auto"/>
        <w:ind w:right="655" w:hanging="440"/>
        <w:rPr>
          <w:sz w:val="18"/>
        </w:rPr>
      </w:pPr>
      <w:r>
        <w:rPr>
          <w:sz w:val="18"/>
          <w:u w:val="single"/>
        </w:rPr>
        <w:t>Adquisición de Vivienda Nueva.</w:t>
      </w:r>
      <w:r>
        <w:rPr>
          <w:sz w:val="18"/>
        </w:rPr>
        <w:t xml:space="preserve"> La </w:t>
      </w:r>
      <w:r>
        <w:rPr>
          <w:spacing w:val="-3"/>
          <w:sz w:val="18"/>
        </w:rPr>
        <w:t xml:space="preserve">CONAVI </w:t>
      </w:r>
      <w:r>
        <w:rPr>
          <w:sz w:val="18"/>
        </w:rPr>
        <w:t>podrá otorgar subsi</w:t>
      </w:r>
      <w:r>
        <w:rPr>
          <w:sz w:val="18"/>
        </w:rPr>
        <w:t xml:space="preserve">dio de hasta por la cantidad equivalente a 172 veces el valor de la UMA por unidad de vivienda, con el propósito de adquirir vivienda terminada, individual o en conjunto, ubicada fuera de zonas de riesgo, que nunca ha sido ocupada, realizada por terceros, </w:t>
      </w:r>
      <w:r>
        <w:rPr>
          <w:sz w:val="18"/>
        </w:rPr>
        <w:t>en un proceso único de edificación, que cumpla con las necesidades de densidad, superficie construida, seguridad estructural, instalaciones, servicios, áreas de uso común, entre otros, establecidos por la reglamentación local</w:t>
      </w:r>
      <w:r>
        <w:rPr>
          <w:spacing w:val="-3"/>
          <w:sz w:val="18"/>
        </w:rPr>
        <w:t xml:space="preserve"> </w:t>
      </w:r>
      <w:r>
        <w:rPr>
          <w:sz w:val="18"/>
        </w:rPr>
        <w:t>correspondiente.</w:t>
      </w:r>
    </w:p>
    <w:p w:rsidR="00A63476" w:rsidRDefault="00D22874">
      <w:pPr>
        <w:pStyle w:val="Prrafodelista"/>
        <w:numPr>
          <w:ilvl w:val="0"/>
          <w:numId w:val="49"/>
        </w:numPr>
        <w:tabs>
          <w:tab w:val="left" w:pos="1232"/>
        </w:tabs>
        <w:spacing w:before="105" w:line="292" w:lineRule="auto"/>
        <w:ind w:right="655" w:hanging="440"/>
        <w:rPr>
          <w:sz w:val="18"/>
        </w:rPr>
      </w:pPr>
      <w:r>
        <w:rPr>
          <w:sz w:val="18"/>
          <w:u w:val="single"/>
        </w:rPr>
        <w:t>Adquisición de Vivienda Usada.</w:t>
      </w:r>
      <w:r>
        <w:rPr>
          <w:sz w:val="18"/>
        </w:rPr>
        <w:t xml:space="preserve"> La </w:t>
      </w:r>
      <w:r>
        <w:rPr>
          <w:spacing w:val="-3"/>
          <w:sz w:val="18"/>
        </w:rPr>
        <w:t xml:space="preserve">CONAVI </w:t>
      </w:r>
      <w:r>
        <w:rPr>
          <w:sz w:val="18"/>
        </w:rPr>
        <w:t xml:space="preserve">podrá otorgar subsidio de hasta por la cantidad equivalente a 143 veces el valor de la UMA por unidad de vivienda con el propósito de adquirir vivienda terminada, en segunda o posterior transmisión, individual o en </w:t>
      </w:r>
      <w:r>
        <w:rPr>
          <w:sz w:val="18"/>
        </w:rPr>
        <w:t xml:space="preserve">conjunto, ubicada fuera </w:t>
      </w:r>
      <w:r>
        <w:rPr>
          <w:spacing w:val="-6"/>
          <w:sz w:val="18"/>
        </w:rPr>
        <w:t xml:space="preserve">de </w:t>
      </w:r>
      <w:r>
        <w:rPr>
          <w:sz w:val="18"/>
        </w:rPr>
        <w:t>zonas de riesgo, realizada por terceros, que cumpla con las necesidades de densidad, superficie construida, seguridad estructural, instalaciones, servicios, áreas de uso común, entre otros, establecidos por la reglamentación loca</w:t>
      </w:r>
      <w:r>
        <w:rPr>
          <w:sz w:val="18"/>
        </w:rPr>
        <w:t>l</w:t>
      </w:r>
      <w:r>
        <w:rPr>
          <w:spacing w:val="-1"/>
          <w:sz w:val="18"/>
        </w:rPr>
        <w:t xml:space="preserve"> </w:t>
      </w:r>
      <w:r>
        <w:rPr>
          <w:sz w:val="18"/>
        </w:rPr>
        <w:t>correspondiente.</w:t>
      </w:r>
    </w:p>
    <w:p w:rsidR="00A63476" w:rsidRDefault="00D22874">
      <w:pPr>
        <w:pStyle w:val="Ttulo2"/>
        <w:numPr>
          <w:ilvl w:val="0"/>
          <w:numId w:val="45"/>
        </w:numPr>
        <w:tabs>
          <w:tab w:val="left" w:pos="1219"/>
        </w:tabs>
        <w:spacing w:before="104"/>
        <w:jc w:val="both"/>
      </w:pPr>
      <w:r>
        <w:t>Mejoramiento de Unidades</w:t>
      </w:r>
      <w:r>
        <w:rPr>
          <w:spacing w:val="-1"/>
        </w:rPr>
        <w:t xml:space="preserve"> </w:t>
      </w:r>
      <w:r>
        <w:t>Habitacionales</w:t>
      </w:r>
    </w:p>
    <w:p w:rsidR="00A63476" w:rsidRDefault="00D22874">
      <w:pPr>
        <w:pStyle w:val="Textoindependiente"/>
        <w:spacing w:before="153" w:line="290" w:lineRule="auto"/>
      </w:pPr>
      <w:r>
        <w:t xml:space="preserve">La modalidad de Mejoramiento de Unidades Habitacionales consiste en apoyar proyectos para la realización de obras para habilitar o rehabilitar las áreas y bienes de uso común que se encuentran en </w:t>
      </w:r>
      <w:r>
        <w:rPr>
          <w:spacing w:val="-6"/>
        </w:rPr>
        <w:t>l</w:t>
      </w:r>
      <w:r>
        <w:rPr>
          <w:spacing w:val="-6"/>
        </w:rPr>
        <w:t xml:space="preserve">as </w:t>
      </w:r>
      <w:r>
        <w:t xml:space="preserve">unidades y desarrollos habitacionales con deterioro o inseguridad, considerando criterios de diseño </w:t>
      </w:r>
      <w:r>
        <w:rPr>
          <w:spacing w:val="-6"/>
        </w:rPr>
        <w:t xml:space="preserve">con </w:t>
      </w:r>
      <w:r>
        <w:t xml:space="preserve">acceso universal; con la finalidad de mejorar el funcionamiento, rehabilitar su imagen, evitar su deterioro </w:t>
      </w:r>
      <w:r>
        <w:rPr>
          <w:spacing w:val="-15"/>
        </w:rPr>
        <w:t xml:space="preserve">y </w:t>
      </w:r>
      <w:r>
        <w:t>prolongar su vida útil.</w:t>
      </w:r>
    </w:p>
    <w:p w:rsidR="00A63476" w:rsidRDefault="00D22874">
      <w:pPr>
        <w:pStyle w:val="Textoindependiente"/>
        <w:spacing w:before="108" w:line="302" w:lineRule="auto"/>
        <w:ind w:right="663"/>
      </w:pPr>
      <w:r>
        <w:t>Se apoyará la realización de acciones de mejoramiento de viviendas en su exterior y áreas comunes para mejorar la imagen urbana y su entorno.</w:t>
      </w:r>
    </w:p>
    <w:p w:rsidR="00A63476" w:rsidRDefault="00D22874">
      <w:pPr>
        <w:pStyle w:val="Textoindependiente"/>
        <w:spacing w:before="79"/>
        <w:ind w:left="800" w:right="0" w:firstLine="0"/>
      </w:pPr>
      <w:r>
        <w:t>Las líneas de apoyo aplicables son: Instalaciones Generales y Áreas Comunes; y, Sustentabilidad.</w:t>
      </w:r>
    </w:p>
    <w:p w:rsidR="00A63476" w:rsidRDefault="00D22874">
      <w:pPr>
        <w:pStyle w:val="Prrafodelista"/>
        <w:numPr>
          <w:ilvl w:val="0"/>
          <w:numId w:val="49"/>
        </w:numPr>
        <w:tabs>
          <w:tab w:val="left" w:pos="1232"/>
        </w:tabs>
        <w:spacing w:before="153" w:line="302" w:lineRule="auto"/>
        <w:ind w:right="655" w:hanging="440"/>
        <w:rPr>
          <w:sz w:val="18"/>
        </w:rPr>
      </w:pPr>
      <w:r>
        <w:rPr>
          <w:sz w:val="18"/>
          <w:u w:val="single"/>
        </w:rPr>
        <w:t>Sustentabilidad</w:t>
      </w:r>
      <w:r>
        <w:rPr>
          <w:sz w:val="18"/>
        </w:rPr>
        <w:t xml:space="preserve">. </w:t>
      </w:r>
      <w:r>
        <w:rPr>
          <w:sz w:val="18"/>
        </w:rPr>
        <w:t xml:space="preserve">La </w:t>
      </w:r>
      <w:r>
        <w:rPr>
          <w:spacing w:val="-3"/>
          <w:sz w:val="18"/>
        </w:rPr>
        <w:t xml:space="preserve">CONAVI </w:t>
      </w:r>
      <w:r>
        <w:rPr>
          <w:sz w:val="18"/>
        </w:rPr>
        <w:t>podrá otorgar subsidio hasta por la cantidad equivalente a 13 veces el valor</w:t>
      </w:r>
      <w:r>
        <w:rPr>
          <w:spacing w:val="13"/>
          <w:sz w:val="18"/>
        </w:rPr>
        <w:t xml:space="preserve"> </w:t>
      </w:r>
      <w:r>
        <w:rPr>
          <w:sz w:val="18"/>
        </w:rPr>
        <w:t>de</w:t>
      </w:r>
      <w:r>
        <w:rPr>
          <w:spacing w:val="14"/>
          <w:sz w:val="18"/>
        </w:rPr>
        <w:t xml:space="preserve"> </w:t>
      </w:r>
      <w:r>
        <w:rPr>
          <w:sz w:val="18"/>
        </w:rPr>
        <w:t>la</w:t>
      </w:r>
      <w:r>
        <w:rPr>
          <w:spacing w:val="14"/>
          <w:sz w:val="18"/>
        </w:rPr>
        <w:t xml:space="preserve"> </w:t>
      </w:r>
      <w:r>
        <w:rPr>
          <w:sz w:val="18"/>
        </w:rPr>
        <w:t>UMA,</w:t>
      </w:r>
      <w:r>
        <w:rPr>
          <w:spacing w:val="14"/>
          <w:sz w:val="18"/>
        </w:rPr>
        <w:t xml:space="preserve"> </w:t>
      </w:r>
      <w:r>
        <w:rPr>
          <w:sz w:val="18"/>
        </w:rPr>
        <w:t>por</w:t>
      </w:r>
      <w:r>
        <w:rPr>
          <w:spacing w:val="14"/>
          <w:sz w:val="18"/>
        </w:rPr>
        <w:t xml:space="preserve"> </w:t>
      </w:r>
      <w:r>
        <w:rPr>
          <w:sz w:val="18"/>
        </w:rPr>
        <w:t>unidad</w:t>
      </w:r>
      <w:r>
        <w:rPr>
          <w:spacing w:val="14"/>
          <w:sz w:val="18"/>
        </w:rPr>
        <w:t xml:space="preserve"> </w:t>
      </w:r>
      <w:r>
        <w:rPr>
          <w:sz w:val="18"/>
        </w:rPr>
        <w:t>de</w:t>
      </w:r>
      <w:r>
        <w:rPr>
          <w:spacing w:val="14"/>
          <w:sz w:val="18"/>
        </w:rPr>
        <w:t xml:space="preserve"> </w:t>
      </w:r>
      <w:r>
        <w:rPr>
          <w:sz w:val="18"/>
        </w:rPr>
        <w:t>vivienda,</w:t>
      </w:r>
      <w:r>
        <w:rPr>
          <w:spacing w:val="14"/>
          <w:sz w:val="18"/>
        </w:rPr>
        <w:t xml:space="preserve"> </w:t>
      </w:r>
      <w:r>
        <w:rPr>
          <w:sz w:val="18"/>
        </w:rPr>
        <w:t>para</w:t>
      </w:r>
      <w:r>
        <w:rPr>
          <w:spacing w:val="14"/>
          <w:sz w:val="18"/>
        </w:rPr>
        <w:t xml:space="preserve"> </w:t>
      </w:r>
      <w:r>
        <w:rPr>
          <w:sz w:val="18"/>
        </w:rPr>
        <w:t>la</w:t>
      </w:r>
      <w:r>
        <w:rPr>
          <w:spacing w:val="14"/>
          <w:sz w:val="18"/>
        </w:rPr>
        <w:t xml:space="preserve"> </w:t>
      </w:r>
      <w:r>
        <w:rPr>
          <w:sz w:val="18"/>
        </w:rPr>
        <w:t>aplicación</w:t>
      </w:r>
      <w:r>
        <w:rPr>
          <w:spacing w:val="14"/>
          <w:sz w:val="18"/>
        </w:rPr>
        <w:t xml:space="preserve"> </w:t>
      </w:r>
      <w:r>
        <w:rPr>
          <w:sz w:val="18"/>
        </w:rPr>
        <w:t>de</w:t>
      </w:r>
      <w:r>
        <w:rPr>
          <w:spacing w:val="14"/>
          <w:sz w:val="18"/>
        </w:rPr>
        <w:t xml:space="preserve"> </w:t>
      </w:r>
      <w:r>
        <w:rPr>
          <w:sz w:val="18"/>
        </w:rPr>
        <w:t>diseños</w:t>
      </w:r>
      <w:r>
        <w:rPr>
          <w:spacing w:val="14"/>
          <w:sz w:val="18"/>
        </w:rPr>
        <w:t xml:space="preserve"> </w:t>
      </w:r>
      <w:r>
        <w:rPr>
          <w:sz w:val="18"/>
        </w:rPr>
        <w:t>e</w:t>
      </w:r>
      <w:r>
        <w:rPr>
          <w:spacing w:val="14"/>
          <w:sz w:val="18"/>
        </w:rPr>
        <w:t xml:space="preserve"> </w:t>
      </w:r>
      <w:r>
        <w:rPr>
          <w:sz w:val="18"/>
        </w:rPr>
        <w:t>instalación</w:t>
      </w:r>
      <w:r>
        <w:rPr>
          <w:spacing w:val="14"/>
          <w:sz w:val="18"/>
        </w:rPr>
        <w:t xml:space="preserve"> </w:t>
      </w:r>
      <w:r>
        <w:rPr>
          <w:sz w:val="18"/>
        </w:rPr>
        <w:t>de</w:t>
      </w:r>
      <w:r>
        <w:rPr>
          <w:spacing w:val="14"/>
          <w:sz w:val="18"/>
        </w:rPr>
        <w:t xml:space="preserve"> </w:t>
      </w:r>
      <w:r>
        <w:rPr>
          <w:sz w:val="18"/>
        </w:rPr>
        <w:t>tecnologías</w:t>
      </w:r>
    </w:p>
    <w:p w:rsidR="00A63476" w:rsidRDefault="00A63476">
      <w:pPr>
        <w:spacing w:line="302" w:lineRule="auto"/>
        <w:jc w:val="both"/>
        <w:rPr>
          <w:sz w:val="18"/>
        </w:rPr>
        <w:sectPr w:rsidR="00A63476">
          <w:pgSz w:w="12240" w:h="15840"/>
          <w:pgMar w:top="920" w:right="1040" w:bottom="280" w:left="1180" w:header="700" w:footer="0" w:gutter="0"/>
          <w:cols w:space="720"/>
        </w:sectPr>
      </w:pPr>
    </w:p>
    <w:p w:rsidR="00A63476" w:rsidRDefault="00A63476">
      <w:pPr>
        <w:pStyle w:val="Textoindependiente"/>
        <w:spacing w:before="2"/>
        <w:ind w:left="0" w:right="0" w:firstLine="0"/>
        <w:jc w:val="left"/>
        <w:rPr>
          <w:sz w:val="14"/>
        </w:rPr>
      </w:pPr>
    </w:p>
    <w:p w:rsidR="00A63476" w:rsidRDefault="00D22874">
      <w:pPr>
        <w:pStyle w:val="Textoindependiente"/>
        <w:spacing w:before="95" w:line="292" w:lineRule="auto"/>
        <w:ind w:left="1240" w:firstLine="0"/>
      </w:pPr>
      <w:r>
        <w:t>que permitan la disminución de emisiones de bióxido de carbo</w:t>
      </w:r>
      <w:r>
        <w:t>no, el ahorro de energía y el ahorro y manejo adecuado del agua en la vivienda, así como la protección y cuidado del medio ambiente. Estos diseños y tecnologías también contribuirán a reducir el riesgo de que la vivienda sufra daños por futuras contingenci</w:t>
      </w:r>
      <w:r>
        <w:t>as y desastres.</w:t>
      </w:r>
    </w:p>
    <w:p w:rsidR="00A63476" w:rsidRDefault="00D22874">
      <w:pPr>
        <w:pStyle w:val="Prrafodelista"/>
        <w:numPr>
          <w:ilvl w:val="0"/>
          <w:numId w:val="49"/>
        </w:numPr>
        <w:tabs>
          <w:tab w:val="left" w:pos="1232"/>
        </w:tabs>
        <w:spacing w:before="89" w:line="292" w:lineRule="auto"/>
        <w:ind w:right="655" w:hanging="440"/>
        <w:rPr>
          <w:sz w:val="18"/>
        </w:rPr>
      </w:pPr>
      <w:r>
        <w:rPr>
          <w:sz w:val="18"/>
          <w:u w:val="single"/>
        </w:rPr>
        <w:t>Instalaciones Generales y Áreas Comunes</w:t>
      </w:r>
      <w:r>
        <w:rPr>
          <w:b/>
          <w:sz w:val="18"/>
        </w:rPr>
        <w:t xml:space="preserve">. </w:t>
      </w:r>
      <w:r>
        <w:rPr>
          <w:sz w:val="18"/>
        </w:rPr>
        <w:t xml:space="preserve">La </w:t>
      </w:r>
      <w:r>
        <w:rPr>
          <w:spacing w:val="-3"/>
          <w:sz w:val="18"/>
        </w:rPr>
        <w:t xml:space="preserve">CONAVI </w:t>
      </w:r>
      <w:r>
        <w:rPr>
          <w:sz w:val="18"/>
        </w:rPr>
        <w:t>podrá otorgar subsidio hasta por 4 veces el valor de la UMA por unidad de vivienda para la realización de trabajos de mantenimiento, rehabilitación y reparación de áreas exteriores a las vi</w:t>
      </w:r>
      <w:r>
        <w:rPr>
          <w:sz w:val="18"/>
        </w:rPr>
        <w:t xml:space="preserve">viendas y zonas comunes en edificios multifamiliares de unidades habitacionales de interés social. Se puede aplicar en pintura </w:t>
      </w:r>
      <w:r>
        <w:rPr>
          <w:spacing w:val="-4"/>
          <w:sz w:val="18"/>
        </w:rPr>
        <w:t xml:space="preserve">exterior, </w:t>
      </w:r>
      <w:r>
        <w:rPr>
          <w:sz w:val="18"/>
        </w:rPr>
        <w:t xml:space="preserve">impermeabilización, reparación o sustitución de instalaciones hidro-sanitarias, eléctricas o  especiales, iluminación, </w:t>
      </w:r>
      <w:r>
        <w:rPr>
          <w:sz w:val="18"/>
        </w:rPr>
        <w:t xml:space="preserve">seguridad, rehabilitación de cubos de escalera, herrerías, cosecha de </w:t>
      </w:r>
      <w:r>
        <w:rPr>
          <w:spacing w:val="-4"/>
          <w:sz w:val="18"/>
        </w:rPr>
        <w:t xml:space="preserve">agua </w:t>
      </w:r>
      <w:r>
        <w:rPr>
          <w:sz w:val="18"/>
        </w:rPr>
        <w:t>de lluvia, entre</w:t>
      </w:r>
      <w:r>
        <w:rPr>
          <w:spacing w:val="-1"/>
          <w:sz w:val="18"/>
        </w:rPr>
        <w:t xml:space="preserve"> </w:t>
      </w:r>
      <w:r>
        <w:rPr>
          <w:sz w:val="18"/>
        </w:rPr>
        <w:t>otros.</w:t>
      </w:r>
    </w:p>
    <w:p w:rsidR="00A63476" w:rsidRDefault="00D22874">
      <w:pPr>
        <w:pStyle w:val="Ttulo1"/>
        <w:spacing w:before="73"/>
        <w:ind w:left="875" w:right="1002"/>
        <w:jc w:val="center"/>
      </w:pPr>
      <w:r>
        <w:t>Tabla 4. VIVIENDAS EN PROYECTOS ESTRATÉGICOS</w:t>
      </w:r>
    </w:p>
    <w:p w:rsidR="00A63476" w:rsidRDefault="00D22874">
      <w:pPr>
        <w:spacing w:before="113"/>
        <w:ind w:left="876" w:right="1002"/>
        <w:jc w:val="center"/>
        <w:rPr>
          <w:b/>
          <w:sz w:val="18"/>
        </w:rPr>
      </w:pPr>
      <w:r>
        <w:rPr>
          <w:b/>
          <w:sz w:val="18"/>
        </w:rPr>
        <w:t>Líneas de apoyo y montos de subsidio según modalidad de aplicación del subsidio</w:t>
      </w:r>
    </w:p>
    <w:p w:rsidR="00A63476" w:rsidRDefault="00A63476">
      <w:pPr>
        <w:pStyle w:val="Textoindependiente"/>
        <w:spacing w:before="6"/>
        <w:ind w:left="0" w:right="0" w:firstLine="0"/>
        <w:jc w:val="left"/>
        <w:rPr>
          <w:b/>
          <w:sz w:val="11"/>
        </w:rPr>
      </w:pPr>
    </w:p>
    <w:tbl>
      <w:tblPr>
        <w:tblStyle w:val="TableNormal"/>
        <w:tblW w:w="0" w:type="auto"/>
        <w:tblInd w:w="1703" w:type="dxa"/>
        <w:tblBorders>
          <w:top w:val="single" w:sz="6" w:space="0" w:color="404040"/>
          <w:left w:val="single" w:sz="6" w:space="0" w:color="404040"/>
          <w:bottom w:val="single" w:sz="6" w:space="0" w:color="404040"/>
          <w:right w:val="single" w:sz="6" w:space="0" w:color="404040"/>
          <w:insideH w:val="single" w:sz="6" w:space="0" w:color="404040"/>
          <w:insideV w:val="single" w:sz="6" w:space="0" w:color="404040"/>
        </w:tblBorders>
        <w:tblLayout w:type="fixed"/>
        <w:tblLook w:val="01E0" w:firstRow="1" w:lastRow="1" w:firstColumn="1" w:lastColumn="1" w:noHBand="0" w:noVBand="0"/>
      </w:tblPr>
      <w:tblGrid>
        <w:gridCol w:w="2291"/>
        <w:gridCol w:w="1581"/>
        <w:gridCol w:w="741"/>
        <w:gridCol w:w="622"/>
        <w:gridCol w:w="503"/>
        <w:gridCol w:w="742"/>
      </w:tblGrid>
      <w:tr w:rsidR="00A63476">
        <w:trPr>
          <w:trHeight w:val="514"/>
        </w:trPr>
        <w:tc>
          <w:tcPr>
            <w:tcW w:w="2291" w:type="dxa"/>
            <w:vMerge w:val="restart"/>
          </w:tcPr>
          <w:p w:rsidR="00A63476" w:rsidRDefault="00A63476">
            <w:pPr>
              <w:pStyle w:val="TableParagraph"/>
              <w:rPr>
                <w:b/>
                <w:sz w:val="18"/>
              </w:rPr>
            </w:pPr>
          </w:p>
          <w:p w:rsidR="00A63476" w:rsidRDefault="00A63476">
            <w:pPr>
              <w:pStyle w:val="TableParagraph"/>
              <w:rPr>
                <w:b/>
                <w:sz w:val="18"/>
              </w:rPr>
            </w:pPr>
          </w:p>
          <w:p w:rsidR="00A63476" w:rsidRDefault="00A63476">
            <w:pPr>
              <w:pStyle w:val="TableParagraph"/>
              <w:rPr>
                <w:b/>
                <w:sz w:val="18"/>
              </w:rPr>
            </w:pPr>
          </w:p>
          <w:p w:rsidR="00A63476" w:rsidRDefault="00A63476">
            <w:pPr>
              <w:pStyle w:val="TableParagraph"/>
              <w:rPr>
                <w:b/>
                <w:sz w:val="18"/>
              </w:rPr>
            </w:pPr>
          </w:p>
          <w:p w:rsidR="00A63476" w:rsidRDefault="00A63476">
            <w:pPr>
              <w:pStyle w:val="TableParagraph"/>
              <w:rPr>
                <w:b/>
                <w:sz w:val="18"/>
              </w:rPr>
            </w:pPr>
          </w:p>
          <w:p w:rsidR="00A63476" w:rsidRDefault="00A63476">
            <w:pPr>
              <w:pStyle w:val="TableParagraph"/>
              <w:rPr>
                <w:b/>
                <w:sz w:val="18"/>
              </w:rPr>
            </w:pPr>
          </w:p>
          <w:p w:rsidR="00A63476" w:rsidRDefault="00A63476">
            <w:pPr>
              <w:pStyle w:val="TableParagraph"/>
              <w:rPr>
                <w:b/>
                <w:sz w:val="18"/>
              </w:rPr>
            </w:pPr>
          </w:p>
          <w:p w:rsidR="00A63476" w:rsidRDefault="00D22874">
            <w:pPr>
              <w:pStyle w:val="TableParagraph"/>
              <w:spacing w:before="160"/>
              <w:ind w:left="503"/>
              <w:rPr>
                <w:b/>
                <w:sz w:val="16"/>
              </w:rPr>
            </w:pPr>
            <w:r>
              <w:rPr>
                <w:b/>
                <w:sz w:val="16"/>
              </w:rPr>
              <w:t>Líneas de Apoyo</w:t>
            </w:r>
          </w:p>
        </w:tc>
        <w:tc>
          <w:tcPr>
            <w:tcW w:w="1581" w:type="dxa"/>
            <w:vMerge w:val="restart"/>
            <w:tcBorders>
              <w:right w:val="single" w:sz="12" w:space="0" w:color="000000"/>
            </w:tcBorders>
          </w:tcPr>
          <w:p w:rsidR="00A63476" w:rsidRDefault="00A63476">
            <w:pPr>
              <w:pStyle w:val="TableParagraph"/>
              <w:rPr>
                <w:b/>
                <w:sz w:val="18"/>
              </w:rPr>
            </w:pPr>
          </w:p>
          <w:p w:rsidR="00A63476" w:rsidRDefault="00A63476">
            <w:pPr>
              <w:pStyle w:val="TableParagraph"/>
              <w:rPr>
                <w:b/>
                <w:sz w:val="18"/>
              </w:rPr>
            </w:pPr>
          </w:p>
          <w:p w:rsidR="00A63476" w:rsidRDefault="00A63476">
            <w:pPr>
              <w:pStyle w:val="TableParagraph"/>
              <w:rPr>
                <w:b/>
                <w:sz w:val="18"/>
              </w:rPr>
            </w:pPr>
          </w:p>
          <w:p w:rsidR="00A63476" w:rsidRDefault="00A63476">
            <w:pPr>
              <w:pStyle w:val="TableParagraph"/>
              <w:rPr>
                <w:b/>
                <w:sz w:val="18"/>
              </w:rPr>
            </w:pPr>
          </w:p>
          <w:p w:rsidR="00A63476" w:rsidRDefault="00A63476">
            <w:pPr>
              <w:pStyle w:val="TableParagraph"/>
              <w:rPr>
                <w:b/>
                <w:sz w:val="18"/>
              </w:rPr>
            </w:pPr>
          </w:p>
          <w:p w:rsidR="00A63476" w:rsidRDefault="00A63476">
            <w:pPr>
              <w:pStyle w:val="TableParagraph"/>
              <w:spacing w:before="9"/>
              <w:rPr>
                <w:b/>
                <w:sz w:val="25"/>
              </w:rPr>
            </w:pPr>
          </w:p>
          <w:p w:rsidR="00A63476" w:rsidRDefault="00D22874">
            <w:pPr>
              <w:pStyle w:val="TableParagraph"/>
              <w:spacing w:line="235" w:lineRule="auto"/>
              <w:ind w:left="92" w:right="50" w:firstLine="120"/>
              <w:rPr>
                <w:b/>
                <w:sz w:val="16"/>
              </w:rPr>
            </w:pPr>
            <w:r>
              <w:rPr>
                <w:b/>
                <w:sz w:val="16"/>
              </w:rPr>
              <w:t>Monto máximo del subsidio (UMA</w:t>
            </w:r>
          </w:p>
          <w:p w:rsidR="00A63476" w:rsidRDefault="00D22874">
            <w:pPr>
              <w:pStyle w:val="TableParagraph"/>
              <w:spacing w:line="235" w:lineRule="auto"/>
              <w:ind w:left="432" w:right="228" w:hanging="180"/>
              <w:rPr>
                <w:b/>
                <w:sz w:val="16"/>
              </w:rPr>
            </w:pPr>
            <w:r>
              <w:rPr>
                <w:b/>
                <w:sz w:val="16"/>
              </w:rPr>
              <w:t>por unidad de vivienda)</w:t>
            </w:r>
          </w:p>
        </w:tc>
        <w:tc>
          <w:tcPr>
            <w:tcW w:w="2608" w:type="dxa"/>
            <w:gridSpan w:val="4"/>
            <w:tcBorders>
              <w:top w:val="single" w:sz="12" w:space="0" w:color="000000"/>
              <w:left w:val="single" w:sz="12" w:space="0" w:color="000000"/>
              <w:right w:val="single" w:sz="12" w:space="0" w:color="000000"/>
            </w:tcBorders>
          </w:tcPr>
          <w:p w:rsidR="00A63476" w:rsidRDefault="00D22874">
            <w:pPr>
              <w:pStyle w:val="TableParagraph"/>
              <w:spacing w:before="72" w:line="235" w:lineRule="auto"/>
              <w:ind w:left="1004" w:right="190" w:hanging="780"/>
              <w:rPr>
                <w:sz w:val="16"/>
              </w:rPr>
            </w:pPr>
            <w:r>
              <w:rPr>
                <w:sz w:val="16"/>
              </w:rPr>
              <w:t>Modalidades de aplicación del subsidio</w:t>
            </w:r>
          </w:p>
        </w:tc>
      </w:tr>
      <w:tr w:rsidR="00A63476">
        <w:trPr>
          <w:trHeight w:val="2854"/>
        </w:trPr>
        <w:tc>
          <w:tcPr>
            <w:tcW w:w="2291" w:type="dxa"/>
            <w:vMerge/>
            <w:tcBorders>
              <w:top w:val="nil"/>
            </w:tcBorders>
          </w:tcPr>
          <w:p w:rsidR="00A63476" w:rsidRDefault="00A63476">
            <w:pPr>
              <w:rPr>
                <w:sz w:val="2"/>
                <w:szCs w:val="2"/>
              </w:rPr>
            </w:pPr>
          </w:p>
        </w:tc>
        <w:tc>
          <w:tcPr>
            <w:tcW w:w="1581" w:type="dxa"/>
            <w:vMerge/>
            <w:tcBorders>
              <w:top w:val="nil"/>
              <w:right w:val="single" w:sz="12" w:space="0" w:color="000000"/>
            </w:tcBorders>
          </w:tcPr>
          <w:p w:rsidR="00A63476" w:rsidRDefault="00A63476">
            <w:pPr>
              <w:rPr>
                <w:sz w:val="2"/>
                <w:szCs w:val="2"/>
              </w:rPr>
            </w:pPr>
          </w:p>
        </w:tc>
        <w:tc>
          <w:tcPr>
            <w:tcW w:w="741" w:type="dxa"/>
            <w:tcBorders>
              <w:left w:val="single" w:sz="12" w:space="0" w:color="000000"/>
            </w:tcBorders>
          </w:tcPr>
          <w:p w:rsidR="00A63476" w:rsidRDefault="00A63476">
            <w:pPr>
              <w:pStyle w:val="TableParagraph"/>
              <w:rPr>
                <w:b/>
                <w:sz w:val="18"/>
              </w:rPr>
            </w:pPr>
          </w:p>
          <w:p w:rsidR="00A63476" w:rsidRDefault="00A63476">
            <w:pPr>
              <w:pStyle w:val="TableParagraph"/>
              <w:spacing w:before="5"/>
              <w:rPr>
                <w:b/>
                <w:sz w:val="20"/>
              </w:rPr>
            </w:pPr>
          </w:p>
          <w:p w:rsidR="00A63476" w:rsidRDefault="00D22874">
            <w:pPr>
              <w:pStyle w:val="TableParagraph"/>
              <w:spacing w:line="235" w:lineRule="auto"/>
              <w:ind w:left="204" w:right="156" w:hanging="14"/>
              <w:jc w:val="center"/>
              <w:rPr>
                <w:sz w:val="16"/>
              </w:rPr>
            </w:pPr>
            <w:r>
              <w:rPr>
                <w:sz w:val="16"/>
              </w:rPr>
              <w:t xml:space="preserve">VIVI END A EN CON JUN </w:t>
            </w:r>
            <w:r>
              <w:rPr>
                <w:spacing w:val="-3"/>
                <w:sz w:val="16"/>
              </w:rPr>
              <w:t xml:space="preserve">TO </w:t>
            </w:r>
            <w:r>
              <w:rPr>
                <w:sz w:val="16"/>
              </w:rPr>
              <w:t xml:space="preserve">HAB </w:t>
            </w:r>
            <w:r>
              <w:rPr>
                <w:spacing w:val="-3"/>
                <w:sz w:val="16"/>
              </w:rPr>
              <w:t xml:space="preserve">ITAC </w:t>
            </w:r>
            <w:r>
              <w:rPr>
                <w:sz w:val="16"/>
              </w:rPr>
              <w:t>ION AL</w:t>
            </w:r>
          </w:p>
        </w:tc>
        <w:tc>
          <w:tcPr>
            <w:tcW w:w="622" w:type="dxa"/>
          </w:tcPr>
          <w:p w:rsidR="00A63476" w:rsidRDefault="00D22874">
            <w:pPr>
              <w:pStyle w:val="TableParagraph"/>
              <w:spacing w:before="82" w:line="235" w:lineRule="auto"/>
              <w:ind w:left="170" w:right="67" w:firstLine="15"/>
              <w:jc w:val="center"/>
              <w:rPr>
                <w:sz w:val="16"/>
              </w:rPr>
            </w:pPr>
            <w:r>
              <w:rPr>
                <w:sz w:val="16"/>
              </w:rPr>
              <w:t>VIVI END A EN ESP ACI O EDI FIC ABL E RUR AL</w:t>
            </w:r>
            <w:r>
              <w:rPr>
                <w:spacing w:val="-6"/>
                <w:sz w:val="16"/>
              </w:rPr>
              <w:t xml:space="preserve"> </w:t>
            </w:r>
            <w:r>
              <w:rPr>
                <w:sz w:val="16"/>
              </w:rPr>
              <w:t>O URB ANO</w:t>
            </w:r>
          </w:p>
        </w:tc>
        <w:tc>
          <w:tcPr>
            <w:tcW w:w="503" w:type="dxa"/>
          </w:tcPr>
          <w:p w:rsidR="00A63476" w:rsidRDefault="00A63476">
            <w:pPr>
              <w:pStyle w:val="TableParagraph"/>
              <w:rPr>
                <w:b/>
                <w:sz w:val="18"/>
              </w:rPr>
            </w:pPr>
          </w:p>
          <w:p w:rsidR="00A63476" w:rsidRDefault="00A63476">
            <w:pPr>
              <w:pStyle w:val="TableParagraph"/>
              <w:rPr>
                <w:b/>
                <w:sz w:val="18"/>
              </w:rPr>
            </w:pPr>
          </w:p>
          <w:p w:rsidR="00A63476" w:rsidRDefault="00A63476">
            <w:pPr>
              <w:pStyle w:val="TableParagraph"/>
              <w:spacing w:before="9"/>
              <w:rPr>
                <w:b/>
                <w:sz w:val="26"/>
              </w:rPr>
            </w:pPr>
          </w:p>
          <w:p w:rsidR="00A63476" w:rsidRDefault="00D22874">
            <w:pPr>
              <w:pStyle w:val="TableParagraph"/>
              <w:spacing w:line="235" w:lineRule="auto"/>
              <w:ind w:left="88" w:right="74" w:firstLine="60"/>
              <w:jc w:val="both"/>
              <w:rPr>
                <w:sz w:val="16"/>
              </w:rPr>
            </w:pPr>
            <w:r>
              <w:rPr>
                <w:sz w:val="16"/>
              </w:rPr>
              <w:t>AD QUI SICI ÓN DE VIVI EN DA</w:t>
            </w:r>
          </w:p>
        </w:tc>
        <w:tc>
          <w:tcPr>
            <w:tcW w:w="742" w:type="dxa"/>
            <w:tcBorders>
              <w:right w:val="single" w:sz="12" w:space="0" w:color="000000"/>
            </w:tcBorders>
          </w:tcPr>
          <w:p w:rsidR="00A63476" w:rsidRDefault="00A63476">
            <w:pPr>
              <w:pStyle w:val="TableParagraph"/>
              <w:rPr>
                <w:b/>
                <w:sz w:val="18"/>
              </w:rPr>
            </w:pPr>
          </w:p>
          <w:p w:rsidR="00A63476" w:rsidRDefault="00A63476">
            <w:pPr>
              <w:pStyle w:val="TableParagraph"/>
              <w:spacing w:before="5"/>
              <w:rPr>
                <w:b/>
                <w:sz w:val="20"/>
              </w:rPr>
            </w:pPr>
          </w:p>
          <w:p w:rsidR="00A63476" w:rsidRDefault="00D22874">
            <w:pPr>
              <w:pStyle w:val="TableParagraph"/>
              <w:spacing w:line="235" w:lineRule="auto"/>
              <w:ind w:left="205" w:right="159" w:firstLine="7"/>
              <w:jc w:val="center"/>
              <w:rPr>
                <w:sz w:val="16"/>
              </w:rPr>
            </w:pPr>
            <w:r>
              <w:rPr>
                <w:sz w:val="16"/>
              </w:rPr>
              <w:t xml:space="preserve">MEJ ORA MIE NTO DE U. HAB </w:t>
            </w:r>
            <w:r>
              <w:rPr>
                <w:spacing w:val="-3"/>
                <w:sz w:val="16"/>
              </w:rPr>
              <w:t>ITAC</w:t>
            </w:r>
            <w:r>
              <w:rPr>
                <w:sz w:val="16"/>
              </w:rPr>
              <w:t xml:space="preserve"> ION ALE S</w:t>
            </w:r>
          </w:p>
        </w:tc>
      </w:tr>
      <w:tr w:rsidR="00A63476">
        <w:trPr>
          <w:trHeight w:val="334"/>
        </w:trPr>
        <w:tc>
          <w:tcPr>
            <w:tcW w:w="2291" w:type="dxa"/>
          </w:tcPr>
          <w:p w:rsidR="00A63476" w:rsidRDefault="00D22874">
            <w:pPr>
              <w:pStyle w:val="TableParagraph"/>
              <w:spacing w:before="69"/>
              <w:ind w:left="83"/>
              <w:rPr>
                <w:sz w:val="16"/>
              </w:rPr>
            </w:pPr>
            <w:r>
              <w:rPr>
                <w:sz w:val="16"/>
              </w:rPr>
              <w:t>Reubicación de Vivienda</w:t>
            </w:r>
          </w:p>
        </w:tc>
        <w:tc>
          <w:tcPr>
            <w:tcW w:w="1581" w:type="dxa"/>
            <w:tcBorders>
              <w:right w:val="single" w:sz="12" w:space="0" w:color="000000"/>
            </w:tcBorders>
          </w:tcPr>
          <w:p w:rsidR="00A63476" w:rsidRDefault="00D22874">
            <w:pPr>
              <w:pStyle w:val="TableParagraph"/>
              <w:spacing w:before="69"/>
              <w:ind w:left="626" w:right="613"/>
              <w:jc w:val="center"/>
              <w:rPr>
                <w:sz w:val="16"/>
              </w:rPr>
            </w:pPr>
            <w:r>
              <w:rPr>
                <w:sz w:val="16"/>
              </w:rPr>
              <w:t>172</w:t>
            </w:r>
          </w:p>
        </w:tc>
        <w:tc>
          <w:tcPr>
            <w:tcW w:w="741" w:type="dxa"/>
            <w:tcBorders>
              <w:left w:val="single" w:sz="12" w:space="0" w:color="000000"/>
            </w:tcBorders>
            <w:shd w:val="clear" w:color="auto" w:fill="D9D9D9"/>
          </w:tcPr>
          <w:p w:rsidR="00A63476" w:rsidRDefault="00D22874">
            <w:pPr>
              <w:pStyle w:val="TableParagraph"/>
              <w:spacing w:before="69"/>
              <w:ind w:right="1"/>
              <w:jc w:val="center"/>
              <w:rPr>
                <w:sz w:val="16"/>
              </w:rPr>
            </w:pPr>
            <w:r>
              <w:rPr>
                <w:sz w:val="16"/>
              </w:rPr>
              <w:t>X</w:t>
            </w:r>
          </w:p>
        </w:tc>
        <w:tc>
          <w:tcPr>
            <w:tcW w:w="622" w:type="dxa"/>
          </w:tcPr>
          <w:p w:rsidR="00A63476" w:rsidRDefault="00A63476">
            <w:pPr>
              <w:pStyle w:val="TableParagraph"/>
              <w:rPr>
                <w:rFonts w:ascii="Times New Roman"/>
                <w:sz w:val="16"/>
              </w:rPr>
            </w:pPr>
          </w:p>
        </w:tc>
        <w:tc>
          <w:tcPr>
            <w:tcW w:w="503" w:type="dxa"/>
          </w:tcPr>
          <w:p w:rsidR="00A63476" w:rsidRDefault="00A63476">
            <w:pPr>
              <w:pStyle w:val="TableParagraph"/>
              <w:rPr>
                <w:rFonts w:ascii="Times New Roman"/>
                <w:sz w:val="16"/>
              </w:rPr>
            </w:pPr>
          </w:p>
        </w:tc>
        <w:tc>
          <w:tcPr>
            <w:tcW w:w="742" w:type="dxa"/>
            <w:tcBorders>
              <w:right w:val="single" w:sz="12" w:space="0" w:color="000000"/>
            </w:tcBorders>
          </w:tcPr>
          <w:p w:rsidR="00A63476" w:rsidRDefault="00A63476">
            <w:pPr>
              <w:pStyle w:val="TableParagraph"/>
              <w:rPr>
                <w:rFonts w:ascii="Times New Roman"/>
                <w:sz w:val="16"/>
              </w:rPr>
            </w:pPr>
          </w:p>
        </w:tc>
      </w:tr>
      <w:tr w:rsidR="00A63476">
        <w:trPr>
          <w:trHeight w:val="334"/>
        </w:trPr>
        <w:tc>
          <w:tcPr>
            <w:tcW w:w="2291" w:type="dxa"/>
          </w:tcPr>
          <w:p w:rsidR="00A63476" w:rsidRDefault="00D22874">
            <w:pPr>
              <w:pStyle w:val="TableParagraph"/>
              <w:spacing w:before="79"/>
              <w:ind w:left="83"/>
              <w:rPr>
                <w:sz w:val="16"/>
              </w:rPr>
            </w:pPr>
            <w:r>
              <w:rPr>
                <w:sz w:val="16"/>
              </w:rPr>
              <w:t>Acompañamiento Técnico</w:t>
            </w:r>
          </w:p>
        </w:tc>
        <w:tc>
          <w:tcPr>
            <w:tcW w:w="1581" w:type="dxa"/>
            <w:tcBorders>
              <w:right w:val="single" w:sz="12" w:space="0" w:color="000000"/>
            </w:tcBorders>
          </w:tcPr>
          <w:p w:rsidR="00A63476" w:rsidRDefault="00D22874">
            <w:pPr>
              <w:pStyle w:val="TableParagraph"/>
              <w:spacing w:before="79"/>
              <w:ind w:left="623" w:right="619"/>
              <w:jc w:val="center"/>
              <w:rPr>
                <w:sz w:val="16"/>
              </w:rPr>
            </w:pPr>
            <w:r>
              <w:rPr>
                <w:sz w:val="16"/>
              </w:rPr>
              <w:t>13</w:t>
            </w:r>
          </w:p>
        </w:tc>
        <w:tc>
          <w:tcPr>
            <w:tcW w:w="741" w:type="dxa"/>
            <w:tcBorders>
              <w:left w:val="single" w:sz="12" w:space="0" w:color="000000"/>
            </w:tcBorders>
          </w:tcPr>
          <w:p w:rsidR="00A63476" w:rsidRDefault="00A63476">
            <w:pPr>
              <w:pStyle w:val="TableParagraph"/>
              <w:rPr>
                <w:rFonts w:ascii="Times New Roman"/>
                <w:sz w:val="16"/>
              </w:rPr>
            </w:pPr>
          </w:p>
        </w:tc>
        <w:tc>
          <w:tcPr>
            <w:tcW w:w="622" w:type="dxa"/>
          </w:tcPr>
          <w:p w:rsidR="00A63476" w:rsidRDefault="00A63476">
            <w:pPr>
              <w:pStyle w:val="TableParagraph"/>
              <w:rPr>
                <w:rFonts w:ascii="Times New Roman"/>
                <w:sz w:val="16"/>
              </w:rPr>
            </w:pPr>
          </w:p>
        </w:tc>
        <w:tc>
          <w:tcPr>
            <w:tcW w:w="503" w:type="dxa"/>
          </w:tcPr>
          <w:p w:rsidR="00A63476" w:rsidRDefault="00A63476">
            <w:pPr>
              <w:pStyle w:val="TableParagraph"/>
              <w:rPr>
                <w:rFonts w:ascii="Times New Roman"/>
                <w:sz w:val="16"/>
              </w:rPr>
            </w:pPr>
          </w:p>
        </w:tc>
        <w:tc>
          <w:tcPr>
            <w:tcW w:w="742" w:type="dxa"/>
            <w:tcBorders>
              <w:right w:val="single" w:sz="12" w:space="0" w:color="000000"/>
            </w:tcBorders>
          </w:tcPr>
          <w:p w:rsidR="00A63476" w:rsidRDefault="00A63476">
            <w:pPr>
              <w:pStyle w:val="TableParagraph"/>
              <w:rPr>
                <w:rFonts w:ascii="Times New Roman"/>
                <w:sz w:val="16"/>
              </w:rPr>
            </w:pPr>
          </w:p>
        </w:tc>
      </w:tr>
      <w:tr w:rsidR="00A63476">
        <w:trPr>
          <w:trHeight w:val="334"/>
        </w:trPr>
        <w:tc>
          <w:tcPr>
            <w:tcW w:w="2291" w:type="dxa"/>
          </w:tcPr>
          <w:p w:rsidR="00A63476" w:rsidRDefault="00D22874">
            <w:pPr>
              <w:pStyle w:val="TableParagraph"/>
              <w:spacing w:before="70"/>
              <w:ind w:left="83"/>
              <w:rPr>
                <w:sz w:val="16"/>
              </w:rPr>
            </w:pPr>
            <w:r>
              <w:rPr>
                <w:sz w:val="16"/>
              </w:rPr>
              <w:t>Adquisición de suelo</w:t>
            </w:r>
          </w:p>
        </w:tc>
        <w:tc>
          <w:tcPr>
            <w:tcW w:w="1581" w:type="dxa"/>
            <w:tcBorders>
              <w:right w:val="single" w:sz="12" w:space="0" w:color="000000"/>
            </w:tcBorders>
          </w:tcPr>
          <w:p w:rsidR="00A63476" w:rsidRDefault="00D22874">
            <w:pPr>
              <w:pStyle w:val="TableParagraph"/>
              <w:spacing w:before="70"/>
              <w:ind w:left="623" w:right="619"/>
              <w:jc w:val="center"/>
              <w:rPr>
                <w:sz w:val="16"/>
              </w:rPr>
            </w:pPr>
            <w:r>
              <w:rPr>
                <w:sz w:val="16"/>
              </w:rPr>
              <w:t>45</w:t>
            </w:r>
          </w:p>
        </w:tc>
        <w:tc>
          <w:tcPr>
            <w:tcW w:w="741" w:type="dxa"/>
            <w:tcBorders>
              <w:left w:val="single" w:sz="12" w:space="0" w:color="000000"/>
            </w:tcBorders>
            <w:shd w:val="clear" w:color="auto" w:fill="D9D9D9"/>
          </w:tcPr>
          <w:p w:rsidR="00A63476" w:rsidRDefault="00D22874">
            <w:pPr>
              <w:pStyle w:val="TableParagraph"/>
              <w:spacing w:before="70"/>
              <w:ind w:right="1"/>
              <w:jc w:val="center"/>
              <w:rPr>
                <w:sz w:val="16"/>
              </w:rPr>
            </w:pPr>
            <w:r>
              <w:rPr>
                <w:sz w:val="16"/>
              </w:rPr>
              <w:t>X</w:t>
            </w:r>
          </w:p>
        </w:tc>
        <w:tc>
          <w:tcPr>
            <w:tcW w:w="622" w:type="dxa"/>
          </w:tcPr>
          <w:p w:rsidR="00A63476" w:rsidRDefault="00A63476">
            <w:pPr>
              <w:pStyle w:val="TableParagraph"/>
              <w:rPr>
                <w:rFonts w:ascii="Times New Roman"/>
                <w:sz w:val="16"/>
              </w:rPr>
            </w:pPr>
          </w:p>
        </w:tc>
        <w:tc>
          <w:tcPr>
            <w:tcW w:w="503" w:type="dxa"/>
          </w:tcPr>
          <w:p w:rsidR="00A63476" w:rsidRDefault="00A63476">
            <w:pPr>
              <w:pStyle w:val="TableParagraph"/>
              <w:rPr>
                <w:rFonts w:ascii="Times New Roman"/>
                <w:sz w:val="16"/>
              </w:rPr>
            </w:pPr>
          </w:p>
        </w:tc>
        <w:tc>
          <w:tcPr>
            <w:tcW w:w="742" w:type="dxa"/>
            <w:tcBorders>
              <w:right w:val="single" w:sz="12" w:space="0" w:color="000000"/>
            </w:tcBorders>
          </w:tcPr>
          <w:p w:rsidR="00A63476" w:rsidRDefault="00A63476">
            <w:pPr>
              <w:pStyle w:val="TableParagraph"/>
              <w:rPr>
                <w:rFonts w:ascii="Times New Roman"/>
                <w:sz w:val="16"/>
              </w:rPr>
            </w:pPr>
          </w:p>
        </w:tc>
      </w:tr>
      <w:tr w:rsidR="00A63476">
        <w:trPr>
          <w:trHeight w:val="514"/>
        </w:trPr>
        <w:tc>
          <w:tcPr>
            <w:tcW w:w="2291" w:type="dxa"/>
          </w:tcPr>
          <w:p w:rsidR="00A63476" w:rsidRDefault="00D22874">
            <w:pPr>
              <w:pStyle w:val="TableParagraph"/>
              <w:spacing w:before="83" w:line="235" w:lineRule="auto"/>
              <w:ind w:left="83" w:right="474"/>
              <w:rPr>
                <w:sz w:val="16"/>
              </w:rPr>
            </w:pPr>
            <w:r>
              <w:rPr>
                <w:sz w:val="16"/>
              </w:rPr>
              <w:t>Adquisición de Vivienda Nueva</w:t>
            </w:r>
          </w:p>
        </w:tc>
        <w:tc>
          <w:tcPr>
            <w:tcW w:w="1581" w:type="dxa"/>
            <w:tcBorders>
              <w:right w:val="single" w:sz="12" w:space="0" w:color="000000"/>
            </w:tcBorders>
          </w:tcPr>
          <w:p w:rsidR="00A63476" w:rsidRDefault="00A63476">
            <w:pPr>
              <w:pStyle w:val="TableParagraph"/>
              <w:spacing w:before="7"/>
              <w:rPr>
                <w:b/>
                <w:sz w:val="15"/>
              </w:rPr>
            </w:pPr>
          </w:p>
          <w:p w:rsidR="00A63476" w:rsidRDefault="00D22874">
            <w:pPr>
              <w:pStyle w:val="TableParagraph"/>
              <w:ind w:left="626" w:right="613"/>
              <w:jc w:val="center"/>
              <w:rPr>
                <w:sz w:val="16"/>
              </w:rPr>
            </w:pPr>
            <w:r>
              <w:rPr>
                <w:sz w:val="16"/>
              </w:rPr>
              <w:t>172</w:t>
            </w:r>
          </w:p>
        </w:tc>
        <w:tc>
          <w:tcPr>
            <w:tcW w:w="741" w:type="dxa"/>
            <w:tcBorders>
              <w:left w:val="single" w:sz="12" w:space="0" w:color="000000"/>
            </w:tcBorders>
          </w:tcPr>
          <w:p w:rsidR="00A63476" w:rsidRDefault="00A63476">
            <w:pPr>
              <w:pStyle w:val="TableParagraph"/>
              <w:rPr>
                <w:rFonts w:ascii="Times New Roman"/>
                <w:sz w:val="16"/>
              </w:rPr>
            </w:pPr>
          </w:p>
        </w:tc>
        <w:tc>
          <w:tcPr>
            <w:tcW w:w="622" w:type="dxa"/>
          </w:tcPr>
          <w:p w:rsidR="00A63476" w:rsidRDefault="00A63476">
            <w:pPr>
              <w:pStyle w:val="TableParagraph"/>
              <w:rPr>
                <w:rFonts w:ascii="Times New Roman"/>
                <w:sz w:val="16"/>
              </w:rPr>
            </w:pPr>
          </w:p>
        </w:tc>
        <w:tc>
          <w:tcPr>
            <w:tcW w:w="503" w:type="dxa"/>
            <w:shd w:val="clear" w:color="auto" w:fill="D9D9D9"/>
          </w:tcPr>
          <w:p w:rsidR="00A63476" w:rsidRDefault="00A63476">
            <w:pPr>
              <w:pStyle w:val="TableParagraph"/>
              <w:spacing w:before="7"/>
              <w:rPr>
                <w:b/>
                <w:sz w:val="15"/>
              </w:rPr>
            </w:pPr>
          </w:p>
          <w:p w:rsidR="00A63476" w:rsidRDefault="00D22874">
            <w:pPr>
              <w:pStyle w:val="TableParagraph"/>
              <w:ind w:right="1"/>
              <w:jc w:val="center"/>
              <w:rPr>
                <w:sz w:val="16"/>
              </w:rPr>
            </w:pPr>
            <w:r>
              <w:rPr>
                <w:sz w:val="16"/>
              </w:rPr>
              <w:t>X</w:t>
            </w:r>
          </w:p>
        </w:tc>
        <w:tc>
          <w:tcPr>
            <w:tcW w:w="742" w:type="dxa"/>
            <w:tcBorders>
              <w:right w:val="single" w:sz="12" w:space="0" w:color="000000"/>
            </w:tcBorders>
          </w:tcPr>
          <w:p w:rsidR="00A63476" w:rsidRDefault="00A63476">
            <w:pPr>
              <w:pStyle w:val="TableParagraph"/>
              <w:rPr>
                <w:rFonts w:ascii="Times New Roman"/>
                <w:sz w:val="16"/>
              </w:rPr>
            </w:pPr>
          </w:p>
        </w:tc>
      </w:tr>
      <w:tr w:rsidR="00A63476">
        <w:trPr>
          <w:trHeight w:val="514"/>
        </w:trPr>
        <w:tc>
          <w:tcPr>
            <w:tcW w:w="2291" w:type="dxa"/>
          </w:tcPr>
          <w:p w:rsidR="00A63476" w:rsidRDefault="00D22874">
            <w:pPr>
              <w:pStyle w:val="TableParagraph"/>
              <w:spacing w:before="73" w:line="235" w:lineRule="auto"/>
              <w:ind w:left="83" w:right="474"/>
              <w:rPr>
                <w:sz w:val="16"/>
              </w:rPr>
            </w:pPr>
            <w:r>
              <w:rPr>
                <w:sz w:val="16"/>
              </w:rPr>
              <w:t>Adquisición de Vivienda Usada</w:t>
            </w:r>
          </w:p>
        </w:tc>
        <w:tc>
          <w:tcPr>
            <w:tcW w:w="1581" w:type="dxa"/>
            <w:tcBorders>
              <w:right w:val="single" w:sz="12" w:space="0" w:color="000000"/>
            </w:tcBorders>
          </w:tcPr>
          <w:p w:rsidR="00A63476" w:rsidRDefault="00A63476">
            <w:pPr>
              <w:pStyle w:val="TableParagraph"/>
              <w:spacing w:before="9"/>
              <w:rPr>
                <w:b/>
                <w:sz w:val="14"/>
              </w:rPr>
            </w:pPr>
          </w:p>
          <w:p w:rsidR="00A63476" w:rsidRDefault="00D22874">
            <w:pPr>
              <w:pStyle w:val="TableParagraph"/>
              <w:ind w:left="626" w:right="613"/>
              <w:jc w:val="center"/>
              <w:rPr>
                <w:sz w:val="16"/>
              </w:rPr>
            </w:pPr>
            <w:r>
              <w:rPr>
                <w:sz w:val="16"/>
              </w:rPr>
              <w:t>143</w:t>
            </w:r>
          </w:p>
        </w:tc>
        <w:tc>
          <w:tcPr>
            <w:tcW w:w="741" w:type="dxa"/>
            <w:tcBorders>
              <w:left w:val="single" w:sz="12" w:space="0" w:color="000000"/>
            </w:tcBorders>
          </w:tcPr>
          <w:p w:rsidR="00A63476" w:rsidRDefault="00A63476">
            <w:pPr>
              <w:pStyle w:val="TableParagraph"/>
              <w:rPr>
                <w:rFonts w:ascii="Times New Roman"/>
                <w:sz w:val="16"/>
              </w:rPr>
            </w:pPr>
          </w:p>
        </w:tc>
        <w:tc>
          <w:tcPr>
            <w:tcW w:w="622" w:type="dxa"/>
          </w:tcPr>
          <w:p w:rsidR="00A63476" w:rsidRDefault="00A63476">
            <w:pPr>
              <w:pStyle w:val="TableParagraph"/>
              <w:rPr>
                <w:rFonts w:ascii="Times New Roman"/>
                <w:sz w:val="16"/>
              </w:rPr>
            </w:pPr>
          </w:p>
        </w:tc>
        <w:tc>
          <w:tcPr>
            <w:tcW w:w="503" w:type="dxa"/>
            <w:shd w:val="clear" w:color="auto" w:fill="D9D9D9"/>
          </w:tcPr>
          <w:p w:rsidR="00A63476" w:rsidRDefault="00A63476">
            <w:pPr>
              <w:pStyle w:val="TableParagraph"/>
              <w:spacing w:before="9"/>
              <w:rPr>
                <w:b/>
                <w:sz w:val="14"/>
              </w:rPr>
            </w:pPr>
          </w:p>
          <w:p w:rsidR="00A63476" w:rsidRDefault="00D22874">
            <w:pPr>
              <w:pStyle w:val="TableParagraph"/>
              <w:ind w:right="1"/>
              <w:jc w:val="center"/>
              <w:rPr>
                <w:sz w:val="16"/>
              </w:rPr>
            </w:pPr>
            <w:r>
              <w:rPr>
                <w:sz w:val="16"/>
              </w:rPr>
              <w:t>X</w:t>
            </w:r>
          </w:p>
        </w:tc>
        <w:tc>
          <w:tcPr>
            <w:tcW w:w="742" w:type="dxa"/>
            <w:tcBorders>
              <w:right w:val="single" w:sz="12" w:space="0" w:color="000000"/>
            </w:tcBorders>
          </w:tcPr>
          <w:p w:rsidR="00A63476" w:rsidRDefault="00A63476">
            <w:pPr>
              <w:pStyle w:val="TableParagraph"/>
              <w:rPr>
                <w:rFonts w:ascii="Times New Roman"/>
                <w:sz w:val="16"/>
              </w:rPr>
            </w:pPr>
          </w:p>
        </w:tc>
      </w:tr>
      <w:tr w:rsidR="00A63476">
        <w:trPr>
          <w:trHeight w:val="514"/>
        </w:trPr>
        <w:tc>
          <w:tcPr>
            <w:tcW w:w="2291" w:type="dxa"/>
          </w:tcPr>
          <w:p w:rsidR="00A63476" w:rsidRDefault="00A63476">
            <w:pPr>
              <w:pStyle w:val="TableParagraph"/>
              <w:spacing w:before="8"/>
              <w:rPr>
                <w:b/>
                <w:sz w:val="15"/>
              </w:rPr>
            </w:pPr>
          </w:p>
          <w:p w:rsidR="00A63476" w:rsidRDefault="00D22874">
            <w:pPr>
              <w:pStyle w:val="TableParagraph"/>
              <w:ind w:left="83"/>
              <w:rPr>
                <w:sz w:val="16"/>
              </w:rPr>
            </w:pPr>
            <w:r>
              <w:rPr>
                <w:sz w:val="16"/>
              </w:rPr>
              <w:t>Estudios y Proyectos</w:t>
            </w:r>
          </w:p>
        </w:tc>
        <w:tc>
          <w:tcPr>
            <w:tcW w:w="1581" w:type="dxa"/>
            <w:tcBorders>
              <w:right w:val="single" w:sz="12" w:space="0" w:color="000000"/>
            </w:tcBorders>
          </w:tcPr>
          <w:p w:rsidR="00A63476" w:rsidRDefault="00D22874">
            <w:pPr>
              <w:pStyle w:val="TableParagraph"/>
              <w:spacing w:before="83" w:line="235" w:lineRule="auto"/>
              <w:ind w:left="232" w:right="203" w:firstLine="20"/>
              <w:rPr>
                <w:sz w:val="16"/>
              </w:rPr>
            </w:pPr>
            <w:r>
              <w:rPr>
                <w:sz w:val="16"/>
              </w:rPr>
              <w:t>hasta 2.5% del valor de la obra</w:t>
            </w:r>
          </w:p>
        </w:tc>
        <w:tc>
          <w:tcPr>
            <w:tcW w:w="741" w:type="dxa"/>
            <w:tcBorders>
              <w:left w:val="single" w:sz="12" w:space="0" w:color="000000"/>
            </w:tcBorders>
            <w:shd w:val="clear" w:color="auto" w:fill="D9D9D9"/>
          </w:tcPr>
          <w:p w:rsidR="00A63476" w:rsidRDefault="00A63476">
            <w:pPr>
              <w:pStyle w:val="TableParagraph"/>
              <w:spacing w:before="8"/>
              <w:rPr>
                <w:b/>
                <w:sz w:val="15"/>
              </w:rPr>
            </w:pPr>
          </w:p>
          <w:p w:rsidR="00A63476" w:rsidRDefault="00D22874">
            <w:pPr>
              <w:pStyle w:val="TableParagraph"/>
              <w:ind w:right="1"/>
              <w:jc w:val="center"/>
              <w:rPr>
                <w:sz w:val="16"/>
              </w:rPr>
            </w:pPr>
            <w:r>
              <w:rPr>
                <w:sz w:val="16"/>
              </w:rPr>
              <w:t>X</w:t>
            </w:r>
          </w:p>
        </w:tc>
        <w:tc>
          <w:tcPr>
            <w:tcW w:w="622" w:type="dxa"/>
          </w:tcPr>
          <w:p w:rsidR="00A63476" w:rsidRDefault="00A63476">
            <w:pPr>
              <w:pStyle w:val="TableParagraph"/>
              <w:rPr>
                <w:rFonts w:ascii="Times New Roman"/>
                <w:sz w:val="16"/>
              </w:rPr>
            </w:pPr>
          </w:p>
        </w:tc>
        <w:tc>
          <w:tcPr>
            <w:tcW w:w="503" w:type="dxa"/>
          </w:tcPr>
          <w:p w:rsidR="00A63476" w:rsidRDefault="00A63476">
            <w:pPr>
              <w:pStyle w:val="TableParagraph"/>
              <w:rPr>
                <w:rFonts w:ascii="Times New Roman"/>
                <w:sz w:val="16"/>
              </w:rPr>
            </w:pPr>
          </w:p>
        </w:tc>
        <w:tc>
          <w:tcPr>
            <w:tcW w:w="742" w:type="dxa"/>
            <w:tcBorders>
              <w:right w:val="single" w:sz="12" w:space="0" w:color="000000"/>
            </w:tcBorders>
          </w:tcPr>
          <w:p w:rsidR="00A63476" w:rsidRDefault="00A63476">
            <w:pPr>
              <w:pStyle w:val="TableParagraph"/>
              <w:rPr>
                <w:rFonts w:ascii="Times New Roman"/>
                <w:sz w:val="16"/>
              </w:rPr>
            </w:pPr>
          </w:p>
        </w:tc>
      </w:tr>
      <w:tr w:rsidR="00A63476">
        <w:trPr>
          <w:trHeight w:val="334"/>
        </w:trPr>
        <w:tc>
          <w:tcPr>
            <w:tcW w:w="2291" w:type="dxa"/>
          </w:tcPr>
          <w:p w:rsidR="00A63476" w:rsidRDefault="00D22874">
            <w:pPr>
              <w:pStyle w:val="TableParagraph"/>
              <w:spacing w:before="71"/>
              <w:ind w:left="83"/>
              <w:rPr>
                <w:sz w:val="16"/>
              </w:rPr>
            </w:pPr>
            <w:r>
              <w:rPr>
                <w:sz w:val="16"/>
              </w:rPr>
              <w:t>Demolición</w:t>
            </w:r>
          </w:p>
        </w:tc>
        <w:tc>
          <w:tcPr>
            <w:tcW w:w="1581" w:type="dxa"/>
            <w:tcBorders>
              <w:right w:val="single" w:sz="12" w:space="0" w:color="000000"/>
            </w:tcBorders>
          </w:tcPr>
          <w:p w:rsidR="00A63476" w:rsidRDefault="00D22874">
            <w:pPr>
              <w:pStyle w:val="TableParagraph"/>
              <w:spacing w:before="71"/>
              <w:ind w:right="2"/>
              <w:jc w:val="center"/>
              <w:rPr>
                <w:sz w:val="16"/>
              </w:rPr>
            </w:pPr>
            <w:r>
              <w:rPr>
                <w:sz w:val="16"/>
              </w:rPr>
              <w:t>6</w:t>
            </w:r>
          </w:p>
        </w:tc>
        <w:tc>
          <w:tcPr>
            <w:tcW w:w="741" w:type="dxa"/>
            <w:tcBorders>
              <w:left w:val="single" w:sz="12" w:space="0" w:color="000000"/>
            </w:tcBorders>
            <w:shd w:val="clear" w:color="auto" w:fill="D9D9D9"/>
          </w:tcPr>
          <w:p w:rsidR="00A63476" w:rsidRDefault="00D22874">
            <w:pPr>
              <w:pStyle w:val="TableParagraph"/>
              <w:spacing w:before="71"/>
              <w:ind w:right="1"/>
              <w:jc w:val="center"/>
              <w:rPr>
                <w:sz w:val="16"/>
              </w:rPr>
            </w:pPr>
            <w:r>
              <w:rPr>
                <w:sz w:val="16"/>
              </w:rPr>
              <w:t>X</w:t>
            </w:r>
          </w:p>
        </w:tc>
        <w:tc>
          <w:tcPr>
            <w:tcW w:w="622" w:type="dxa"/>
          </w:tcPr>
          <w:p w:rsidR="00A63476" w:rsidRDefault="00A63476">
            <w:pPr>
              <w:pStyle w:val="TableParagraph"/>
              <w:rPr>
                <w:rFonts w:ascii="Times New Roman"/>
                <w:sz w:val="16"/>
              </w:rPr>
            </w:pPr>
          </w:p>
        </w:tc>
        <w:tc>
          <w:tcPr>
            <w:tcW w:w="503" w:type="dxa"/>
          </w:tcPr>
          <w:p w:rsidR="00A63476" w:rsidRDefault="00A63476">
            <w:pPr>
              <w:pStyle w:val="TableParagraph"/>
              <w:rPr>
                <w:rFonts w:ascii="Times New Roman"/>
                <w:sz w:val="16"/>
              </w:rPr>
            </w:pPr>
          </w:p>
        </w:tc>
        <w:tc>
          <w:tcPr>
            <w:tcW w:w="742" w:type="dxa"/>
            <w:tcBorders>
              <w:right w:val="single" w:sz="12" w:space="0" w:color="000000"/>
            </w:tcBorders>
          </w:tcPr>
          <w:p w:rsidR="00A63476" w:rsidRDefault="00A63476">
            <w:pPr>
              <w:pStyle w:val="TableParagraph"/>
              <w:rPr>
                <w:rFonts w:ascii="Times New Roman"/>
                <w:sz w:val="16"/>
              </w:rPr>
            </w:pPr>
          </w:p>
        </w:tc>
      </w:tr>
      <w:tr w:rsidR="00A63476">
        <w:trPr>
          <w:trHeight w:val="334"/>
        </w:trPr>
        <w:tc>
          <w:tcPr>
            <w:tcW w:w="2291" w:type="dxa"/>
          </w:tcPr>
          <w:p w:rsidR="00A63476" w:rsidRDefault="00D22874">
            <w:pPr>
              <w:pStyle w:val="TableParagraph"/>
              <w:spacing w:before="61"/>
              <w:ind w:left="83"/>
              <w:rPr>
                <w:sz w:val="16"/>
              </w:rPr>
            </w:pPr>
            <w:r>
              <w:rPr>
                <w:sz w:val="16"/>
              </w:rPr>
              <w:t>Edificación</w:t>
            </w:r>
          </w:p>
        </w:tc>
        <w:tc>
          <w:tcPr>
            <w:tcW w:w="1581" w:type="dxa"/>
            <w:tcBorders>
              <w:right w:val="single" w:sz="12" w:space="0" w:color="000000"/>
            </w:tcBorders>
          </w:tcPr>
          <w:p w:rsidR="00A63476" w:rsidRDefault="00D22874">
            <w:pPr>
              <w:pStyle w:val="TableParagraph"/>
              <w:spacing w:before="61"/>
              <w:ind w:left="621" w:right="619"/>
              <w:jc w:val="center"/>
              <w:rPr>
                <w:sz w:val="16"/>
              </w:rPr>
            </w:pPr>
            <w:r>
              <w:rPr>
                <w:sz w:val="16"/>
              </w:rPr>
              <w:t>113</w:t>
            </w:r>
          </w:p>
        </w:tc>
        <w:tc>
          <w:tcPr>
            <w:tcW w:w="741" w:type="dxa"/>
            <w:tcBorders>
              <w:left w:val="single" w:sz="12" w:space="0" w:color="000000"/>
            </w:tcBorders>
            <w:shd w:val="clear" w:color="auto" w:fill="D9D9D9"/>
          </w:tcPr>
          <w:p w:rsidR="00A63476" w:rsidRDefault="00D22874">
            <w:pPr>
              <w:pStyle w:val="TableParagraph"/>
              <w:spacing w:before="61"/>
              <w:ind w:right="1"/>
              <w:jc w:val="center"/>
              <w:rPr>
                <w:sz w:val="16"/>
              </w:rPr>
            </w:pPr>
            <w:r>
              <w:rPr>
                <w:sz w:val="16"/>
              </w:rPr>
              <w:t>X</w:t>
            </w:r>
          </w:p>
        </w:tc>
        <w:tc>
          <w:tcPr>
            <w:tcW w:w="622" w:type="dxa"/>
          </w:tcPr>
          <w:p w:rsidR="00A63476" w:rsidRDefault="00A63476">
            <w:pPr>
              <w:pStyle w:val="TableParagraph"/>
              <w:rPr>
                <w:rFonts w:ascii="Times New Roman"/>
                <w:sz w:val="16"/>
              </w:rPr>
            </w:pPr>
          </w:p>
        </w:tc>
        <w:tc>
          <w:tcPr>
            <w:tcW w:w="503" w:type="dxa"/>
          </w:tcPr>
          <w:p w:rsidR="00A63476" w:rsidRDefault="00A63476">
            <w:pPr>
              <w:pStyle w:val="TableParagraph"/>
              <w:rPr>
                <w:rFonts w:ascii="Times New Roman"/>
                <w:sz w:val="16"/>
              </w:rPr>
            </w:pPr>
          </w:p>
        </w:tc>
        <w:tc>
          <w:tcPr>
            <w:tcW w:w="742" w:type="dxa"/>
            <w:tcBorders>
              <w:right w:val="single" w:sz="12" w:space="0" w:color="000000"/>
            </w:tcBorders>
          </w:tcPr>
          <w:p w:rsidR="00A63476" w:rsidRDefault="00A63476">
            <w:pPr>
              <w:pStyle w:val="TableParagraph"/>
              <w:rPr>
                <w:rFonts w:ascii="Times New Roman"/>
                <w:sz w:val="16"/>
              </w:rPr>
            </w:pPr>
          </w:p>
        </w:tc>
      </w:tr>
      <w:tr w:rsidR="00A63476">
        <w:trPr>
          <w:trHeight w:val="334"/>
        </w:trPr>
        <w:tc>
          <w:tcPr>
            <w:tcW w:w="2291" w:type="dxa"/>
          </w:tcPr>
          <w:p w:rsidR="00A63476" w:rsidRDefault="00D22874">
            <w:pPr>
              <w:pStyle w:val="TableParagraph"/>
              <w:spacing w:before="71"/>
              <w:ind w:left="83"/>
              <w:rPr>
                <w:sz w:val="16"/>
              </w:rPr>
            </w:pPr>
            <w:r>
              <w:rPr>
                <w:sz w:val="16"/>
              </w:rPr>
              <w:t>Obra de Alcance Mayor</w:t>
            </w:r>
          </w:p>
        </w:tc>
        <w:tc>
          <w:tcPr>
            <w:tcW w:w="1581" w:type="dxa"/>
            <w:tcBorders>
              <w:right w:val="single" w:sz="12" w:space="0" w:color="000000"/>
            </w:tcBorders>
          </w:tcPr>
          <w:p w:rsidR="00A63476" w:rsidRDefault="00D22874">
            <w:pPr>
              <w:pStyle w:val="TableParagraph"/>
              <w:spacing w:before="71"/>
              <w:ind w:left="623" w:right="619"/>
              <w:jc w:val="center"/>
              <w:rPr>
                <w:sz w:val="16"/>
              </w:rPr>
            </w:pPr>
            <w:r>
              <w:rPr>
                <w:sz w:val="16"/>
              </w:rPr>
              <w:t>13</w:t>
            </w:r>
          </w:p>
        </w:tc>
        <w:tc>
          <w:tcPr>
            <w:tcW w:w="741" w:type="dxa"/>
            <w:tcBorders>
              <w:left w:val="single" w:sz="12" w:space="0" w:color="000000"/>
            </w:tcBorders>
            <w:shd w:val="clear" w:color="auto" w:fill="D9D9D9"/>
          </w:tcPr>
          <w:p w:rsidR="00A63476" w:rsidRDefault="00D22874">
            <w:pPr>
              <w:pStyle w:val="TableParagraph"/>
              <w:spacing w:before="71"/>
              <w:ind w:right="1"/>
              <w:jc w:val="center"/>
              <w:rPr>
                <w:sz w:val="16"/>
              </w:rPr>
            </w:pPr>
            <w:r>
              <w:rPr>
                <w:sz w:val="16"/>
              </w:rPr>
              <w:t>X</w:t>
            </w:r>
          </w:p>
        </w:tc>
        <w:tc>
          <w:tcPr>
            <w:tcW w:w="622" w:type="dxa"/>
          </w:tcPr>
          <w:p w:rsidR="00A63476" w:rsidRDefault="00A63476">
            <w:pPr>
              <w:pStyle w:val="TableParagraph"/>
              <w:rPr>
                <w:rFonts w:ascii="Times New Roman"/>
                <w:sz w:val="16"/>
              </w:rPr>
            </w:pPr>
          </w:p>
        </w:tc>
        <w:tc>
          <w:tcPr>
            <w:tcW w:w="503" w:type="dxa"/>
          </w:tcPr>
          <w:p w:rsidR="00A63476" w:rsidRDefault="00A63476">
            <w:pPr>
              <w:pStyle w:val="TableParagraph"/>
              <w:rPr>
                <w:rFonts w:ascii="Times New Roman"/>
                <w:sz w:val="16"/>
              </w:rPr>
            </w:pPr>
          </w:p>
        </w:tc>
        <w:tc>
          <w:tcPr>
            <w:tcW w:w="742" w:type="dxa"/>
            <w:tcBorders>
              <w:right w:val="single" w:sz="12" w:space="0" w:color="000000"/>
            </w:tcBorders>
          </w:tcPr>
          <w:p w:rsidR="00A63476" w:rsidRDefault="00A63476">
            <w:pPr>
              <w:pStyle w:val="TableParagraph"/>
              <w:rPr>
                <w:rFonts w:ascii="Times New Roman"/>
                <w:sz w:val="16"/>
              </w:rPr>
            </w:pPr>
          </w:p>
        </w:tc>
      </w:tr>
      <w:tr w:rsidR="00A63476">
        <w:trPr>
          <w:trHeight w:val="334"/>
        </w:trPr>
        <w:tc>
          <w:tcPr>
            <w:tcW w:w="2291" w:type="dxa"/>
          </w:tcPr>
          <w:p w:rsidR="00A63476" w:rsidRDefault="00D22874">
            <w:pPr>
              <w:pStyle w:val="TableParagraph"/>
              <w:spacing w:before="61"/>
              <w:ind w:left="83"/>
              <w:rPr>
                <w:sz w:val="16"/>
              </w:rPr>
            </w:pPr>
            <w:r>
              <w:rPr>
                <w:sz w:val="16"/>
              </w:rPr>
              <w:t>Ampliación de Vivienda</w:t>
            </w:r>
          </w:p>
        </w:tc>
        <w:tc>
          <w:tcPr>
            <w:tcW w:w="1581" w:type="dxa"/>
            <w:tcBorders>
              <w:right w:val="single" w:sz="12" w:space="0" w:color="000000"/>
            </w:tcBorders>
          </w:tcPr>
          <w:p w:rsidR="00A63476" w:rsidRDefault="00D22874">
            <w:pPr>
              <w:pStyle w:val="TableParagraph"/>
              <w:spacing w:before="61"/>
              <w:ind w:left="623" w:right="619"/>
              <w:jc w:val="center"/>
              <w:rPr>
                <w:sz w:val="16"/>
              </w:rPr>
            </w:pPr>
            <w:r>
              <w:rPr>
                <w:sz w:val="16"/>
              </w:rPr>
              <w:t>50</w:t>
            </w:r>
          </w:p>
        </w:tc>
        <w:tc>
          <w:tcPr>
            <w:tcW w:w="741" w:type="dxa"/>
            <w:tcBorders>
              <w:left w:val="single" w:sz="12" w:space="0" w:color="000000"/>
            </w:tcBorders>
          </w:tcPr>
          <w:p w:rsidR="00A63476" w:rsidRDefault="00A63476">
            <w:pPr>
              <w:pStyle w:val="TableParagraph"/>
              <w:rPr>
                <w:rFonts w:ascii="Times New Roman"/>
                <w:sz w:val="16"/>
              </w:rPr>
            </w:pPr>
          </w:p>
        </w:tc>
        <w:tc>
          <w:tcPr>
            <w:tcW w:w="622" w:type="dxa"/>
            <w:shd w:val="clear" w:color="auto" w:fill="D9D9D9"/>
          </w:tcPr>
          <w:p w:rsidR="00A63476" w:rsidRDefault="00D22874">
            <w:pPr>
              <w:pStyle w:val="TableParagraph"/>
              <w:spacing w:before="61"/>
              <w:ind w:left="1"/>
              <w:jc w:val="center"/>
              <w:rPr>
                <w:sz w:val="16"/>
              </w:rPr>
            </w:pPr>
            <w:r>
              <w:rPr>
                <w:sz w:val="16"/>
              </w:rPr>
              <w:t>X</w:t>
            </w:r>
          </w:p>
        </w:tc>
        <w:tc>
          <w:tcPr>
            <w:tcW w:w="503" w:type="dxa"/>
          </w:tcPr>
          <w:p w:rsidR="00A63476" w:rsidRDefault="00A63476">
            <w:pPr>
              <w:pStyle w:val="TableParagraph"/>
              <w:rPr>
                <w:rFonts w:ascii="Times New Roman"/>
                <w:sz w:val="16"/>
              </w:rPr>
            </w:pPr>
          </w:p>
        </w:tc>
        <w:tc>
          <w:tcPr>
            <w:tcW w:w="742" w:type="dxa"/>
            <w:tcBorders>
              <w:right w:val="single" w:sz="12" w:space="0" w:color="000000"/>
            </w:tcBorders>
          </w:tcPr>
          <w:p w:rsidR="00A63476" w:rsidRDefault="00A63476">
            <w:pPr>
              <w:pStyle w:val="TableParagraph"/>
              <w:rPr>
                <w:rFonts w:ascii="Times New Roman"/>
                <w:sz w:val="16"/>
              </w:rPr>
            </w:pPr>
          </w:p>
        </w:tc>
      </w:tr>
      <w:tr w:rsidR="00A63476">
        <w:trPr>
          <w:trHeight w:val="334"/>
        </w:trPr>
        <w:tc>
          <w:tcPr>
            <w:tcW w:w="2291" w:type="dxa"/>
          </w:tcPr>
          <w:p w:rsidR="00A63476" w:rsidRDefault="00D22874">
            <w:pPr>
              <w:pStyle w:val="TableParagraph"/>
              <w:spacing w:before="71"/>
              <w:ind w:left="83"/>
              <w:rPr>
                <w:sz w:val="16"/>
              </w:rPr>
            </w:pPr>
            <w:r>
              <w:rPr>
                <w:sz w:val="16"/>
              </w:rPr>
              <w:t>Mejoramiento de vivienda</w:t>
            </w:r>
          </w:p>
        </w:tc>
        <w:tc>
          <w:tcPr>
            <w:tcW w:w="1581" w:type="dxa"/>
            <w:tcBorders>
              <w:right w:val="single" w:sz="12" w:space="0" w:color="000000"/>
            </w:tcBorders>
          </w:tcPr>
          <w:p w:rsidR="00A63476" w:rsidRDefault="00D22874">
            <w:pPr>
              <w:pStyle w:val="TableParagraph"/>
              <w:spacing w:before="71"/>
              <w:ind w:left="623" w:right="619"/>
              <w:jc w:val="center"/>
              <w:rPr>
                <w:sz w:val="16"/>
              </w:rPr>
            </w:pPr>
            <w:r>
              <w:rPr>
                <w:sz w:val="16"/>
              </w:rPr>
              <w:t>25</w:t>
            </w:r>
          </w:p>
        </w:tc>
        <w:tc>
          <w:tcPr>
            <w:tcW w:w="741" w:type="dxa"/>
            <w:tcBorders>
              <w:left w:val="single" w:sz="12" w:space="0" w:color="000000"/>
            </w:tcBorders>
          </w:tcPr>
          <w:p w:rsidR="00A63476" w:rsidRDefault="00A63476">
            <w:pPr>
              <w:pStyle w:val="TableParagraph"/>
              <w:rPr>
                <w:rFonts w:ascii="Times New Roman"/>
                <w:sz w:val="16"/>
              </w:rPr>
            </w:pPr>
          </w:p>
        </w:tc>
        <w:tc>
          <w:tcPr>
            <w:tcW w:w="622" w:type="dxa"/>
            <w:shd w:val="clear" w:color="auto" w:fill="D9D9D9"/>
          </w:tcPr>
          <w:p w:rsidR="00A63476" w:rsidRDefault="00D22874">
            <w:pPr>
              <w:pStyle w:val="TableParagraph"/>
              <w:spacing w:before="71"/>
              <w:ind w:left="1"/>
              <w:jc w:val="center"/>
              <w:rPr>
                <w:sz w:val="16"/>
              </w:rPr>
            </w:pPr>
            <w:r>
              <w:rPr>
                <w:sz w:val="16"/>
              </w:rPr>
              <w:t>X</w:t>
            </w:r>
          </w:p>
        </w:tc>
        <w:tc>
          <w:tcPr>
            <w:tcW w:w="503" w:type="dxa"/>
          </w:tcPr>
          <w:p w:rsidR="00A63476" w:rsidRDefault="00A63476">
            <w:pPr>
              <w:pStyle w:val="TableParagraph"/>
              <w:rPr>
                <w:rFonts w:ascii="Times New Roman"/>
                <w:sz w:val="16"/>
              </w:rPr>
            </w:pPr>
          </w:p>
        </w:tc>
        <w:tc>
          <w:tcPr>
            <w:tcW w:w="742" w:type="dxa"/>
            <w:tcBorders>
              <w:right w:val="single" w:sz="12" w:space="0" w:color="000000"/>
            </w:tcBorders>
          </w:tcPr>
          <w:p w:rsidR="00A63476" w:rsidRDefault="00A63476">
            <w:pPr>
              <w:pStyle w:val="TableParagraph"/>
              <w:rPr>
                <w:rFonts w:ascii="Times New Roman"/>
                <w:sz w:val="16"/>
              </w:rPr>
            </w:pPr>
          </w:p>
        </w:tc>
      </w:tr>
      <w:tr w:rsidR="00A63476">
        <w:trPr>
          <w:trHeight w:val="514"/>
        </w:trPr>
        <w:tc>
          <w:tcPr>
            <w:tcW w:w="2291" w:type="dxa"/>
          </w:tcPr>
          <w:p w:rsidR="00A63476" w:rsidRDefault="00D22874">
            <w:pPr>
              <w:pStyle w:val="TableParagraph"/>
              <w:spacing w:before="65" w:line="235" w:lineRule="auto"/>
              <w:ind w:left="83" w:right="830"/>
              <w:rPr>
                <w:sz w:val="16"/>
              </w:rPr>
            </w:pPr>
            <w:r>
              <w:rPr>
                <w:sz w:val="16"/>
              </w:rPr>
              <w:t>Vivienda Nueva (O autoproducción)</w:t>
            </w:r>
          </w:p>
        </w:tc>
        <w:tc>
          <w:tcPr>
            <w:tcW w:w="1581" w:type="dxa"/>
            <w:tcBorders>
              <w:right w:val="single" w:sz="12" w:space="0" w:color="000000"/>
            </w:tcBorders>
          </w:tcPr>
          <w:p w:rsidR="00A63476" w:rsidRDefault="00D22874">
            <w:pPr>
              <w:pStyle w:val="TableParagraph"/>
              <w:spacing w:before="162"/>
              <w:ind w:left="626" w:right="613"/>
              <w:jc w:val="center"/>
              <w:rPr>
                <w:sz w:val="16"/>
              </w:rPr>
            </w:pPr>
            <w:r>
              <w:rPr>
                <w:sz w:val="16"/>
              </w:rPr>
              <w:t>127</w:t>
            </w:r>
          </w:p>
        </w:tc>
        <w:tc>
          <w:tcPr>
            <w:tcW w:w="741" w:type="dxa"/>
            <w:tcBorders>
              <w:left w:val="single" w:sz="12" w:space="0" w:color="000000"/>
            </w:tcBorders>
          </w:tcPr>
          <w:p w:rsidR="00A63476" w:rsidRDefault="00A63476">
            <w:pPr>
              <w:pStyle w:val="TableParagraph"/>
              <w:rPr>
                <w:rFonts w:ascii="Times New Roman"/>
                <w:sz w:val="16"/>
              </w:rPr>
            </w:pPr>
          </w:p>
        </w:tc>
        <w:tc>
          <w:tcPr>
            <w:tcW w:w="622" w:type="dxa"/>
            <w:shd w:val="clear" w:color="auto" w:fill="D9D9D9"/>
          </w:tcPr>
          <w:p w:rsidR="00A63476" w:rsidRDefault="00D22874">
            <w:pPr>
              <w:pStyle w:val="TableParagraph"/>
              <w:spacing w:before="162"/>
              <w:ind w:left="1"/>
              <w:jc w:val="center"/>
              <w:rPr>
                <w:sz w:val="16"/>
              </w:rPr>
            </w:pPr>
            <w:r>
              <w:rPr>
                <w:sz w:val="16"/>
              </w:rPr>
              <w:t>X</w:t>
            </w:r>
          </w:p>
        </w:tc>
        <w:tc>
          <w:tcPr>
            <w:tcW w:w="503" w:type="dxa"/>
          </w:tcPr>
          <w:p w:rsidR="00A63476" w:rsidRDefault="00A63476">
            <w:pPr>
              <w:pStyle w:val="TableParagraph"/>
              <w:rPr>
                <w:rFonts w:ascii="Times New Roman"/>
                <w:sz w:val="16"/>
              </w:rPr>
            </w:pPr>
          </w:p>
        </w:tc>
        <w:tc>
          <w:tcPr>
            <w:tcW w:w="742" w:type="dxa"/>
            <w:tcBorders>
              <w:right w:val="single" w:sz="12" w:space="0" w:color="000000"/>
            </w:tcBorders>
          </w:tcPr>
          <w:p w:rsidR="00A63476" w:rsidRDefault="00A63476">
            <w:pPr>
              <w:pStyle w:val="TableParagraph"/>
              <w:rPr>
                <w:rFonts w:ascii="Times New Roman"/>
                <w:sz w:val="16"/>
              </w:rPr>
            </w:pPr>
          </w:p>
        </w:tc>
      </w:tr>
      <w:tr w:rsidR="00A63476">
        <w:trPr>
          <w:trHeight w:val="334"/>
        </w:trPr>
        <w:tc>
          <w:tcPr>
            <w:tcW w:w="2291" w:type="dxa"/>
          </w:tcPr>
          <w:p w:rsidR="00A63476" w:rsidRDefault="00D22874">
            <w:pPr>
              <w:pStyle w:val="TableParagraph"/>
              <w:spacing w:before="72"/>
              <w:ind w:left="83"/>
              <w:rPr>
                <w:sz w:val="16"/>
              </w:rPr>
            </w:pPr>
            <w:r>
              <w:rPr>
                <w:sz w:val="16"/>
              </w:rPr>
              <w:t>Sustentabilidad</w:t>
            </w:r>
          </w:p>
        </w:tc>
        <w:tc>
          <w:tcPr>
            <w:tcW w:w="1581" w:type="dxa"/>
            <w:tcBorders>
              <w:right w:val="single" w:sz="12" w:space="0" w:color="000000"/>
            </w:tcBorders>
          </w:tcPr>
          <w:p w:rsidR="00A63476" w:rsidRDefault="00D22874">
            <w:pPr>
              <w:pStyle w:val="TableParagraph"/>
              <w:spacing w:before="72"/>
              <w:ind w:left="623" w:right="619"/>
              <w:jc w:val="center"/>
              <w:rPr>
                <w:sz w:val="16"/>
              </w:rPr>
            </w:pPr>
            <w:r>
              <w:rPr>
                <w:sz w:val="16"/>
              </w:rPr>
              <w:t>13</w:t>
            </w:r>
          </w:p>
        </w:tc>
        <w:tc>
          <w:tcPr>
            <w:tcW w:w="741" w:type="dxa"/>
            <w:tcBorders>
              <w:left w:val="single" w:sz="12" w:space="0" w:color="000000"/>
            </w:tcBorders>
            <w:shd w:val="clear" w:color="auto" w:fill="D9D9D9"/>
          </w:tcPr>
          <w:p w:rsidR="00A63476" w:rsidRDefault="00D22874">
            <w:pPr>
              <w:pStyle w:val="TableParagraph"/>
              <w:spacing w:before="72"/>
              <w:ind w:right="1"/>
              <w:jc w:val="center"/>
              <w:rPr>
                <w:sz w:val="16"/>
              </w:rPr>
            </w:pPr>
            <w:r>
              <w:rPr>
                <w:sz w:val="16"/>
              </w:rPr>
              <w:t>X</w:t>
            </w:r>
          </w:p>
        </w:tc>
        <w:tc>
          <w:tcPr>
            <w:tcW w:w="622" w:type="dxa"/>
            <w:shd w:val="clear" w:color="auto" w:fill="D9D9D9"/>
          </w:tcPr>
          <w:p w:rsidR="00A63476" w:rsidRDefault="00D22874">
            <w:pPr>
              <w:pStyle w:val="TableParagraph"/>
              <w:spacing w:before="72"/>
              <w:ind w:left="1"/>
              <w:jc w:val="center"/>
              <w:rPr>
                <w:sz w:val="16"/>
              </w:rPr>
            </w:pPr>
            <w:r>
              <w:rPr>
                <w:sz w:val="16"/>
              </w:rPr>
              <w:t>X</w:t>
            </w:r>
          </w:p>
        </w:tc>
        <w:tc>
          <w:tcPr>
            <w:tcW w:w="503" w:type="dxa"/>
          </w:tcPr>
          <w:p w:rsidR="00A63476" w:rsidRDefault="00A63476">
            <w:pPr>
              <w:pStyle w:val="TableParagraph"/>
              <w:rPr>
                <w:rFonts w:ascii="Times New Roman"/>
                <w:sz w:val="16"/>
              </w:rPr>
            </w:pPr>
          </w:p>
        </w:tc>
        <w:tc>
          <w:tcPr>
            <w:tcW w:w="742" w:type="dxa"/>
            <w:tcBorders>
              <w:right w:val="single" w:sz="12" w:space="0" w:color="000000"/>
            </w:tcBorders>
            <w:shd w:val="clear" w:color="auto" w:fill="D9D9D9"/>
          </w:tcPr>
          <w:p w:rsidR="00A63476" w:rsidRDefault="00D22874">
            <w:pPr>
              <w:pStyle w:val="TableParagraph"/>
              <w:spacing w:before="72"/>
              <w:ind w:right="1"/>
              <w:jc w:val="center"/>
              <w:rPr>
                <w:sz w:val="16"/>
              </w:rPr>
            </w:pPr>
            <w:r>
              <w:rPr>
                <w:sz w:val="16"/>
              </w:rPr>
              <w:t>X</w:t>
            </w:r>
          </w:p>
        </w:tc>
      </w:tr>
      <w:tr w:rsidR="00A63476">
        <w:trPr>
          <w:trHeight w:val="514"/>
        </w:trPr>
        <w:tc>
          <w:tcPr>
            <w:tcW w:w="2291" w:type="dxa"/>
          </w:tcPr>
          <w:p w:rsidR="00A63476" w:rsidRDefault="00D22874">
            <w:pPr>
              <w:pStyle w:val="TableParagraph"/>
              <w:spacing w:before="65" w:line="235" w:lineRule="auto"/>
              <w:ind w:left="83" w:right="331"/>
              <w:rPr>
                <w:sz w:val="16"/>
              </w:rPr>
            </w:pPr>
            <w:r>
              <w:rPr>
                <w:sz w:val="16"/>
              </w:rPr>
              <w:t>Instalaciones Generales y Áreas Comunes</w:t>
            </w:r>
          </w:p>
        </w:tc>
        <w:tc>
          <w:tcPr>
            <w:tcW w:w="1581" w:type="dxa"/>
            <w:tcBorders>
              <w:right w:val="single" w:sz="12" w:space="0" w:color="000000"/>
            </w:tcBorders>
          </w:tcPr>
          <w:p w:rsidR="00A63476" w:rsidRDefault="00A63476">
            <w:pPr>
              <w:pStyle w:val="TableParagraph"/>
              <w:spacing w:before="1"/>
              <w:rPr>
                <w:b/>
                <w:sz w:val="14"/>
              </w:rPr>
            </w:pPr>
          </w:p>
          <w:p w:rsidR="00A63476" w:rsidRDefault="00D22874">
            <w:pPr>
              <w:pStyle w:val="TableParagraph"/>
              <w:ind w:right="2"/>
              <w:jc w:val="center"/>
              <w:rPr>
                <w:sz w:val="16"/>
              </w:rPr>
            </w:pPr>
            <w:r>
              <w:rPr>
                <w:sz w:val="16"/>
              </w:rPr>
              <w:t>4</w:t>
            </w:r>
          </w:p>
        </w:tc>
        <w:tc>
          <w:tcPr>
            <w:tcW w:w="741" w:type="dxa"/>
            <w:tcBorders>
              <w:left w:val="single" w:sz="12" w:space="0" w:color="000000"/>
            </w:tcBorders>
          </w:tcPr>
          <w:p w:rsidR="00A63476" w:rsidRDefault="00A63476">
            <w:pPr>
              <w:pStyle w:val="TableParagraph"/>
              <w:rPr>
                <w:rFonts w:ascii="Times New Roman"/>
                <w:sz w:val="16"/>
              </w:rPr>
            </w:pPr>
          </w:p>
        </w:tc>
        <w:tc>
          <w:tcPr>
            <w:tcW w:w="622" w:type="dxa"/>
          </w:tcPr>
          <w:p w:rsidR="00A63476" w:rsidRDefault="00A63476">
            <w:pPr>
              <w:pStyle w:val="TableParagraph"/>
              <w:rPr>
                <w:rFonts w:ascii="Times New Roman"/>
                <w:sz w:val="16"/>
              </w:rPr>
            </w:pPr>
          </w:p>
        </w:tc>
        <w:tc>
          <w:tcPr>
            <w:tcW w:w="503" w:type="dxa"/>
          </w:tcPr>
          <w:p w:rsidR="00A63476" w:rsidRDefault="00A63476">
            <w:pPr>
              <w:pStyle w:val="TableParagraph"/>
              <w:rPr>
                <w:rFonts w:ascii="Times New Roman"/>
                <w:sz w:val="16"/>
              </w:rPr>
            </w:pPr>
          </w:p>
        </w:tc>
        <w:tc>
          <w:tcPr>
            <w:tcW w:w="742" w:type="dxa"/>
            <w:tcBorders>
              <w:right w:val="single" w:sz="12" w:space="0" w:color="000000"/>
            </w:tcBorders>
            <w:shd w:val="clear" w:color="auto" w:fill="D9D9D9"/>
          </w:tcPr>
          <w:p w:rsidR="00A63476" w:rsidRDefault="00A63476">
            <w:pPr>
              <w:pStyle w:val="TableParagraph"/>
              <w:spacing w:before="1"/>
              <w:rPr>
                <w:b/>
                <w:sz w:val="14"/>
              </w:rPr>
            </w:pPr>
          </w:p>
          <w:p w:rsidR="00A63476" w:rsidRDefault="00D22874">
            <w:pPr>
              <w:pStyle w:val="TableParagraph"/>
              <w:ind w:right="1"/>
              <w:jc w:val="center"/>
              <w:rPr>
                <w:sz w:val="16"/>
              </w:rPr>
            </w:pPr>
            <w:r>
              <w:rPr>
                <w:sz w:val="16"/>
              </w:rPr>
              <w:t>X</w:t>
            </w:r>
          </w:p>
        </w:tc>
      </w:tr>
      <w:tr w:rsidR="00A63476">
        <w:trPr>
          <w:trHeight w:val="334"/>
        </w:trPr>
        <w:tc>
          <w:tcPr>
            <w:tcW w:w="2291" w:type="dxa"/>
          </w:tcPr>
          <w:p w:rsidR="00A63476" w:rsidRDefault="00D22874">
            <w:pPr>
              <w:pStyle w:val="TableParagraph"/>
              <w:spacing w:before="72"/>
              <w:ind w:left="83"/>
              <w:rPr>
                <w:sz w:val="16"/>
              </w:rPr>
            </w:pPr>
            <w:r>
              <w:rPr>
                <w:sz w:val="16"/>
              </w:rPr>
              <w:t>Espacio Auxiliar Productivo</w:t>
            </w:r>
          </w:p>
        </w:tc>
        <w:tc>
          <w:tcPr>
            <w:tcW w:w="1581" w:type="dxa"/>
            <w:tcBorders>
              <w:right w:val="single" w:sz="12" w:space="0" w:color="000000"/>
            </w:tcBorders>
          </w:tcPr>
          <w:p w:rsidR="00A63476" w:rsidRDefault="00D22874">
            <w:pPr>
              <w:pStyle w:val="TableParagraph"/>
              <w:spacing w:before="72"/>
              <w:ind w:left="623" w:right="619"/>
              <w:jc w:val="center"/>
              <w:rPr>
                <w:sz w:val="16"/>
              </w:rPr>
            </w:pPr>
            <w:r>
              <w:rPr>
                <w:sz w:val="16"/>
              </w:rPr>
              <w:t>64</w:t>
            </w:r>
          </w:p>
        </w:tc>
        <w:tc>
          <w:tcPr>
            <w:tcW w:w="741" w:type="dxa"/>
            <w:tcBorders>
              <w:left w:val="single" w:sz="12" w:space="0" w:color="000000"/>
            </w:tcBorders>
          </w:tcPr>
          <w:p w:rsidR="00A63476" w:rsidRDefault="00A63476">
            <w:pPr>
              <w:pStyle w:val="TableParagraph"/>
              <w:rPr>
                <w:rFonts w:ascii="Times New Roman"/>
                <w:sz w:val="16"/>
              </w:rPr>
            </w:pPr>
          </w:p>
        </w:tc>
        <w:tc>
          <w:tcPr>
            <w:tcW w:w="622" w:type="dxa"/>
            <w:shd w:val="clear" w:color="auto" w:fill="D9D9D9"/>
          </w:tcPr>
          <w:p w:rsidR="00A63476" w:rsidRDefault="00D22874">
            <w:pPr>
              <w:pStyle w:val="TableParagraph"/>
              <w:spacing w:before="72"/>
              <w:ind w:left="1"/>
              <w:jc w:val="center"/>
              <w:rPr>
                <w:sz w:val="16"/>
              </w:rPr>
            </w:pPr>
            <w:r>
              <w:rPr>
                <w:sz w:val="16"/>
              </w:rPr>
              <w:t>X</w:t>
            </w:r>
          </w:p>
        </w:tc>
        <w:tc>
          <w:tcPr>
            <w:tcW w:w="503" w:type="dxa"/>
          </w:tcPr>
          <w:p w:rsidR="00A63476" w:rsidRDefault="00A63476">
            <w:pPr>
              <w:pStyle w:val="TableParagraph"/>
              <w:rPr>
                <w:rFonts w:ascii="Times New Roman"/>
                <w:sz w:val="16"/>
              </w:rPr>
            </w:pPr>
          </w:p>
        </w:tc>
        <w:tc>
          <w:tcPr>
            <w:tcW w:w="742" w:type="dxa"/>
            <w:tcBorders>
              <w:right w:val="single" w:sz="12" w:space="0" w:color="000000"/>
            </w:tcBorders>
          </w:tcPr>
          <w:p w:rsidR="00A63476" w:rsidRDefault="00A63476">
            <w:pPr>
              <w:pStyle w:val="TableParagraph"/>
              <w:rPr>
                <w:rFonts w:ascii="Times New Roman"/>
                <w:sz w:val="16"/>
              </w:rPr>
            </w:pPr>
          </w:p>
        </w:tc>
      </w:tr>
    </w:tbl>
    <w:p w:rsidR="00A63476" w:rsidRDefault="00A63476">
      <w:pPr>
        <w:rPr>
          <w:rFonts w:ascii="Times New Roman"/>
          <w:sz w:val="16"/>
        </w:rPr>
        <w:sectPr w:rsidR="00A63476">
          <w:pgSz w:w="12240" w:h="15840"/>
          <w:pgMar w:top="920" w:right="1040" w:bottom="280" w:left="1180" w:header="700" w:footer="0" w:gutter="0"/>
          <w:cols w:space="720"/>
        </w:sectPr>
      </w:pPr>
    </w:p>
    <w:p w:rsidR="00A63476" w:rsidRDefault="00A63476">
      <w:pPr>
        <w:pStyle w:val="Textoindependiente"/>
        <w:ind w:left="0" w:right="0" w:firstLine="0"/>
        <w:jc w:val="left"/>
        <w:rPr>
          <w:b/>
          <w:sz w:val="19"/>
        </w:rPr>
      </w:pPr>
    </w:p>
    <w:tbl>
      <w:tblPr>
        <w:tblStyle w:val="TableNormal"/>
        <w:tblW w:w="0" w:type="auto"/>
        <w:tblInd w:w="1703" w:type="dxa"/>
        <w:tblBorders>
          <w:top w:val="single" w:sz="6" w:space="0" w:color="404040"/>
          <w:left w:val="single" w:sz="6" w:space="0" w:color="404040"/>
          <w:bottom w:val="single" w:sz="6" w:space="0" w:color="404040"/>
          <w:right w:val="single" w:sz="6" w:space="0" w:color="404040"/>
          <w:insideH w:val="single" w:sz="6" w:space="0" w:color="404040"/>
          <w:insideV w:val="single" w:sz="6" w:space="0" w:color="404040"/>
        </w:tblBorders>
        <w:tblLayout w:type="fixed"/>
        <w:tblLook w:val="01E0" w:firstRow="1" w:lastRow="1" w:firstColumn="1" w:lastColumn="1" w:noHBand="0" w:noVBand="0"/>
      </w:tblPr>
      <w:tblGrid>
        <w:gridCol w:w="2291"/>
        <w:gridCol w:w="1581"/>
        <w:gridCol w:w="741"/>
        <w:gridCol w:w="622"/>
        <w:gridCol w:w="503"/>
        <w:gridCol w:w="742"/>
      </w:tblGrid>
      <w:tr w:rsidR="00A63476">
        <w:trPr>
          <w:trHeight w:val="334"/>
        </w:trPr>
        <w:tc>
          <w:tcPr>
            <w:tcW w:w="2291" w:type="dxa"/>
          </w:tcPr>
          <w:p w:rsidR="00A63476" w:rsidRDefault="00D22874">
            <w:pPr>
              <w:pStyle w:val="TableParagraph"/>
              <w:spacing w:before="63"/>
              <w:ind w:left="83"/>
              <w:rPr>
                <w:sz w:val="16"/>
              </w:rPr>
            </w:pPr>
            <w:r>
              <w:rPr>
                <w:sz w:val="16"/>
              </w:rPr>
              <w:t>Espacio Auxiliar Comunitario</w:t>
            </w:r>
          </w:p>
        </w:tc>
        <w:tc>
          <w:tcPr>
            <w:tcW w:w="1581" w:type="dxa"/>
            <w:tcBorders>
              <w:right w:val="single" w:sz="12" w:space="0" w:color="000000"/>
            </w:tcBorders>
          </w:tcPr>
          <w:p w:rsidR="00A63476" w:rsidRDefault="00D22874">
            <w:pPr>
              <w:pStyle w:val="TableParagraph"/>
              <w:spacing w:before="63"/>
              <w:ind w:left="626" w:right="613"/>
              <w:jc w:val="center"/>
              <w:rPr>
                <w:sz w:val="16"/>
              </w:rPr>
            </w:pPr>
            <w:r>
              <w:rPr>
                <w:sz w:val="16"/>
              </w:rPr>
              <w:t>172</w:t>
            </w:r>
          </w:p>
        </w:tc>
        <w:tc>
          <w:tcPr>
            <w:tcW w:w="741" w:type="dxa"/>
            <w:tcBorders>
              <w:left w:val="single" w:sz="12" w:space="0" w:color="000000"/>
            </w:tcBorders>
            <w:shd w:val="clear" w:color="auto" w:fill="D9D9D9"/>
          </w:tcPr>
          <w:p w:rsidR="00A63476" w:rsidRDefault="00D22874">
            <w:pPr>
              <w:pStyle w:val="TableParagraph"/>
              <w:spacing w:before="63"/>
              <w:ind w:right="1"/>
              <w:jc w:val="center"/>
              <w:rPr>
                <w:sz w:val="16"/>
              </w:rPr>
            </w:pPr>
            <w:r>
              <w:rPr>
                <w:sz w:val="16"/>
              </w:rPr>
              <w:t>X</w:t>
            </w:r>
          </w:p>
        </w:tc>
        <w:tc>
          <w:tcPr>
            <w:tcW w:w="622" w:type="dxa"/>
          </w:tcPr>
          <w:p w:rsidR="00A63476" w:rsidRDefault="00A63476">
            <w:pPr>
              <w:pStyle w:val="TableParagraph"/>
              <w:rPr>
                <w:rFonts w:ascii="Times New Roman"/>
                <w:sz w:val="16"/>
              </w:rPr>
            </w:pPr>
          </w:p>
        </w:tc>
        <w:tc>
          <w:tcPr>
            <w:tcW w:w="503" w:type="dxa"/>
          </w:tcPr>
          <w:p w:rsidR="00A63476" w:rsidRDefault="00A63476">
            <w:pPr>
              <w:pStyle w:val="TableParagraph"/>
              <w:rPr>
                <w:rFonts w:ascii="Times New Roman"/>
                <w:sz w:val="16"/>
              </w:rPr>
            </w:pPr>
          </w:p>
        </w:tc>
        <w:tc>
          <w:tcPr>
            <w:tcW w:w="742" w:type="dxa"/>
            <w:tcBorders>
              <w:right w:val="single" w:sz="12" w:space="0" w:color="000000"/>
            </w:tcBorders>
          </w:tcPr>
          <w:p w:rsidR="00A63476" w:rsidRDefault="00A63476">
            <w:pPr>
              <w:pStyle w:val="TableParagraph"/>
              <w:rPr>
                <w:rFonts w:ascii="Times New Roman"/>
                <w:sz w:val="16"/>
              </w:rPr>
            </w:pPr>
          </w:p>
        </w:tc>
      </w:tr>
      <w:tr w:rsidR="00A63476">
        <w:trPr>
          <w:trHeight w:val="334"/>
        </w:trPr>
        <w:tc>
          <w:tcPr>
            <w:tcW w:w="2291" w:type="dxa"/>
          </w:tcPr>
          <w:p w:rsidR="00A63476" w:rsidRDefault="00D22874">
            <w:pPr>
              <w:pStyle w:val="TableParagraph"/>
              <w:spacing w:before="73"/>
              <w:ind w:left="83"/>
              <w:rPr>
                <w:sz w:val="16"/>
              </w:rPr>
            </w:pPr>
            <w:r>
              <w:rPr>
                <w:sz w:val="16"/>
              </w:rPr>
              <w:t>Gastos Complementarios</w:t>
            </w:r>
          </w:p>
        </w:tc>
        <w:tc>
          <w:tcPr>
            <w:tcW w:w="1581" w:type="dxa"/>
            <w:tcBorders>
              <w:right w:val="single" w:sz="12" w:space="0" w:color="000000"/>
            </w:tcBorders>
          </w:tcPr>
          <w:p w:rsidR="00A63476" w:rsidRDefault="00D22874">
            <w:pPr>
              <w:pStyle w:val="TableParagraph"/>
              <w:spacing w:before="73"/>
              <w:ind w:left="623" w:right="619"/>
              <w:jc w:val="center"/>
              <w:rPr>
                <w:sz w:val="16"/>
              </w:rPr>
            </w:pPr>
            <w:r>
              <w:rPr>
                <w:sz w:val="16"/>
              </w:rPr>
              <w:t>13</w:t>
            </w:r>
          </w:p>
        </w:tc>
        <w:tc>
          <w:tcPr>
            <w:tcW w:w="741" w:type="dxa"/>
            <w:tcBorders>
              <w:left w:val="single" w:sz="12" w:space="0" w:color="000000"/>
              <w:bottom w:val="single" w:sz="12" w:space="0" w:color="000000"/>
            </w:tcBorders>
            <w:shd w:val="clear" w:color="auto" w:fill="D9D9D9"/>
          </w:tcPr>
          <w:p w:rsidR="00A63476" w:rsidRDefault="00D22874">
            <w:pPr>
              <w:pStyle w:val="TableParagraph"/>
              <w:spacing w:before="73"/>
              <w:ind w:right="1"/>
              <w:jc w:val="center"/>
              <w:rPr>
                <w:sz w:val="16"/>
              </w:rPr>
            </w:pPr>
            <w:r>
              <w:rPr>
                <w:sz w:val="16"/>
              </w:rPr>
              <w:t>X</w:t>
            </w:r>
          </w:p>
        </w:tc>
        <w:tc>
          <w:tcPr>
            <w:tcW w:w="622" w:type="dxa"/>
            <w:tcBorders>
              <w:bottom w:val="single" w:sz="12" w:space="0" w:color="000000"/>
            </w:tcBorders>
          </w:tcPr>
          <w:p w:rsidR="00A63476" w:rsidRDefault="00A63476">
            <w:pPr>
              <w:pStyle w:val="TableParagraph"/>
              <w:rPr>
                <w:rFonts w:ascii="Times New Roman"/>
                <w:sz w:val="16"/>
              </w:rPr>
            </w:pPr>
          </w:p>
        </w:tc>
        <w:tc>
          <w:tcPr>
            <w:tcW w:w="503" w:type="dxa"/>
            <w:tcBorders>
              <w:bottom w:val="single" w:sz="12" w:space="0" w:color="000000"/>
            </w:tcBorders>
          </w:tcPr>
          <w:p w:rsidR="00A63476" w:rsidRDefault="00A63476">
            <w:pPr>
              <w:pStyle w:val="TableParagraph"/>
              <w:rPr>
                <w:rFonts w:ascii="Times New Roman"/>
                <w:sz w:val="16"/>
              </w:rPr>
            </w:pPr>
          </w:p>
        </w:tc>
        <w:tc>
          <w:tcPr>
            <w:tcW w:w="742" w:type="dxa"/>
            <w:tcBorders>
              <w:bottom w:val="single" w:sz="12" w:space="0" w:color="000000"/>
              <w:right w:val="single" w:sz="12" w:space="0" w:color="000000"/>
            </w:tcBorders>
          </w:tcPr>
          <w:p w:rsidR="00A63476" w:rsidRDefault="00A63476">
            <w:pPr>
              <w:pStyle w:val="TableParagraph"/>
              <w:rPr>
                <w:rFonts w:ascii="Times New Roman"/>
                <w:sz w:val="16"/>
              </w:rPr>
            </w:pPr>
          </w:p>
        </w:tc>
      </w:tr>
    </w:tbl>
    <w:p w:rsidR="00A63476" w:rsidRDefault="00D22874">
      <w:pPr>
        <w:spacing w:before="149" w:line="242" w:lineRule="auto"/>
        <w:ind w:left="520" w:right="655" w:firstLine="280"/>
        <w:jc w:val="both"/>
        <w:rPr>
          <w:b/>
          <w:sz w:val="18"/>
        </w:rPr>
      </w:pPr>
      <w:r>
        <w:rPr>
          <w:b/>
          <w:sz w:val="18"/>
        </w:rPr>
        <w:t>Nota: Los montos del subsidio descritos incluyen 7% del pago por concepto de asistencia técnica. El porcentaje deberá ser referido contra el costo de la intervención y será aplicado como deductiva al subsidio aprobado.</w:t>
      </w:r>
    </w:p>
    <w:p w:rsidR="00A63476" w:rsidRDefault="00D22874">
      <w:pPr>
        <w:spacing w:before="113"/>
        <w:ind w:left="800"/>
        <w:rPr>
          <w:sz w:val="14"/>
        </w:rPr>
      </w:pPr>
      <w:r>
        <w:rPr>
          <w:w w:val="105"/>
          <w:sz w:val="18"/>
        </w:rPr>
        <w:t>I</w:t>
      </w:r>
      <w:r>
        <w:rPr>
          <w:w w:val="105"/>
          <w:sz w:val="14"/>
        </w:rPr>
        <w:t>NTEGRACIÓN DE LAS LÍNEAS DE APOYO</w:t>
      </w:r>
    </w:p>
    <w:p w:rsidR="00A63476" w:rsidRDefault="00D22874">
      <w:pPr>
        <w:pStyle w:val="Textoindependiente"/>
        <w:spacing w:before="113" w:line="249" w:lineRule="auto"/>
      </w:pPr>
      <w:r>
        <w:t>En</w:t>
      </w:r>
      <w:r>
        <w:t xml:space="preserve"> la forma de intervención </w:t>
      </w:r>
      <w:r>
        <w:rPr>
          <w:i/>
        </w:rPr>
        <w:t xml:space="preserve">Vivienda en Zonas Rurales o Urbanas, </w:t>
      </w:r>
      <w:r>
        <w:t>para definir el techo máximo para el subsidio, la CONAVI revisará la solicitud y determinará la procedencia de la integración de las líneas de apoyo aplicables, en cada modalidad. Para la modal</w:t>
      </w:r>
      <w:r>
        <w:t xml:space="preserve">idad de Vivienda en Conjunto Habitacional, se podrá disponer de la integración de las Líneas de Apoyo correspondientes a: Adquisición de Suelo, Estudios y Proyectos, Demolición, Edificación, Obra de Alcance Mayor, Sustentabilidad y Gastos Complementarios, </w:t>
      </w:r>
      <w:r>
        <w:t xml:space="preserve">pudiendo ser un subsidio máximo integral de hasta 139 veces el valor de la UMA por vivienda. Para la modalidad de Vivienda en Espacio Edificable Rural o Urbano, se podrá disponer de la integración de las Líneas de Apoyo correspondientes a: Mejoramiento de </w:t>
      </w:r>
      <w:r>
        <w:t>Vivienda, Sustentabilidad y Espacio Auxiliar Productivo pudiendo ser un subsidio máximo integral de hasta de 127 veces el valor de la UMA por vivienda; cuando se integren, Ampliación de Vivienda, Sustentabilidad y Espacio Auxiliar Productivo el monto máxim</w:t>
      </w:r>
      <w:r>
        <w:t xml:space="preserve">o del subsidio será de hasta 102 veces el valor de la UMA por vivienda; cuando se integren las líneas de apoyo Vivienda Nueva, Sustentabilidad y Espacio Auxiliar Productivo pudiendo ser un subsidio máximo integral de hasta 204 veces el valor de la UMA por </w:t>
      </w:r>
      <w:r>
        <w:t>vivienda. Para la modalidad de Adquisición de Vivienda, se podrá disponer de la integración de las Líneas de Apoyo correspondientes a: Adquisición de Vivienda Nueva o Usada. Para la modalidad de Mejoramiento de Unidades Habitacionales, se podrá disponer de</w:t>
      </w:r>
      <w:r>
        <w:t xml:space="preserve"> la integración de las Líneas de Apoyo correspondientes a: Sustentabilidad e Instalaciones Generales y Áreas Comunes, pudiendo ser un subsidio máximo integral de hasta 17 veces el valor de la UMA por vivienda.</w:t>
      </w:r>
    </w:p>
    <w:p w:rsidR="00A63476" w:rsidRDefault="00D22874">
      <w:pPr>
        <w:spacing w:before="121"/>
        <w:ind w:left="800"/>
        <w:rPr>
          <w:sz w:val="14"/>
        </w:rPr>
      </w:pPr>
      <w:r>
        <w:rPr>
          <w:w w:val="105"/>
          <w:sz w:val="18"/>
        </w:rPr>
        <w:t>P</w:t>
      </w:r>
      <w:r>
        <w:rPr>
          <w:w w:val="105"/>
          <w:sz w:val="14"/>
        </w:rPr>
        <w:t>ARTICIPANTES</w:t>
      </w:r>
    </w:p>
    <w:p w:rsidR="00A63476" w:rsidRDefault="00D22874">
      <w:pPr>
        <w:pStyle w:val="Prrafodelista"/>
        <w:numPr>
          <w:ilvl w:val="0"/>
          <w:numId w:val="49"/>
        </w:numPr>
        <w:tabs>
          <w:tab w:val="left" w:pos="1232"/>
        </w:tabs>
        <w:spacing w:before="113"/>
        <w:ind w:left="1232"/>
        <w:rPr>
          <w:sz w:val="18"/>
        </w:rPr>
      </w:pPr>
      <w:r>
        <w:rPr>
          <w:sz w:val="18"/>
        </w:rPr>
        <w:t>La Secretaria de Desarrollo Agra</w:t>
      </w:r>
      <w:r>
        <w:rPr>
          <w:sz w:val="18"/>
        </w:rPr>
        <w:t>rio Territorial y</w:t>
      </w:r>
      <w:r>
        <w:rPr>
          <w:spacing w:val="-16"/>
          <w:sz w:val="18"/>
        </w:rPr>
        <w:t xml:space="preserve"> </w:t>
      </w:r>
      <w:r>
        <w:rPr>
          <w:sz w:val="18"/>
        </w:rPr>
        <w:t>Urbano</w:t>
      </w:r>
    </w:p>
    <w:p w:rsidR="00A63476" w:rsidRDefault="00D22874">
      <w:pPr>
        <w:pStyle w:val="Textoindependiente"/>
        <w:spacing w:before="133"/>
        <w:ind w:left="800" w:right="0" w:firstLine="0"/>
      </w:pPr>
      <w:r>
        <w:t>Es la instancia encargada de definir la intervención derivada de los Proyectos Estratégicos.</w:t>
      </w:r>
    </w:p>
    <w:p w:rsidR="00A63476" w:rsidRDefault="00D22874">
      <w:pPr>
        <w:pStyle w:val="Prrafodelista"/>
        <w:numPr>
          <w:ilvl w:val="0"/>
          <w:numId w:val="49"/>
        </w:numPr>
        <w:tabs>
          <w:tab w:val="left" w:pos="1232"/>
        </w:tabs>
        <w:spacing w:before="113"/>
        <w:ind w:left="1232"/>
        <w:rPr>
          <w:sz w:val="18"/>
        </w:rPr>
      </w:pPr>
      <w:r>
        <w:rPr>
          <w:sz w:val="18"/>
        </w:rPr>
        <w:t>Comisión Nacional de</w:t>
      </w:r>
      <w:r>
        <w:rPr>
          <w:spacing w:val="-1"/>
          <w:sz w:val="18"/>
        </w:rPr>
        <w:t xml:space="preserve"> </w:t>
      </w:r>
      <w:r>
        <w:rPr>
          <w:sz w:val="18"/>
        </w:rPr>
        <w:t>Vivienda</w:t>
      </w:r>
    </w:p>
    <w:p w:rsidR="00A63476" w:rsidRDefault="00D22874">
      <w:pPr>
        <w:pStyle w:val="Textoindependiente"/>
        <w:spacing w:before="113"/>
        <w:ind w:left="800" w:right="0" w:firstLine="0"/>
      </w:pPr>
      <w:r>
        <w:t>Instancia encargada de otorgar el subsidio federal.</w:t>
      </w:r>
    </w:p>
    <w:p w:rsidR="00A63476" w:rsidRDefault="00D22874">
      <w:pPr>
        <w:pStyle w:val="Prrafodelista"/>
        <w:numPr>
          <w:ilvl w:val="0"/>
          <w:numId w:val="49"/>
        </w:numPr>
        <w:tabs>
          <w:tab w:val="left" w:pos="1232"/>
        </w:tabs>
        <w:spacing w:before="133"/>
        <w:ind w:left="1232"/>
        <w:rPr>
          <w:sz w:val="18"/>
        </w:rPr>
      </w:pPr>
      <w:r>
        <w:rPr>
          <w:sz w:val="18"/>
        </w:rPr>
        <w:t>Entidades federativas y municipios</w:t>
      </w:r>
    </w:p>
    <w:p w:rsidR="00A63476" w:rsidRDefault="00D22874">
      <w:pPr>
        <w:pStyle w:val="Textoindependiente"/>
        <w:spacing w:before="113" w:line="261" w:lineRule="auto"/>
      </w:pPr>
      <w:r>
        <w:t>Para apoyar a este se</w:t>
      </w:r>
      <w:r>
        <w:t>ctor de la población, los entidades federativas y municipios, a través de sus organismos de vivienda o de la instancia administrativa que para ese efecto asignen, podrán participar aplicando los subsidios en favor de las personas beneficiarias del programa</w:t>
      </w:r>
      <w:r>
        <w:t xml:space="preserve">, en una proporción igual o menor a la aplicada por el gobierno federal a través de la </w:t>
      </w:r>
      <w:r>
        <w:rPr>
          <w:spacing w:val="-3"/>
        </w:rPr>
        <w:t xml:space="preserve">CONAVI, </w:t>
      </w:r>
      <w:r>
        <w:t>suscribiendo para tal fin los instrumentos jurídicos que correspondan.</w:t>
      </w:r>
    </w:p>
    <w:p w:rsidR="00A63476" w:rsidRDefault="00D22874">
      <w:pPr>
        <w:pStyle w:val="Textoindependiente"/>
        <w:spacing w:before="92" w:line="259" w:lineRule="auto"/>
        <w:ind w:right="654"/>
      </w:pPr>
      <w:r>
        <w:t>Para tales efectos, la Comisión, por su cuenta o de manera conjunta con otras institucione</w:t>
      </w:r>
      <w:r>
        <w:t>s de la Administración Pública Federal, podrá celebrar convenios de colaboración con las entidades federativas o con los ayuntamientos con el fin de establecer compromisos para sumar recursos destinados a vivienda. En estos convenios de colaboración se est</w:t>
      </w:r>
      <w:r>
        <w:t>ablecerá la asignación de las entidades federativas o de los ayuntamientos, así como los recursos que deriven del Programa. En todo caso los gobiernos estatales o municipales deberán acreditar que sus respectivas aportaciones cuentan con un soporte program</w:t>
      </w:r>
      <w:r>
        <w:t>ático o presupuestal.</w:t>
      </w:r>
    </w:p>
    <w:p w:rsidR="00A63476" w:rsidRDefault="00D22874">
      <w:pPr>
        <w:pStyle w:val="Textoindependiente"/>
        <w:spacing w:before="119" w:line="254" w:lineRule="auto"/>
      </w:pPr>
      <w:r>
        <w:t>De manera general, podrán participar conforme a sus facultades y atribuciones en todas aquellas acciones que contribuyan a la materialización y agilización del programa, en favor de la población y las localidades inscritas.</w:t>
      </w:r>
    </w:p>
    <w:p w:rsidR="00A63476" w:rsidRDefault="00D22874">
      <w:pPr>
        <w:pStyle w:val="Prrafodelista"/>
        <w:numPr>
          <w:ilvl w:val="0"/>
          <w:numId w:val="49"/>
        </w:numPr>
        <w:tabs>
          <w:tab w:val="left" w:pos="1232"/>
        </w:tabs>
        <w:ind w:left="1232"/>
        <w:rPr>
          <w:sz w:val="18"/>
        </w:rPr>
      </w:pPr>
      <w:r>
        <w:rPr>
          <w:sz w:val="18"/>
        </w:rPr>
        <w:t>Organismo Ejecutor de Obra</w:t>
      </w:r>
      <w:r>
        <w:rPr>
          <w:spacing w:val="-1"/>
          <w:sz w:val="18"/>
        </w:rPr>
        <w:t xml:space="preserve"> </w:t>
      </w:r>
      <w:r>
        <w:rPr>
          <w:sz w:val="18"/>
        </w:rPr>
        <w:t>(OEO)</w:t>
      </w:r>
    </w:p>
    <w:p w:rsidR="00A63476" w:rsidRDefault="00D22874">
      <w:pPr>
        <w:pStyle w:val="Textoindependiente"/>
        <w:spacing w:before="133" w:line="261" w:lineRule="auto"/>
      </w:pPr>
      <w:r>
        <w:t>El Organismo Ejecutor de Obra (OEO) acreditado ante la Comisión podrá ser asignado por las personas beneficiarias del programa, para desarrollar, acompañar y ejecutar los procesos constructivos en las modalidades de Vivienda Nueva en Conjunto Habitacional,</w:t>
      </w:r>
      <w:r>
        <w:t xml:space="preserve"> y en Vivienda Nueva en Espacio Edificable Rural o Urbano. Los lineamientos para el proceso de registro como OEO se podrán consultar en la página</w:t>
      </w:r>
      <w:hyperlink r:id="rId28">
        <w:r>
          <w:t xml:space="preserve"> www.gob.mx/conavi</w:t>
        </w:r>
      </w:hyperlink>
    </w:p>
    <w:p w:rsidR="00A63476" w:rsidRDefault="00D22874">
      <w:pPr>
        <w:pStyle w:val="Prrafodelista"/>
        <w:numPr>
          <w:ilvl w:val="0"/>
          <w:numId w:val="49"/>
        </w:numPr>
        <w:tabs>
          <w:tab w:val="left" w:pos="1232"/>
        </w:tabs>
        <w:spacing w:before="92"/>
        <w:ind w:left="1232"/>
        <w:rPr>
          <w:sz w:val="18"/>
        </w:rPr>
      </w:pPr>
      <w:r>
        <w:rPr>
          <w:sz w:val="18"/>
        </w:rPr>
        <w:t>Asistencia técnica</w:t>
      </w:r>
    </w:p>
    <w:p w:rsidR="00A63476" w:rsidRDefault="00A63476">
      <w:pPr>
        <w:jc w:val="both"/>
        <w:rPr>
          <w:sz w:val="18"/>
        </w:rPr>
        <w:sectPr w:rsidR="00A63476">
          <w:pgSz w:w="12240" w:h="15840"/>
          <w:pgMar w:top="920" w:right="1040" w:bottom="280" w:left="1180" w:header="700" w:footer="0" w:gutter="0"/>
          <w:cols w:space="720"/>
        </w:sectPr>
      </w:pPr>
    </w:p>
    <w:p w:rsidR="00A63476" w:rsidRDefault="00A63476">
      <w:pPr>
        <w:pStyle w:val="Textoindependiente"/>
        <w:spacing w:before="5"/>
        <w:ind w:left="0" w:right="0" w:firstLine="0"/>
        <w:jc w:val="left"/>
        <w:rPr>
          <w:sz w:val="12"/>
        </w:rPr>
      </w:pPr>
    </w:p>
    <w:p w:rsidR="00A63476" w:rsidRDefault="00D22874">
      <w:pPr>
        <w:pStyle w:val="Textoindependiente"/>
        <w:spacing w:before="95" w:line="254" w:lineRule="auto"/>
      </w:pPr>
      <w:r>
        <w:t>En todos los c</w:t>
      </w:r>
      <w:r>
        <w:t>asos la intervención habitacional se hará con apoyo y acompañamiento de una asistencia técnica calificada que comprende aspectos técnicos, financieros, organizativos, legales y de gestión, adecuados a las características de las familias beneficiarias del p</w:t>
      </w:r>
      <w:r>
        <w:t>rograma y atendiendo las condiciones de habitabilidad y seguridad estructural.</w:t>
      </w:r>
    </w:p>
    <w:p w:rsidR="00A63476" w:rsidRDefault="00D22874">
      <w:pPr>
        <w:pStyle w:val="Textoindependiente"/>
        <w:spacing w:before="122" w:line="254" w:lineRule="auto"/>
      </w:pPr>
      <w:r>
        <w:t xml:space="preserve">La colaboración de los profesionales que participan en la asistencia técnica se establecerá por corredores, zonas o regiones que abarquen los sitios de intervención, de acuerdo </w:t>
      </w:r>
      <w:r>
        <w:t>con sus posibilidades de trabajo, respetando su labor en sus áreas de influencia, de modo tal que se pueda garantizar su participación y permanencia en el programa.</w:t>
      </w:r>
    </w:p>
    <w:p w:rsidR="00A63476" w:rsidRDefault="00D22874">
      <w:pPr>
        <w:pStyle w:val="Textoindependiente"/>
        <w:spacing w:before="122" w:line="254" w:lineRule="auto"/>
        <w:ind w:right="663"/>
      </w:pPr>
      <w:r>
        <w:t>Los lineamientos para el proceso de acreditación para la asistencia técnica, se podrán cons</w:t>
      </w:r>
      <w:r>
        <w:t xml:space="preserve">ultar en la página </w:t>
      </w:r>
      <w:hyperlink r:id="rId29">
        <w:r>
          <w:rPr>
            <w:u w:val="single"/>
          </w:rPr>
          <w:t>www.gob.mx/conav</w:t>
        </w:r>
        <w:r>
          <w:t>i</w:t>
        </w:r>
      </w:hyperlink>
    </w:p>
    <w:p w:rsidR="00A63476" w:rsidRDefault="00D22874">
      <w:pPr>
        <w:pStyle w:val="Prrafodelista"/>
        <w:numPr>
          <w:ilvl w:val="0"/>
          <w:numId w:val="49"/>
        </w:numPr>
        <w:tabs>
          <w:tab w:val="left" w:pos="1231"/>
          <w:tab w:val="left" w:pos="1232"/>
        </w:tabs>
        <w:spacing w:before="102"/>
        <w:ind w:left="1232"/>
        <w:jc w:val="left"/>
        <w:rPr>
          <w:sz w:val="18"/>
        </w:rPr>
      </w:pPr>
      <w:r>
        <w:rPr>
          <w:sz w:val="18"/>
        </w:rPr>
        <w:t>Supervisión técnica y</w:t>
      </w:r>
      <w:r>
        <w:rPr>
          <w:spacing w:val="-1"/>
          <w:sz w:val="18"/>
        </w:rPr>
        <w:t xml:space="preserve"> </w:t>
      </w:r>
      <w:r>
        <w:rPr>
          <w:sz w:val="18"/>
        </w:rPr>
        <w:t>administrativa</w:t>
      </w:r>
    </w:p>
    <w:p w:rsidR="00A63476" w:rsidRDefault="00D22874">
      <w:pPr>
        <w:pStyle w:val="Textoindependiente"/>
        <w:spacing w:before="133" w:line="254" w:lineRule="auto"/>
      </w:pPr>
      <w:r>
        <w:t xml:space="preserve">Se encargará de la supervisión técnica y administrativa de las obras durante el proceso de construcción de la vivienda en cumplimiento de </w:t>
      </w:r>
      <w:r>
        <w:t xml:space="preserve">las condiciones aprobadas y conforme a los atributos en la vivienda establecidos por la CONAVI. Los lineamientos para el proceso de registro como supervisor de obra se podrán consultar en la página </w:t>
      </w:r>
      <w:hyperlink r:id="rId30">
        <w:r>
          <w:rPr>
            <w:u w:val="single"/>
          </w:rPr>
          <w:t>www.gob.mx/con</w:t>
        </w:r>
        <w:r>
          <w:rPr>
            <w:u w:val="single"/>
          </w:rPr>
          <w:t>av</w:t>
        </w:r>
        <w:r>
          <w:t>i</w:t>
        </w:r>
      </w:hyperlink>
    </w:p>
    <w:p w:rsidR="00A63476" w:rsidRDefault="00D22874">
      <w:pPr>
        <w:pStyle w:val="Prrafodelista"/>
        <w:numPr>
          <w:ilvl w:val="0"/>
          <w:numId w:val="49"/>
        </w:numPr>
        <w:tabs>
          <w:tab w:val="left" w:pos="1231"/>
          <w:tab w:val="left" w:pos="1232"/>
        </w:tabs>
        <w:spacing w:before="122"/>
        <w:ind w:left="1232"/>
        <w:jc w:val="left"/>
        <w:rPr>
          <w:sz w:val="18"/>
        </w:rPr>
      </w:pPr>
      <w:r>
        <w:rPr>
          <w:sz w:val="18"/>
        </w:rPr>
        <w:t>Verificadores</w:t>
      </w:r>
    </w:p>
    <w:p w:rsidR="00A63476" w:rsidRDefault="00D22874">
      <w:pPr>
        <w:pStyle w:val="Textoindependiente"/>
        <w:spacing w:before="113" w:line="254" w:lineRule="auto"/>
      </w:pPr>
      <w:r>
        <w:t>La CONAVI podrá optar por la contratación de personas físicas o morales previamente inscritas ante la misma Comisión, para verificar el cumplimiento del acompañamiento técnico, así como de la correcta aplicación de los subsidios otorgados</w:t>
      </w:r>
      <w:r>
        <w:t xml:space="preserve"> para el desarrollo del Programa.</w:t>
      </w:r>
    </w:p>
    <w:p w:rsidR="00A63476" w:rsidRDefault="00D22874">
      <w:pPr>
        <w:pStyle w:val="Ttulo1"/>
        <w:spacing w:before="102"/>
        <w:ind w:left="865" w:right="1002"/>
        <w:jc w:val="center"/>
      </w:pPr>
      <w:r>
        <w:t>Tabla 5. VERTIENTE PRODUCCIÓN SOCIAL DE VIVIENDA ASISTIDA</w:t>
      </w:r>
    </w:p>
    <w:p w:rsidR="00A63476" w:rsidRDefault="00D22874">
      <w:pPr>
        <w:spacing w:before="113"/>
        <w:ind w:left="856" w:right="1002"/>
        <w:jc w:val="center"/>
        <w:rPr>
          <w:b/>
          <w:sz w:val="18"/>
        </w:rPr>
      </w:pPr>
      <w:r>
        <w:rPr>
          <w:b/>
          <w:sz w:val="18"/>
        </w:rPr>
        <w:t>Síntesis de lineamientos generales</w:t>
      </w:r>
    </w:p>
    <w:p w:rsidR="00A63476" w:rsidRDefault="00A63476">
      <w:pPr>
        <w:pStyle w:val="Textoindependiente"/>
        <w:spacing w:before="3"/>
        <w:ind w:left="0" w:right="0" w:firstLine="0"/>
        <w:jc w:val="left"/>
        <w:rPr>
          <w:b/>
          <w:sz w:val="11"/>
        </w:rPr>
      </w:pPr>
    </w:p>
    <w:tbl>
      <w:tblPr>
        <w:tblStyle w:val="TableNormal"/>
        <w:tblW w:w="0" w:type="auto"/>
        <w:tblInd w:w="673" w:type="dxa"/>
        <w:tblBorders>
          <w:top w:val="single" w:sz="4" w:space="0" w:color="7F7F7F"/>
          <w:left w:val="single" w:sz="4" w:space="0" w:color="7F7F7F"/>
          <w:bottom w:val="single" w:sz="4" w:space="0" w:color="7F7F7F"/>
          <w:right w:val="single" w:sz="4" w:space="0" w:color="7F7F7F"/>
          <w:insideH w:val="single" w:sz="4" w:space="0" w:color="7F7F7F"/>
          <w:insideV w:val="single" w:sz="4" w:space="0" w:color="7F7F7F"/>
        </w:tblBorders>
        <w:tblLayout w:type="fixed"/>
        <w:tblLook w:val="01E0" w:firstRow="1" w:lastRow="1" w:firstColumn="1" w:lastColumn="1" w:noHBand="0" w:noVBand="0"/>
      </w:tblPr>
      <w:tblGrid>
        <w:gridCol w:w="1985"/>
        <w:gridCol w:w="1252"/>
        <w:gridCol w:w="2726"/>
        <w:gridCol w:w="2727"/>
      </w:tblGrid>
      <w:tr w:rsidR="00A63476">
        <w:trPr>
          <w:trHeight w:val="582"/>
        </w:trPr>
        <w:tc>
          <w:tcPr>
            <w:tcW w:w="1985" w:type="dxa"/>
          </w:tcPr>
          <w:p w:rsidR="00A63476" w:rsidRDefault="00A63476">
            <w:pPr>
              <w:pStyle w:val="TableParagraph"/>
              <w:spacing w:before="4"/>
              <w:rPr>
                <w:b/>
                <w:sz w:val="18"/>
              </w:rPr>
            </w:pPr>
          </w:p>
          <w:p w:rsidR="00A63476" w:rsidRDefault="00D22874">
            <w:pPr>
              <w:pStyle w:val="TableParagraph"/>
              <w:spacing w:before="1"/>
              <w:ind w:left="591"/>
              <w:rPr>
                <w:b/>
                <w:sz w:val="16"/>
              </w:rPr>
            </w:pPr>
            <w:r>
              <w:rPr>
                <w:b/>
                <w:sz w:val="16"/>
              </w:rPr>
              <w:t>Esquemas</w:t>
            </w:r>
          </w:p>
        </w:tc>
        <w:tc>
          <w:tcPr>
            <w:tcW w:w="1252" w:type="dxa"/>
          </w:tcPr>
          <w:p w:rsidR="00A63476" w:rsidRDefault="00D22874">
            <w:pPr>
              <w:pStyle w:val="TableParagraph"/>
              <w:spacing w:before="112" w:line="261" w:lineRule="auto"/>
              <w:ind w:left="146" w:right="124" w:firstLine="120"/>
              <w:rPr>
                <w:b/>
                <w:sz w:val="16"/>
              </w:rPr>
            </w:pPr>
            <w:r>
              <w:rPr>
                <w:b/>
                <w:sz w:val="16"/>
              </w:rPr>
              <w:t>Forma de intervención</w:t>
            </w:r>
          </w:p>
        </w:tc>
        <w:tc>
          <w:tcPr>
            <w:tcW w:w="2726" w:type="dxa"/>
          </w:tcPr>
          <w:p w:rsidR="00A63476" w:rsidRDefault="00D22874">
            <w:pPr>
              <w:pStyle w:val="TableParagraph"/>
              <w:spacing w:before="112" w:line="261" w:lineRule="auto"/>
              <w:ind w:left="1035" w:right="178" w:hanging="820"/>
              <w:rPr>
                <w:b/>
                <w:sz w:val="16"/>
              </w:rPr>
            </w:pPr>
            <w:r>
              <w:rPr>
                <w:b/>
                <w:sz w:val="16"/>
              </w:rPr>
              <w:t>Modalidades de aplicación del subsidio</w:t>
            </w:r>
          </w:p>
        </w:tc>
        <w:tc>
          <w:tcPr>
            <w:tcW w:w="2727" w:type="dxa"/>
          </w:tcPr>
          <w:p w:rsidR="00A63476" w:rsidRDefault="00A63476">
            <w:pPr>
              <w:pStyle w:val="TableParagraph"/>
              <w:spacing w:before="4"/>
              <w:rPr>
                <w:b/>
                <w:sz w:val="18"/>
              </w:rPr>
            </w:pPr>
          </w:p>
          <w:p w:rsidR="00A63476" w:rsidRDefault="00D22874">
            <w:pPr>
              <w:pStyle w:val="TableParagraph"/>
              <w:spacing w:before="1"/>
              <w:ind w:left="448"/>
              <w:rPr>
                <w:b/>
                <w:sz w:val="16"/>
              </w:rPr>
            </w:pPr>
            <w:r>
              <w:rPr>
                <w:b/>
                <w:sz w:val="16"/>
              </w:rPr>
              <w:t>Criterios de priorización</w:t>
            </w:r>
          </w:p>
        </w:tc>
      </w:tr>
      <w:tr w:rsidR="00A63476">
        <w:trPr>
          <w:trHeight w:val="3606"/>
        </w:trPr>
        <w:tc>
          <w:tcPr>
            <w:tcW w:w="1985" w:type="dxa"/>
            <w:shd w:val="clear" w:color="auto" w:fill="F2F2F2"/>
          </w:tcPr>
          <w:p w:rsidR="00A63476" w:rsidRDefault="00A63476">
            <w:pPr>
              <w:pStyle w:val="TableParagraph"/>
              <w:rPr>
                <w:b/>
                <w:sz w:val="18"/>
              </w:rPr>
            </w:pPr>
          </w:p>
          <w:p w:rsidR="00A63476" w:rsidRDefault="00A63476">
            <w:pPr>
              <w:pStyle w:val="TableParagraph"/>
              <w:rPr>
                <w:b/>
                <w:sz w:val="18"/>
              </w:rPr>
            </w:pPr>
          </w:p>
          <w:p w:rsidR="00A63476" w:rsidRDefault="00A63476">
            <w:pPr>
              <w:pStyle w:val="TableParagraph"/>
              <w:rPr>
                <w:b/>
                <w:sz w:val="18"/>
              </w:rPr>
            </w:pPr>
          </w:p>
          <w:p w:rsidR="00A63476" w:rsidRDefault="00A63476">
            <w:pPr>
              <w:pStyle w:val="TableParagraph"/>
              <w:rPr>
                <w:b/>
                <w:sz w:val="18"/>
              </w:rPr>
            </w:pPr>
          </w:p>
          <w:p w:rsidR="00A63476" w:rsidRDefault="00A63476">
            <w:pPr>
              <w:pStyle w:val="TableParagraph"/>
              <w:rPr>
                <w:b/>
                <w:sz w:val="18"/>
              </w:rPr>
            </w:pPr>
          </w:p>
          <w:p w:rsidR="00A63476" w:rsidRDefault="00A63476">
            <w:pPr>
              <w:pStyle w:val="TableParagraph"/>
              <w:rPr>
                <w:b/>
                <w:sz w:val="18"/>
              </w:rPr>
            </w:pPr>
          </w:p>
          <w:p w:rsidR="00A63476" w:rsidRDefault="00A63476">
            <w:pPr>
              <w:pStyle w:val="TableParagraph"/>
              <w:rPr>
                <w:b/>
                <w:sz w:val="18"/>
              </w:rPr>
            </w:pPr>
          </w:p>
          <w:p w:rsidR="00A63476" w:rsidRDefault="00A63476">
            <w:pPr>
              <w:pStyle w:val="TableParagraph"/>
              <w:spacing w:before="5"/>
              <w:rPr>
                <w:b/>
                <w:sz w:val="23"/>
              </w:rPr>
            </w:pPr>
          </w:p>
          <w:p w:rsidR="00A63476" w:rsidRDefault="00D22874">
            <w:pPr>
              <w:pStyle w:val="TableParagraph"/>
              <w:spacing w:before="1"/>
              <w:ind w:left="91"/>
              <w:rPr>
                <w:sz w:val="16"/>
              </w:rPr>
            </w:pPr>
            <w:r>
              <w:rPr>
                <w:sz w:val="16"/>
              </w:rPr>
              <w:t>Subsidio CONAVI 100%</w:t>
            </w:r>
          </w:p>
        </w:tc>
        <w:tc>
          <w:tcPr>
            <w:tcW w:w="1252" w:type="dxa"/>
            <w:shd w:val="clear" w:color="auto" w:fill="F2F2F2"/>
          </w:tcPr>
          <w:p w:rsidR="00A63476" w:rsidRDefault="00A63476">
            <w:pPr>
              <w:pStyle w:val="TableParagraph"/>
              <w:rPr>
                <w:b/>
                <w:sz w:val="18"/>
              </w:rPr>
            </w:pPr>
          </w:p>
          <w:p w:rsidR="00A63476" w:rsidRDefault="00A63476">
            <w:pPr>
              <w:pStyle w:val="TableParagraph"/>
              <w:rPr>
                <w:b/>
                <w:sz w:val="18"/>
              </w:rPr>
            </w:pPr>
          </w:p>
          <w:p w:rsidR="00A63476" w:rsidRDefault="00A63476">
            <w:pPr>
              <w:pStyle w:val="TableParagraph"/>
              <w:rPr>
                <w:b/>
                <w:sz w:val="18"/>
              </w:rPr>
            </w:pPr>
          </w:p>
          <w:p w:rsidR="00A63476" w:rsidRDefault="00A63476">
            <w:pPr>
              <w:pStyle w:val="TableParagraph"/>
              <w:rPr>
                <w:b/>
                <w:sz w:val="18"/>
              </w:rPr>
            </w:pPr>
          </w:p>
          <w:p w:rsidR="00A63476" w:rsidRDefault="00A63476">
            <w:pPr>
              <w:pStyle w:val="TableParagraph"/>
              <w:rPr>
                <w:b/>
                <w:sz w:val="18"/>
              </w:rPr>
            </w:pPr>
          </w:p>
          <w:p w:rsidR="00A63476" w:rsidRDefault="00A63476">
            <w:pPr>
              <w:pStyle w:val="TableParagraph"/>
              <w:rPr>
                <w:b/>
                <w:sz w:val="18"/>
              </w:rPr>
            </w:pPr>
          </w:p>
          <w:p w:rsidR="00A63476" w:rsidRDefault="00D22874">
            <w:pPr>
              <w:pStyle w:val="TableParagraph"/>
              <w:spacing w:before="157" w:line="288" w:lineRule="auto"/>
              <w:ind w:left="86" w:right="158"/>
              <w:rPr>
                <w:b/>
                <w:sz w:val="16"/>
              </w:rPr>
            </w:pPr>
            <w:r>
              <w:rPr>
                <w:b/>
                <w:sz w:val="16"/>
              </w:rPr>
              <w:t>Vivienda Afectada por Fenómenos Naturales</w:t>
            </w:r>
          </w:p>
        </w:tc>
        <w:tc>
          <w:tcPr>
            <w:tcW w:w="2726" w:type="dxa"/>
            <w:shd w:val="clear" w:color="auto" w:fill="F2F2F2"/>
          </w:tcPr>
          <w:p w:rsidR="00A63476" w:rsidRDefault="00A63476">
            <w:pPr>
              <w:pStyle w:val="TableParagraph"/>
              <w:rPr>
                <w:b/>
                <w:sz w:val="18"/>
              </w:rPr>
            </w:pPr>
          </w:p>
          <w:p w:rsidR="00A63476" w:rsidRDefault="00A63476">
            <w:pPr>
              <w:pStyle w:val="TableParagraph"/>
              <w:rPr>
                <w:b/>
                <w:sz w:val="18"/>
              </w:rPr>
            </w:pPr>
          </w:p>
          <w:p w:rsidR="00A63476" w:rsidRDefault="00A63476">
            <w:pPr>
              <w:pStyle w:val="TableParagraph"/>
              <w:rPr>
                <w:b/>
                <w:sz w:val="18"/>
              </w:rPr>
            </w:pPr>
          </w:p>
          <w:p w:rsidR="00A63476" w:rsidRDefault="00A63476">
            <w:pPr>
              <w:pStyle w:val="TableParagraph"/>
              <w:spacing w:before="10"/>
              <w:rPr>
                <w:b/>
                <w:sz w:val="25"/>
              </w:rPr>
            </w:pPr>
          </w:p>
          <w:p w:rsidR="00A63476" w:rsidRDefault="00D22874">
            <w:pPr>
              <w:pStyle w:val="TableParagraph"/>
              <w:spacing w:line="288" w:lineRule="auto"/>
              <w:ind w:left="75" w:right="178"/>
              <w:rPr>
                <w:sz w:val="16"/>
              </w:rPr>
            </w:pPr>
            <w:r>
              <w:rPr>
                <w:sz w:val="16"/>
              </w:rPr>
              <w:t>Vivienda en Espacio Edificable Rural o Urbano.</w:t>
            </w:r>
          </w:p>
          <w:p w:rsidR="00A63476" w:rsidRDefault="00D22874">
            <w:pPr>
              <w:pStyle w:val="TableParagraph"/>
              <w:spacing w:before="99" w:line="280" w:lineRule="auto"/>
              <w:ind w:left="75" w:right="79"/>
              <w:rPr>
                <w:sz w:val="16"/>
              </w:rPr>
            </w:pPr>
            <w:r>
              <w:rPr>
                <w:sz w:val="16"/>
              </w:rPr>
              <w:t>Solo en caso de que fuera necesaria la reubicación de vivienda, podrá optarse por las modalidades de Vivienda en Conjunto Habitacional y Adquisición de Vivienda</w:t>
            </w:r>
          </w:p>
        </w:tc>
        <w:tc>
          <w:tcPr>
            <w:tcW w:w="2727" w:type="dxa"/>
            <w:shd w:val="clear" w:color="auto" w:fill="F2F2F2"/>
          </w:tcPr>
          <w:p w:rsidR="00A63476" w:rsidRDefault="00D22874">
            <w:pPr>
              <w:pStyle w:val="TableParagraph"/>
              <w:spacing w:before="99" w:line="280" w:lineRule="auto"/>
              <w:ind w:left="88" w:right="33"/>
              <w:jc w:val="both"/>
              <w:rPr>
                <w:sz w:val="16"/>
              </w:rPr>
            </w:pPr>
            <w:r>
              <w:rPr>
                <w:sz w:val="16"/>
              </w:rPr>
              <w:t xml:space="preserve">Personas que habiten en zonas de </w:t>
            </w:r>
            <w:r>
              <w:rPr>
                <w:spacing w:val="18"/>
                <w:sz w:val="16"/>
              </w:rPr>
              <w:t xml:space="preserve">población </w:t>
            </w:r>
            <w:r>
              <w:rPr>
                <w:spacing w:val="19"/>
                <w:sz w:val="16"/>
              </w:rPr>
              <w:t xml:space="preserve">mayoritariamente </w:t>
            </w:r>
            <w:r>
              <w:rPr>
                <w:spacing w:val="3"/>
                <w:sz w:val="16"/>
              </w:rPr>
              <w:t xml:space="preserve">indígena, </w:t>
            </w:r>
            <w:r>
              <w:rPr>
                <w:sz w:val="16"/>
              </w:rPr>
              <w:t xml:space="preserve">en </w:t>
            </w:r>
            <w:r>
              <w:rPr>
                <w:spacing w:val="3"/>
                <w:sz w:val="16"/>
              </w:rPr>
              <w:t xml:space="preserve">zonas </w:t>
            </w:r>
            <w:r>
              <w:rPr>
                <w:spacing w:val="2"/>
                <w:sz w:val="16"/>
              </w:rPr>
              <w:t xml:space="preserve">con </w:t>
            </w:r>
            <w:r>
              <w:rPr>
                <w:spacing w:val="3"/>
                <w:sz w:val="16"/>
              </w:rPr>
              <w:t xml:space="preserve">mayor </w:t>
            </w:r>
            <w:r>
              <w:rPr>
                <w:spacing w:val="14"/>
                <w:sz w:val="16"/>
              </w:rPr>
              <w:t xml:space="preserve">grado </w:t>
            </w:r>
            <w:r>
              <w:rPr>
                <w:spacing w:val="9"/>
                <w:sz w:val="16"/>
              </w:rPr>
              <w:t xml:space="preserve">de </w:t>
            </w:r>
            <w:r>
              <w:rPr>
                <w:spacing w:val="16"/>
                <w:sz w:val="16"/>
              </w:rPr>
              <w:t xml:space="preserve">marginación </w:t>
            </w:r>
            <w:r>
              <w:rPr>
                <w:sz w:val="16"/>
              </w:rPr>
              <w:t xml:space="preserve">o </w:t>
            </w:r>
            <w:r>
              <w:rPr>
                <w:spacing w:val="9"/>
                <w:sz w:val="16"/>
              </w:rPr>
              <w:t xml:space="preserve">en </w:t>
            </w:r>
            <w:r>
              <w:rPr>
                <w:sz w:val="16"/>
              </w:rPr>
              <w:t xml:space="preserve">situaciones de vulnerabilidad por </w:t>
            </w:r>
            <w:r>
              <w:rPr>
                <w:spacing w:val="5"/>
                <w:sz w:val="16"/>
              </w:rPr>
              <w:t xml:space="preserve">condición </w:t>
            </w:r>
            <w:r>
              <w:rPr>
                <w:spacing w:val="3"/>
                <w:sz w:val="16"/>
              </w:rPr>
              <w:t xml:space="preserve">de </w:t>
            </w:r>
            <w:r>
              <w:rPr>
                <w:spacing w:val="5"/>
                <w:sz w:val="16"/>
              </w:rPr>
              <w:t xml:space="preserve">salud, </w:t>
            </w:r>
            <w:r>
              <w:rPr>
                <w:spacing w:val="4"/>
                <w:sz w:val="16"/>
              </w:rPr>
              <w:t xml:space="preserve">según los </w:t>
            </w:r>
            <w:r>
              <w:rPr>
                <w:sz w:val="16"/>
              </w:rPr>
              <w:t xml:space="preserve">mecanismos establecidos por la Secretaría de Bienestar; así como  la proporcionalidad y características del daño que determine la instancia correspondiente en </w:t>
            </w:r>
            <w:r>
              <w:rPr>
                <w:spacing w:val="2"/>
                <w:sz w:val="16"/>
              </w:rPr>
              <w:t>colabor</w:t>
            </w:r>
            <w:r>
              <w:rPr>
                <w:spacing w:val="2"/>
                <w:sz w:val="16"/>
              </w:rPr>
              <w:t xml:space="preserve">ación </w:t>
            </w:r>
            <w:r>
              <w:rPr>
                <w:spacing w:val="23"/>
                <w:sz w:val="16"/>
              </w:rPr>
              <w:t xml:space="preserve">con </w:t>
            </w:r>
            <w:r>
              <w:rPr>
                <w:spacing w:val="17"/>
                <w:sz w:val="16"/>
              </w:rPr>
              <w:t xml:space="preserve">la </w:t>
            </w:r>
            <w:r>
              <w:rPr>
                <w:spacing w:val="32"/>
                <w:sz w:val="16"/>
              </w:rPr>
              <w:t xml:space="preserve">Subsecretaría </w:t>
            </w:r>
            <w:r>
              <w:rPr>
                <w:spacing w:val="17"/>
                <w:sz w:val="16"/>
              </w:rPr>
              <w:t xml:space="preserve">de </w:t>
            </w:r>
            <w:r>
              <w:rPr>
                <w:spacing w:val="8"/>
                <w:sz w:val="16"/>
              </w:rPr>
              <w:t xml:space="preserve">Ordenamiento </w:t>
            </w:r>
            <w:r>
              <w:rPr>
                <w:spacing w:val="6"/>
                <w:sz w:val="16"/>
              </w:rPr>
              <w:t xml:space="preserve">Territorial; </w:t>
            </w:r>
            <w:r>
              <w:rPr>
                <w:sz w:val="16"/>
              </w:rPr>
              <w:t xml:space="preserve">y, </w:t>
            </w:r>
            <w:r>
              <w:rPr>
                <w:spacing w:val="9"/>
                <w:sz w:val="16"/>
              </w:rPr>
              <w:t xml:space="preserve">la </w:t>
            </w:r>
            <w:r>
              <w:rPr>
                <w:sz w:val="16"/>
              </w:rPr>
              <w:t xml:space="preserve">existencia de una declaratoria de </w:t>
            </w:r>
            <w:r>
              <w:rPr>
                <w:spacing w:val="6"/>
                <w:sz w:val="16"/>
              </w:rPr>
              <w:t xml:space="preserve">desastre </w:t>
            </w:r>
            <w:r>
              <w:rPr>
                <w:spacing w:val="4"/>
                <w:sz w:val="16"/>
              </w:rPr>
              <w:t xml:space="preserve">por </w:t>
            </w:r>
            <w:r>
              <w:rPr>
                <w:spacing w:val="3"/>
                <w:sz w:val="16"/>
              </w:rPr>
              <w:t xml:space="preserve">la </w:t>
            </w:r>
            <w:r>
              <w:rPr>
                <w:spacing w:val="6"/>
                <w:sz w:val="16"/>
              </w:rPr>
              <w:t xml:space="preserve">Secretaría </w:t>
            </w:r>
            <w:r>
              <w:rPr>
                <w:spacing w:val="3"/>
                <w:sz w:val="16"/>
              </w:rPr>
              <w:t xml:space="preserve">de </w:t>
            </w:r>
            <w:r>
              <w:rPr>
                <w:sz w:val="16"/>
              </w:rPr>
              <w:t>Gobernación</w:t>
            </w:r>
          </w:p>
        </w:tc>
      </w:tr>
      <w:tr w:rsidR="00A63476">
        <w:trPr>
          <w:trHeight w:val="2397"/>
        </w:trPr>
        <w:tc>
          <w:tcPr>
            <w:tcW w:w="1985" w:type="dxa"/>
            <w:tcBorders>
              <w:bottom w:val="nil"/>
            </w:tcBorders>
          </w:tcPr>
          <w:p w:rsidR="00A63476" w:rsidRDefault="00A63476">
            <w:pPr>
              <w:pStyle w:val="TableParagraph"/>
              <w:rPr>
                <w:b/>
                <w:sz w:val="18"/>
              </w:rPr>
            </w:pPr>
          </w:p>
          <w:p w:rsidR="00A63476" w:rsidRDefault="00A63476">
            <w:pPr>
              <w:pStyle w:val="TableParagraph"/>
              <w:rPr>
                <w:b/>
                <w:sz w:val="18"/>
              </w:rPr>
            </w:pPr>
          </w:p>
          <w:p w:rsidR="00A63476" w:rsidRDefault="00A63476">
            <w:pPr>
              <w:pStyle w:val="TableParagraph"/>
              <w:rPr>
                <w:b/>
                <w:sz w:val="18"/>
              </w:rPr>
            </w:pPr>
          </w:p>
          <w:p w:rsidR="00A63476" w:rsidRDefault="00A63476">
            <w:pPr>
              <w:pStyle w:val="TableParagraph"/>
              <w:rPr>
                <w:b/>
                <w:sz w:val="18"/>
              </w:rPr>
            </w:pPr>
          </w:p>
          <w:p w:rsidR="00A63476" w:rsidRDefault="00A63476">
            <w:pPr>
              <w:pStyle w:val="TableParagraph"/>
              <w:rPr>
                <w:b/>
                <w:sz w:val="18"/>
              </w:rPr>
            </w:pPr>
          </w:p>
          <w:p w:rsidR="00A63476" w:rsidRDefault="00A63476">
            <w:pPr>
              <w:pStyle w:val="TableParagraph"/>
              <w:rPr>
                <w:b/>
                <w:sz w:val="18"/>
              </w:rPr>
            </w:pPr>
          </w:p>
          <w:p w:rsidR="00A63476" w:rsidRDefault="00A63476">
            <w:pPr>
              <w:pStyle w:val="TableParagraph"/>
              <w:spacing w:before="1"/>
              <w:rPr>
                <w:b/>
                <w:sz w:val="26"/>
              </w:rPr>
            </w:pPr>
          </w:p>
          <w:p w:rsidR="00A63476" w:rsidRDefault="00D22874">
            <w:pPr>
              <w:pStyle w:val="TableParagraph"/>
              <w:spacing w:line="288" w:lineRule="auto"/>
              <w:ind w:left="91" w:right="138"/>
              <w:rPr>
                <w:sz w:val="16"/>
              </w:rPr>
            </w:pPr>
            <w:r>
              <w:rPr>
                <w:sz w:val="16"/>
              </w:rPr>
              <w:t>Cualesquiera de las tres opciones:</w:t>
            </w:r>
          </w:p>
          <w:p w:rsidR="00A63476" w:rsidRDefault="00D22874">
            <w:pPr>
              <w:pStyle w:val="TableParagraph"/>
              <w:spacing w:before="83" w:line="200" w:lineRule="atLeast"/>
              <w:ind w:left="91" w:right="289"/>
              <w:rPr>
                <w:sz w:val="16"/>
              </w:rPr>
            </w:pPr>
            <w:r>
              <w:rPr>
                <w:sz w:val="16"/>
              </w:rPr>
              <w:t>a) Subsidio CONAVI asociado con subsidio</w:t>
            </w:r>
          </w:p>
        </w:tc>
        <w:tc>
          <w:tcPr>
            <w:tcW w:w="1252" w:type="dxa"/>
          </w:tcPr>
          <w:p w:rsidR="00A63476" w:rsidRDefault="00A63476">
            <w:pPr>
              <w:pStyle w:val="TableParagraph"/>
              <w:rPr>
                <w:b/>
                <w:sz w:val="18"/>
              </w:rPr>
            </w:pPr>
          </w:p>
          <w:p w:rsidR="00A63476" w:rsidRDefault="00A63476">
            <w:pPr>
              <w:pStyle w:val="TableParagraph"/>
              <w:rPr>
                <w:b/>
                <w:sz w:val="18"/>
              </w:rPr>
            </w:pPr>
          </w:p>
          <w:p w:rsidR="00A63476" w:rsidRDefault="00A63476">
            <w:pPr>
              <w:pStyle w:val="TableParagraph"/>
              <w:rPr>
                <w:b/>
                <w:sz w:val="18"/>
              </w:rPr>
            </w:pPr>
          </w:p>
          <w:p w:rsidR="00A63476" w:rsidRDefault="00A63476">
            <w:pPr>
              <w:pStyle w:val="TableParagraph"/>
              <w:spacing w:before="9"/>
              <w:rPr>
                <w:b/>
                <w:sz w:val="15"/>
              </w:rPr>
            </w:pPr>
          </w:p>
          <w:p w:rsidR="00A63476" w:rsidRDefault="00D22874">
            <w:pPr>
              <w:pStyle w:val="TableParagraph"/>
              <w:spacing w:line="278" w:lineRule="auto"/>
              <w:ind w:left="86" w:right="246"/>
              <w:rPr>
                <w:b/>
                <w:sz w:val="16"/>
              </w:rPr>
            </w:pPr>
            <w:r>
              <w:rPr>
                <w:b/>
                <w:sz w:val="16"/>
              </w:rPr>
              <w:t>Vivienda en Zonas Urbanas Marginadas</w:t>
            </w:r>
          </w:p>
        </w:tc>
        <w:tc>
          <w:tcPr>
            <w:tcW w:w="2726" w:type="dxa"/>
          </w:tcPr>
          <w:p w:rsidR="00A63476" w:rsidRDefault="00D22874">
            <w:pPr>
              <w:pStyle w:val="TableParagraph"/>
              <w:spacing w:before="102" w:line="288" w:lineRule="auto"/>
              <w:ind w:left="75" w:right="178"/>
              <w:rPr>
                <w:sz w:val="16"/>
              </w:rPr>
            </w:pPr>
            <w:r>
              <w:rPr>
                <w:sz w:val="16"/>
              </w:rPr>
              <w:t>Vivienda en Espacio Edificable Rural o Urbano.</w:t>
            </w:r>
          </w:p>
          <w:p w:rsidR="00A63476" w:rsidRDefault="00D22874">
            <w:pPr>
              <w:pStyle w:val="TableParagraph"/>
              <w:spacing w:before="99"/>
              <w:ind w:left="75"/>
              <w:rPr>
                <w:sz w:val="16"/>
              </w:rPr>
            </w:pPr>
            <w:r>
              <w:rPr>
                <w:sz w:val="16"/>
              </w:rPr>
              <w:t>Vivienda en Conjunto Habitacional;</w:t>
            </w:r>
          </w:p>
          <w:p w:rsidR="00A63476" w:rsidRDefault="00D22874">
            <w:pPr>
              <w:pStyle w:val="TableParagraph"/>
              <w:spacing w:before="136" w:line="261" w:lineRule="auto"/>
              <w:ind w:left="75" w:right="708"/>
              <w:rPr>
                <w:sz w:val="16"/>
              </w:rPr>
            </w:pPr>
            <w:r>
              <w:rPr>
                <w:sz w:val="16"/>
              </w:rPr>
              <w:t>Mejoramiento de Unidades Habitacionales</w:t>
            </w:r>
          </w:p>
          <w:p w:rsidR="00A63476" w:rsidRDefault="00D22874">
            <w:pPr>
              <w:pStyle w:val="TableParagraph"/>
              <w:spacing w:before="119" w:line="288" w:lineRule="auto"/>
              <w:ind w:left="75" w:right="192"/>
              <w:rPr>
                <w:sz w:val="16"/>
              </w:rPr>
            </w:pPr>
            <w:r>
              <w:rPr>
                <w:sz w:val="16"/>
              </w:rPr>
              <w:t>En caso de que fuera necesaria la reubicación de viv</w:t>
            </w:r>
            <w:r>
              <w:rPr>
                <w:sz w:val="16"/>
              </w:rPr>
              <w:t>ienda, podrá optarse por la modalidad de Adquisición de Vivienda.</w:t>
            </w:r>
          </w:p>
        </w:tc>
        <w:tc>
          <w:tcPr>
            <w:tcW w:w="2727" w:type="dxa"/>
          </w:tcPr>
          <w:p w:rsidR="00A63476" w:rsidRDefault="00A63476">
            <w:pPr>
              <w:pStyle w:val="TableParagraph"/>
              <w:rPr>
                <w:b/>
                <w:sz w:val="18"/>
              </w:rPr>
            </w:pPr>
          </w:p>
          <w:p w:rsidR="00A63476" w:rsidRDefault="00A63476">
            <w:pPr>
              <w:pStyle w:val="TableParagraph"/>
              <w:spacing w:before="2"/>
              <w:rPr>
                <w:b/>
              </w:rPr>
            </w:pPr>
          </w:p>
          <w:p w:rsidR="00A63476" w:rsidRDefault="00D22874">
            <w:pPr>
              <w:pStyle w:val="TableParagraph"/>
              <w:spacing w:line="283" w:lineRule="auto"/>
              <w:ind w:left="88" w:right="69"/>
              <w:jc w:val="both"/>
              <w:rPr>
                <w:sz w:val="16"/>
              </w:rPr>
            </w:pPr>
            <w:r>
              <w:rPr>
                <w:sz w:val="16"/>
              </w:rPr>
              <w:t xml:space="preserve">Población que habita en zonas urbanas con alto o muy alto índice de marginación y/o en zonas </w:t>
            </w:r>
            <w:r>
              <w:rPr>
                <w:spacing w:val="-5"/>
                <w:sz w:val="16"/>
              </w:rPr>
              <w:t xml:space="preserve">con </w:t>
            </w:r>
            <w:r>
              <w:rPr>
                <w:spacing w:val="12"/>
                <w:sz w:val="16"/>
              </w:rPr>
              <w:t xml:space="preserve">altos índices </w:t>
            </w:r>
            <w:r>
              <w:rPr>
                <w:spacing w:val="7"/>
                <w:sz w:val="16"/>
              </w:rPr>
              <w:t xml:space="preserve">de </w:t>
            </w:r>
            <w:r>
              <w:rPr>
                <w:spacing w:val="13"/>
                <w:sz w:val="16"/>
              </w:rPr>
              <w:t xml:space="preserve">violencia </w:t>
            </w:r>
            <w:r>
              <w:rPr>
                <w:sz w:val="16"/>
              </w:rPr>
              <w:t xml:space="preserve">e </w:t>
            </w:r>
            <w:r>
              <w:rPr>
                <w:spacing w:val="3"/>
                <w:sz w:val="16"/>
              </w:rPr>
              <w:t xml:space="preserve">inseguridad, según </w:t>
            </w:r>
            <w:r>
              <w:rPr>
                <w:spacing w:val="2"/>
                <w:sz w:val="16"/>
              </w:rPr>
              <w:t xml:space="preserve">los </w:t>
            </w:r>
            <w:r>
              <w:rPr>
                <w:sz w:val="16"/>
              </w:rPr>
              <w:t xml:space="preserve">criterios establecidos por la </w:t>
            </w:r>
            <w:r>
              <w:rPr>
                <w:spacing w:val="-3"/>
                <w:sz w:val="16"/>
              </w:rPr>
              <w:t xml:space="preserve">Subsecretaría  </w:t>
            </w:r>
            <w:r>
              <w:rPr>
                <w:sz w:val="16"/>
              </w:rPr>
              <w:t>de Desarrollo Urbano y</w:t>
            </w:r>
            <w:r>
              <w:rPr>
                <w:spacing w:val="-2"/>
                <w:sz w:val="16"/>
              </w:rPr>
              <w:t xml:space="preserve"> </w:t>
            </w:r>
            <w:r>
              <w:rPr>
                <w:sz w:val="16"/>
              </w:rPr>
              <w:t>Vivienda.</w:t>
            </w:r>
          </w:p>
        </w:tc>
      </w:tr>
    </w:tbl>
    <w:p w:rsidR="00A63476" w:rsidRDefault="00A63476">
      <w:pPr>
        <w:spacing w:line="283" w:lineRule="auto"/>
        <w:jc w:val="both"/>
        <w:rPr>
          <w:sz w:val="16"/>
        </w:rPr>
        <w:sectPr w:rsidR="00A63476">
          <w:pgSz w:w="12240" w:h="15840"/>
          <w:pgMar w:top="920" w:right="1040" w:bottom="280" w:left="1180" w:header="700" w:footer="0" w:gutter="0"/>
          <w:cols w:space="720"/>
        </w:sectPr>
      </w:pPr>
    </w:p>
    <w:p w:rsidR="00A63476" w:rsidRDefault="00A63476">
      <w:pPr>
        <w:pStyle w:val="Textoindependiente"/>
        <w:ind w:left="0" w:right="0" w:firstLine="0"/>
        <w:jc w:val="left"/>
        <w:rPr>
          <w:b/>
          <w:sz w:val="19"/>
        </w:rPr>
      </w:pPr>
    </w:p>
    <w:tbl>
      <w:tblPr>
        <w:tblStyle w:val="TableNormal"/>
        <w:tblW w:w="0" w:type="auto"/>
        <w:tblInd w:w="673" w:type="dxa"/>
        <w:tblBorders>
          <w:top w:val="single" w:sz="4" w:space="0" w:color="7F7F7F"/>
          <w:left w:val="single" w:sz="4" w:space="0" w:color="7F7F7F"/>
          <w:bottom w:val="single" w:sz="4" w:space="0" w:color="7F7F7F"/>
          <w:right w:val="single" w:sz="4" w:space="0" w:color="7F7F7F"/>
          <w:insideH w:val="single" w:sz="4" w:space="0" w:color="7F7F7F"/>
          <w:insideV w:val="single" w:sz="4" w:space="0" w:color="7F7F7F"/>
        </w:tblBorders>
        <w:tblLayout w:type="fixed"/>
        <w:tblLook w:val="01E0" w:firstRow="1" w:lastRow="1" w:firstColumn="1" w:lastColumn="1" w:noHBand="0" w:noVBand="0"/>
      </w:tblPr>
      <w:tblGrid>
        <w:gridCol w:w="1985"/>
        <w:gridCol w:w="1252"/>
        <w:gridCol w:w="2726"/>
        <w:gridCol w:w="2727"/>
      </w:tblGrid>
      <w:tr w:rsidR="00A63476">
        <w:trPr>
          <w:trHeight w:val="1749"/>
        </w:trPr>
        <w:tc>
          <w:tcPr>
            <w:tcW w:w="1985" w:type="dxa"/>
            <w:vMerge w:val="restart"/>
            <w:tcBorders>
              <w:top w:val="nil"/>
              <w:bottom w:val="nil"/>
            </w:tcBorders>
          </w:tcPr>
          <w:p w:rsidR="00A63476" w:rsidRDefault="00D22874">
            <w:pPr>
              <w:pStyle w:val="TableParagraph"/>
              <w:spacing w:before="108" w:line="261" w:lineRule="auto"/>
              <w:ind w:left="91" w:right="138"/>
              <w:rPr>
                <w:sz w:val="16"/>
              </w:rPr>
            </w:pPr>
            <w:r>
              <w:rPr>
                <w:sz w:val="16"/>
              </w:rPr>
              <w:t xml:space="preserve">OREVI más </w:t>
            </w:r>
            <w:r>
              <w:rPr>
                <w:spacing w:val="-3"/>
                <w:sz w:val="16"/>
              </w:rPr>
              <w:t xml:space="preserve">ahorro </w:t>
            </w:r>
            <w:r>
              <w:rPr>
                <w:sz w:val="16"/>
              </w:rPr>
              <w:t>previo</w:t>
            </w:r>
          </w:p>
          <w:p w:rsidR="00A63476" w:rsidRDefault="00D22874">
            <w:pPr>
              <w:pStyle w:val="TableParagraph"/>
              <w:numPr>
                <w:ilvl w:val="0"/>
                <w:numId w:val="44"/>
              </w:numPr>
              <w:tabs>
                <w:tab w:val="left" w:pos="279"/>
              </w:tabs>
              <w:spacing w:before="119" w:line="288" w:lineRule="auto"/>
              <w:ind w:left="91" w:right="226" w:firstLine="0"/>
              <w:rPr>
                <w:sz w:val="16"/>
              </w:rPr>
            </w:pPr>
            <w:r>
              <w:rPr>
                <w:sz w:val="16"/>
              </w:rPr>
              <w:t xml:space="preserve">Crédito Entidad Ejecutora más </w:t>
            </w:r>
            <w:r>
              <w:rPr>
                <w:spacing w:val="-3"/>
                <w:sz w:val="16"/>
              </w:rPr>
              <w:t xml:space="preserve">subsidio </w:t>
            </w:r>
            <w:r>
              <w:rPr>
                <w:sz w:val="16"/>
              </w:rPr>
              <w:t>CONAVI más ahorro previo.</w:t>
            </w:r>
          </w:p>
          <w:p w:rsidR="00A63476" w:rsidRDefault="00D22874">
            <w:pPr>
              <w:pStyle w:val="TableParagraph"/>
              <w:numPr>
                <w:ilvl w:val="0"/>
                <w:numId w:val="44"/>
              </w:numPr>
              <w:tabs>
                <w:tab w:val="left" w:pos="270"/>
              </w:tabs>
              <w:spacing w:before="96" w:line="261" w:lineRule="auto"/>
              <w:ind w:left="91" w:right="443" w:firstLine="0"/>
              <w:rPr>
                <w:sz w:val="16"/>
              </w:rPr>
            </w:pPr>
            <w:r>
              <w:rPr>
                <w:sz w:val="16"/>
              </w:rPr>
              <w:t xml:space="preserve">Subsidio </w:t>
            </w:r>
            <w:r>
              <w:rPr>
                <w:spacing w:val="-5"/>
                <w:sz w:val="16"/>
              </w:rPr>
              <w:t xml:space="preserve">CONAVI </w:t>
            </w:r>
            <w:r>
              <w:rPr>
                <w:sz w:val="16"/>
              </w:rPr>
              <w:t>100%</w:t>
            </w:r>
          </w:p>
        </w:tc>
        <w:tc>
          <w:tcPr>
            <w:tcW w:w="1252" w:type="dxa"/>
            <w:shd w:val="clear" w:color="auto" w:fill="F2F2F2"/>
          </w:tcPr>
          <w:p w:rsidR="00A63476" w:rsidRDefault="00A63476">
            <w:pPr>
              <w:pStyle w:val="TableParagraph"/>
              <w:rPr>
                <w:b/>
                <w:sz w:val="18"/>
              </w:rPr>
            </w:pPr>
          </w:p>
          <w:p w:rsidR="00A63476" w:rsidRDefault="00A63476">
            <w:pPr>
              <w:pStyle w:val="TableParagraph"/>
              <w:spacing w:before="7"/>
              <w:rPr>
                <w:b/>
              </w:rPr>
            </w:pPr>
          </w:p>
          <w:p w:rsidR="00A63476" w:rsidRDefault="00D22874">
            <w:pPr>
              <w:pStyle w:val="TableParagraph"/>
              <w:spacing w:before="1" w:line="278" w:lineRule="auto"/>
              <w:ind w:left="86" w:right="246"/>
              <w:rPr>
                <w:b/>
                <w:sz w:val="16"/>
              </w:rPr>
            </w:pPr>
            <w:r>
              <w:rPr>
                <w:b/>
                <w:sz w:val="16"/>
              </w:rPr>
              <w:t>Vivienda en Zonas Rurales y Urbanas</w:t>
            </w:r>
          </w:p>
        </w:tc>
        <w:tc>
          <w:tcPr>
            <w:tcW w:w="2726" w:type="dxa"/>
            <w:shd w:val="clear" w:color="auto" w:fill="F2F2F2"/>
          </w:tcPr>
          <w:p w:rsidR="00A63476" w:rsidRDefault="00D22874">
            <w:pPr>
              <w:pStyle w:val="TableParagraph"/>
              <w:spacing w:before="108" w:line="288" w:lineRule="auto"/>
              <w:ind w:left="75" w:right="178"/>
              <w:rPr>
                <w:sz w:val="16"/>
              </w:rPr>
            </w:pPr>
            <w:r>
              <w:rPr>
                <w:sz w:val="16"/>
              </w:rPr>
              <w:t>Vivienda en Espacio Edificable Rural o Urbano;</w:t>
            </w:r>
          </w:p>
          <w:p w:rsidR="00A63476" w:rsidRDefault="00D22874">
            <w:pPr>
              <w:pStyle w:val="TableParagraph"/>
              <w:spacing w:before="78" w:line="417" w:lineRule="auto"/>
              <w:ind w:left="75" w:right="79"/>
              <w:rPr>
                <w:sz w:val="16"/>
              </w:rPr>
            </w:pPr>
            <w:r>
              <w:rPr>
                <w:sz w:val="16"/>
              </w:rPr>
              <w:t>Vivienda en Conjunto Habitacional; Adquisición de Vivienda; y,</w:t>
            </w:r>
          </w:p>
          <w:p w:rsidR="00A63476" w:rsidRDefault="00D22874">
            <w:pPr>
              <w:pStyle w:val="TableParagraph"/>
              <w:spacing w:line="288" w:lineRule="auto"/>
              <w:ind w:left="75" w:right="708"/>
              <w:rPr>
                <w:sz w:val="16"/>
              </w:rPr>
            </w:pPr>
            <w:r>
              <w:rPr>
                <w:sz w:val="16"/>
              </w:rPr>
              <w:t>Mejoramiento de Unidades Habitacionales</w:t>
            </w:r>
          </w:p>
        </w:tc>
        <w:tc>
          <w:tcPr>
            <w:tcW w:w="2727" w:type="dxa"/>
            <w:vMerge w:val="restart"/>
            <w:tcBorders>
              <w:bottom w:val="nil"/>
            </w:tcBorders>
            <w:shd w:val="clear" w:color="auto" w:fill="F2F2F2"/>
          </w:tcPr>
          <w:p w:rsidR="00A63476" w:rsidRDefault="00A63476">
            <w:pPr>
              <w:pStyle w:val="TableParagraph"/>
              <w:rPr>
                <w:b/>
                <w:sz w:val="18"/>
              </w:rPr>
            </w:pPr>
          </w:p>
          <w:p w:rsidR="00A63476" w:rsidRDefault="00A63476">
            <w:pPr>
              <w:pStyle w:val="TableParagraph"/>
              <w:rPr>
                <w:b/>
                <w:sz w:val="18"/>
              </w:rPr>
            </w:pPr>
          </w:p>
          <w:p w:rsidR="00A63476" w:rsidRDefault="00A63476">
            <w:pPr>
              <w:pStyle w:val="TableParagraph"/>
              <w:rPr>
                <w:b/>
                <w:sz w:val="18"/>
              </w:rPr>
            </w:pPr>
          </w:p>
          <w:p w:rsidR="00A63476" w:rsidRDefault="00A63476">
            <w:pPr>
              <w:pStyle w:val="TableParagraph"/>
              <w:rPr>
                <w:b/>
                <w:sz w:val="18"/>
              </w:rPr>
            </w:pPr>
          </w:p>
          <w:p w:rsidR="00A63476" w:rsidRDefault="00A63476">
            <w:pPr>
              <w:pStyle w:val="TableParagraph"/>
              <w:spacing w:before="4"/>
              <w:rPr>
                <w:b/>
                <w:sz w:val="17"/>
              </w:rPr>
            </w:pPr>
          </w:p>
          <w:p w:rsidR="00A63476" w:rsidRDefault="00D22874">
            <w:pPr>
              <w:pStyle w:val="TableParagraph"/>
              <w:spacing w:line="283" w:lineRule="auto"/>
              <w:ind w:left="88" w:right="47"/>
              <w:jc w:val="both"/>
              <w:rPr>
                <w:sz w:val="16"/>
              </w:rPr>
            </w:pPr>
            <w:r>
              <w:rPr>
                <w:sz w:val="16"/>
              </w:rPr>
              <w:t xml:space="preserve">Personas que habiten en zonas de </w:t>
            </w:r>
            <w:r>
              <w:rPr>
                <w:spacing w:val="18"/>
                <w:sz w:val="16"/>
              </w:rPr>
              <w:t xml:space="preserve">población </w:t>
            </w:r>
            <w:r>
              <w:rPr>
                <w:spacing w:val="19"/>
                <w:sz w:val="16"/>
              </w:rPr>
              <w:t xml:space="preserve">mayoritariamente </w:t>
            </w:r>
            <w:r>
              <w:rPr>
                <w:sz w:val="16"/>
              </w:rPr>
              <w:t>indígena, zonas con mayor grado de marginación o zonas con altos índices de violencia, según los mecanismos establecidos por la Secretaría de</w:t>
            </w:r>
            <w:r>
              <w:rPr>
                <w:spacing w:val="-1"/>
                <w:sz w:val="16"/>
              </w:rPr>
              <w:t xml:space="preserve"> </w:t>
            </w:r>
            <w:r>
              <w:rPr>
                <w:sz w:val="16"/>
              </w:rPr>
              <w:t>Bienestar</w:t>
            </w:r>
          </w:p>
        </w:tc>
      </w:tr>
      <w:tr w:rsidR="00A63476">
        <w:trPr>
          <w:trHeight w:val="1232"/>
        </w:trPr>
        <w:tc>
          <w:tcPr>
            <w:tcW w:w="1985" w:type="dxa"/>
            <w:vMerge/>
            <w:tcBorders>
              <w:top w:val="nil"/>
              <w:bottom w:val="nil"/>
            </w:tcBorders>
          </w:tcPr>
          <w:p w:rsidR="00A63476" w:rsidRDefault="00A63476">
            <w:pPr>
              <w:rPr>
                <w:sz w:val="2"/>
                <w:szCs w:val="2"/>
              </w:rPr>
            </w:pPr>
          </w:p>
        </w:tc>
        <w:tc>
          <w:tcPr>
            <w:tcW w:w="1252" w:type="dxa"/>
            <w:tcBorders>
              <w:bottom w:val="nil"/>
            </w:tcBorders>
          </w:tcPr>
          <w:p w:rsidR="00A63476" w:rsidRDefault="00A63476">
            <w:pPr>
              <w:pStyle w:val="TableParagraph"/>
              <w:rPr>
                <w:b/>
                <w:sz w:val="18"/>
              </w:rPr>
            </w:pPr>
          </w:p>
          <w:p w:rsidR="00A63476" w:rsidRDefault="00A63476">
            <w:pPr>
              <w:pStyle w:val="TableParagraph"/>
              <w:rPr>
                <w:b/>
                <w:sz w:val="18"/>
              </w:rPr>
            </w:pPr>
          </w:p>
          <w:p w:rsidR="00A63476" w:rsidRDefault="00A63476">
            <w:pPr>
              <w:pStyle w:val="TableParagraph"/>
              <w:spacing w:before="1"/>
              <w:rPr>
                <w:b/>
                <w:sz w:val="15"/>
              </w:rPr>
            </w:pPr>
          </w:p>
          <w:p w:rsidR="00A63476" w:rsidRDefault="00D22874">
            <w:pPr>
              <w:pStyle w:val="TableParagraph"/>
              <w:ind w:left="86"/>
              <w:rPr>
                <w:b/>
                <w:sz w:val="16"/>
              </w:rPr>
            </w:pPr>
            <w:r>
              <w:rPr>
                <w:b/>
                <w:sz w:val="16"/>
              </w:rPr>
              <w:t>Vivienda en</w:t>
            </w:r>
          </w:p>
          <w:p w:rsidR="00A63476" w:rsidRDefault="00D22874">
            <w:pPr>
              <w:pStyle w:val="TableParagraph"/>
              <w:spacing w:before="36" w:line="261" w:lineRule="auto"/>
              <w:ind w:left="86" w:right="175"/>
              <w:rPr>
                <w:b/>
                <w:sz w:val="16"/>
              </w:rPr>
            </w:pPr>
            <w:r>
              <w:rPr>
                <w:b/>
                <w:sz w:val="16"/>
              </w:rPr>
              <w:t>Proyectos Estratégicos</w:t>
            </w:r>
          </w:p>
        </w:tc>
        <w:tc>
          <w:tcPr>
            <w:tcW w:w="2726" w:type="dxa"/>
            <w:tcBorders>
              <w:bottom w:val="nil"/>
            </w:tcBorders>
          </w:tcPr>
          <w:p w:rsidR="00A63476" w:rsidRDefault="00D22874">
            <w:pPr>
              <w:pStyle w:val="TableParagraph"/>
              <w:spacing w:before="108"/>
              <w:ind w:left="75"/>
              <w:rPr>
                <w:sz w:val="16"/>
              </w:rPr>
            </w:pPr>
            <w:r>
              <w:rPr>
                <w:sz w:val="16"/>
              </w:rPr>
              <w:t>Vivienda en Conjunto Habitacional;</w:t>
            </w:r>
          </w:p>
          <w:p w:rsidR="00A63476" w:rsidRDefault="00D22874">
            <w:pPr>
              <w:pStyle w:val="TableParagraph"/>
              <w:spacing w:before="136" w:line="261" w:lineRule="auto"/>
              <w:ind w:left="75" w:right="178"/>
              <w:rPr>
                <w:sz w:val="16"/>
              </w:rPr>
            </w:pPr>
            <w:r>
              <w:rPr>
                <w:sz w:val="16"/>
              </w:rPr>
              <w:t>Vivienda en Espacio Edificable Rural o Urbano;</w:t>
            </w:r>
          </w:p>
          <w:p w:rsidR="00A63476" w:rsidRDefault="00D22874">
            <w:pPr>
              <w:pStyle w:val="TableParagraph"/>
              <w:spacing w:before="119"/>
              <w:ind w:left="75"/>
              <w:rPr>
                <w:sz w:val="16"/>
              </w:rPr>
            </w:pPr>
            <w:r>
              <w:rPr>
                <w:sz w:val="16"/>
              </w:rPr>
              <w:t>Adquisición de Vivienda; y,</w:t>
            </w:r>
          </w:p>
        </w:tc>
        <w:tc>
          <w:tcPr>
            <w:tcW w:w="2727" w:type="dxa"/>
            <w:vMerge/>
            <w:tcBorders>
              <w:top w:val="nil"/>
              <w:bottom w:val="nil"/>
            </w:tcBorders>
            <w:shd w:val="clear" w:color="auto" w:fill="F2F2F2"/>
          </w:tcPr>
          <w:p w:rsidR="00A63476" w:rsidRDefault="00A63476">
            <w:pPr>
              <w:rPr>
                <w:sz w:val="2"/>
                <w:szCs w:val="2"/>
              </w:rPr>
            </w:pPr>
          </w:p>
        </w:tc>
      </w:tr>
      <w:tr w:rsidR="00A63476">
        <w:trPr>
          <w:trHeight w:val="516"/>
        </w:trPr>
        <w:tc>
          <w:tcPr>
            <w:tcW w:w="1985" w:type="dxa"/>
            <w:tcBorders>
              <w:top w:val="nil"/>
            </w:tcBorders>
          </w:tcPr>
          <w:p w:rsidR="00A63476" w:rsidRDefault="00A63476">
            <w:pPr>
              <w:pStyle w:val="TableParagraph"/>
              <w:rPr>
                <w:rFonts w:ascii="Times New Roman"/>
                <w:sz w:val="16"/>
              </w:rPr>
            </w:pPr>
          </w:p>
        </w:tc>
        <w:tc>
          <w:tcPr>
            <w:tcW w:w="1252" w:type="dxa"/>
            <w:tcBorders>
              <w:top w:val="nil"/>
            </w:tcBorders>
          </w:tcPr>
          <w:p w:rsidR="00A63476" w:rsidRDefault="00A63476">
            <w:pPr>
              <w:pStyle w:val="TableParagraph"/>
              <w:rPr>
                <w:rFonts w:ascii="Times New Roman"/>
                <w:sz w:val="16"/>
              </w:rPr>
            </w:pPr>
          </w:p>
        </w:tc>
        <w:tc>
          <w:tcPr>
            <w:tcW w:w="2726" w:type="dxa"/>
            <w:tcBorders>
              <w:top w:val="nil"/>
            </w:tcBorders>
          </w:tcPr>
          <w:p w:rsidR="00A63476" w:rsidRDefault="00D22874">
            <w:pPr>
              <w:pStyle w:val="TableParagraph"/>
              <w:spacing w:before="35" w:line="288" w:lineRule="auto"/>
              <w:ind w:left="75" w:right="708"/>
              <w:rPr>
                <w:sz w:val="16"/>
              </w:rPr>
            </w:pPr>
            <w:r>
              <w:rPr>
                <w:sz w:val="16"/>
              </w:rPr>
              <w:t>Mejoramiento de Unidades Habitacionales.</w:t>
            </w:r>
          </w:p>
        </w:tc>
        <w:tc>
          <w:tcPr>
            <w:tcW w:w="2727" w:type="dxa"/>
            <w:tcBorders>
              <w:top w:val="nil"/>
            </w:tcBorders>
            <w:shd w:val="clear" w:color="auto" w:fill="F2F2F2"/>
          </w:tcPr>
          <w:p w:rsidR="00A63476" w:rsidRDefault="00A63476">
            <w:pPr>
              <w:pStyle w:val="TableParagraph"/>
              <w:rPr>
                <w:rFonts w:ascii="Times New Roman"/>
                <w:sz w:val="16"/>
              </w:rPr>
            </w:pPr>
          </w:p>
        </w:tc>
      </w:tr>
    </w:tbl>
    <w:p w:rsidR="00A63476" w:rsidRDefault="00A63476">
      <w:pPr>
        <w:pStyle w:val="Textoindependiente"/>
        <w:ind w:left="0" w:right="0" w:firstLine="0"/>
        <w:jc w:val="left"/>
        <w:rPr>
          <w:b/>
          <w:sz w:val="20"/>
        </w:rPr>
      </w:pPr>
    </w:p>
    <w:p w:rsidR="00A63476" w:rsidRDefault="00A63476">
      <w:pPr>
        <w:pStyle w:val="Textoindependiente"/>
        <w:spacing w:before="1"/>
        <w:ind w:left="0" w:right="0" w:firstLine="0"/>
        <w:jc w:val="left"/>
        <w:rPr>
          <w:b/>
          <w:sz w:val="19"/>
        </w:rPr>
      </w:pPr>
    </w:p>
    <w:p w:rsidR="00A63476" w:rsidRDefault="00D22874">
      <w:pPr>
        <w:pStyle w:val="Prrafodelista"/>
        <w:numPr>
          <w:ilvl w:val="0"/>
          <w:numId w:val="52"/>
        </w:numPr>
        <w:tabs>
          <w:tab w:val="left" w:pos="1001"/>
        </w:tabs>
        <w:spacing w:before="0"/>
        <w:rPr>
          <w:b/>
          <w:sz w:val="18"/>
        </w:rPr>
      </w:pPr>
      <w:r>
        <w:rPr>
          <w:b/>
          <w:sz w:val="18"/>
        </w:rPr>
        <w:t>COFINANCIAMIENTO</w:t>
      </w:r>
    </w:p>
    <w:p w:rsidR="00A63476" w:rsidRDefault="00D22874">
      <w:pPr>
        <w:spacing w:before="93"/>
        <w:ind w:left="800"/>
        <w:rPr>
          <w:sz w:val="14"/>
        </w:rPr>
      </w:pPr>
      <w:r>
        <w:rPr>
          <w:w w:val="105"/>
          <w:sz w:val="18"/>
        </w:rPr>
        <w:t>O</w:t>
      </w:r>
      <w:r>
        <w:rPr>
          <w:w w:val="105"/>
          <w:sz w:val="14"/>
        </w:rPr>
        <w:t>BJETO DE VERTIENTE</w:t>
      </w:r>
    </w:p>
    <w:p w:rsidR="00A63476" w:rsidRDefault="00D22874">
      <w:pPr>
        <w:pStyle w:val="Textoindependiente"/>
        <w:spacing w:before="113" w:line="254" w:lineRule="auto"/>
      </w:pPr>
      <w:r>
        <w:t>La vertiente de Cofinanciamiento de Vivienda se basa en la aportación de distintas fuentes de financiamiento para la dotación de vivienda. Las fuentes de financiamiento consisten en un crédito hipotecario del INFONAVIT o FOVISSSTE u otra entidad ejecutora,</w:t>
      </w:r>
      <w:r>
        <w:t xml:space="preserve"> complementado con subsidio y ahorro de la persona beneficiaria.</w:t>
      </w:r>
    </w:p>
    <w:p w:rsidR="00A63476" w:rsidRDefault="00D22874">
      <w:pPr>
        <w:pStyle w:val="Textoindependiente"/>
        <w:spacing w:before="102" w:line="247" w:lineRule="auto"/>
      </w:pPr>
      <w:r>
        <w:t xml:space="preserve">El esquema aplicable es: Crédito Entidad Ejecutora más subsidio </w:t>
      </w:r>
      <w:r>
        <w:rPr>
          <w:spacing w:val="-3"/>
        </w:rPr>
        <w:t xml:space="preserve">CONAVI </w:t>
      </w:r>
      <w:r>
        <w:t>más ahorro previo. Esto es, la población que cuente con un crédito aprobado por alguna Entidad Ejecutora, podrá compleme</w:t>
      </w:r>
      <w:r>
        <w:t xml:space="preserve">ntar su crédito con recursos del ahorro propio y con los subsidios de la </w:t>
      </w:r>
      <w:r>
        <w:rPr>
          <w:spacing w:val="-3"/>
        </w:rPr>
        <w:t xml:space="preserve">CONAVI </w:t>
      </w:r>
      <w:r>
        <w:rPr>
          <w:spacing w:val="-7"/>
        </w:rPr>
        <w:t xml:space="preserve">y, </w:t>
      </w:r>
      <w:r>
        <w:t>en su caso, aportaciones de cualquier ente público, social o privado.</w:t>
      </w:r>
    </w:p>
    <w:p w:rsidR="00A63476" w:rsidRDefault="00D22874">
      <w:pPr>
        <w:spacing w:before="108"/>
        <w:ind w:left="800"/>
        <w:rPr>
          <w:sz w:val="14"/>
        </w:rPr>
      </w:pPr>
      <w:r>
        <w:rPr>
          <w:w w:val="105"/>
          <w:sz w:val="18"/>
        </w:rPr>
        <w:t>P</w:t>
      </w:r>
      <w:r>
        <w:rPr>
          <w:w w:val="105"/>
          <w:sz w:val="14"/>
        </w:rPr>
        <w:t>OBLACIÓN BENEFICIARIA</w:t>
      </w:r>
    </w:p>
    <w:p w:rsidR="00A63476" w:rsidRDefault="00D22874">
      <w:pPr>
        <w:pStyle w:val="Textoindependiente"/>
        <w:spacing w:before="93"/>
        <w:ind w:left="800" w:right="0" w:firstLine="0"/>
        <w:jc w:val="left"/>
      </w:pPr>
      <w:r>
        <w:t>En esta vertiente de intervención, aplica las dos variantes de la población beneficiaria:</w:t>
      </w:r>
    </w:p>
    <w:p w:rsidR="00A63476" w:rsidRDefault="00D22874">
      <w:pPr>
        <w:pStyle w:val="Prrafodelista"/>
        <w:numPr>
          <w:ilvl w:val="0"/>
          <w:numId w:val="43"/>
        </w:numPr>
        <w:tabs>
          <w:tab w:val="left" w:pos="1600"/>
        </w:tabs>
        <w:spacing w:before="113" w:line="247" w:lineRule="auto"/>
        <w:ind w:right="655"/>
        <w:jc w:val="both"/>
        <w:rPr>
          <w:sz w:val="18"/>
        </w:rPr>
      </w:pPr>
      <w:r>
        <w:rPr>
          <w:sz w:val="18"/>
        </w:rPr>
        <w:t>Población derechohabiente de FOVISSSTE, INFONAVIT u otro organismo de seguridad social, federal, estatal o municipal, que cuenta con ingreso individual de hasta 2.8 v</w:t>
      </w:r>
      <w:r>
        <w:rPr>
          <w:sz w:val="18"/>
        </w:rPr>
        <w:t xml:space="preserve">eces el valor de la UMA, y con aportaciones al Fondo de Ahorro para el Retiro y a la Subcuenta Vivienda y con </w:t>
      </w:r>
      <w:r>
        <w:rPr>
          <w:spacing w:val="-8"/>
          <w:sz w:val="18"/>
        </w:rPr>
        <w:t xml:space="preserve">un </w:t>
      </w:r>
      <w:r>
        <w:rPr>
          <w:sz w:val="18"/>
        </w:rPr>
        <w:t>crédito para vivienda.</w:t>
      </w:r>
    </w:p>
    <w:p w:rsidR="00A63476" w:rsidRDefault="00D22874">
      <w:pPr>
        <w:pStyle w:val="Prrafodelista"/>
        <w:numPr>
          <w:ilvl w:val="0"/>
          <w:numId w:val="43"/>
        </w:numPr>
        <w:tabs>
          <w:tab w:val="left" w:pos="1600"/>
        </w:tabs>
        <w:spacing w:before="107" w:line="242" w:lineRule="auto"/>
        <w:ind w:right="655"/>
        <w:jc w:val="both"/>
        <w:rPr>
          <w:sz w:val="18"/>
        </w:rPr>
      </w:pPr>
      <w:r>
        <w:rPr>
          <w:sz w:val="18"/>
        </w:rPr>
        <w:t>Población no derechohabiente con ingreso individual o familiar hasta cinco (5) veces el valor de la UMA, que cuentan con</w:t>
      </w:r>
      <w:r>
        <w:rPr>
          <w:sz w:val="18"/>
        </w:rPr>
        <w:t xml:space="preserve"> un crédito aprobado por una Entidad Ejecutora y/o Financiera </w:t>
      </w:r>
      <w:r>
        <w:rPr>
          <w:spacing w:val="-4"/>
          <w:sz w:val="18"/>
        </w:rPr>
        <w:t xml:space="preserve">para </w:t>
      </w:r>
      <w:r>
        <w:rPr>
          <w:sz w:val="18"/>
        </w:rPr>
        <w:t>adquirir o mejorar su vivienda.</w:t>
      </w:r>
    </w:p>
    <w:p w:rsidR="00A63476" w:rsidRDefault="00D22874">
      <w:pPr>
        <w:pStyle w:val="Textoindependiente"/>
        <w:spacing w:before="113" w:line="247" w:lineRule="auto"/>
      </w:pPr>
      <w:r>
        <w:t>En ningún caso la intervención a la que se destine el subsidio podrá estar ubicada en zona de riesgo, entendiendo que no está bajo esa condición cuando la au</w:t>
      </w:r>
      <w:r>
        <w:t>toridad competente autorice o permita la ubicación del proyecto, en términos de los artículos 45 y 46 de la Ley General de Asentamientos Humanos, Ordenamiento Territorial y Desarrollo Urbano.</w:t>
      </w:r>
    </w:p>
    <w:p w:rsidR="00A63476" w:rsidRDefault="00D22874">
      <w:pPr>
        <w:pStyle w:val="Textoindependiente"/>
        <w:spacing w:before="107" w:line="249" w:lineRule="auto"/>
      </w:pPr>
      <w:r>
        <w:t>En apoyo al esquema “Crezcamos Juntos”, encabezado por la Secret</w:t>
      </w:r>
      <w:r>
        <w:t xml:space="preserve">aria de Hacienda y Crédito Público, mismo que tiene como fin fomentar la formalidad a través del otorgamiento de apoyos para los sujetos que se encuentren incorporados al RIF incluyendo a aquellas personas beneficiarias del RISS, contarán en adición a las </w:t>
      </w:r>
      <w:r>
        <w:t>modalidades previstas y observando las condiciones y requisitos específicos de la modalidad, con los siguientes apoyos:</w:t>
      </w:r>
    </w:p>
    <w:p w:rsidR="00A63476" w:rsidRDefault="00D22874">
      <w:pPr>
        <w:pStyle w:val="Prrafodelista"/>
        <w:numPr>
          <w:ilvl w:val="0"/>
          <w:numId w:val="42"/>
        </w:numPr>
        <w:tabs>
          <w:tab w:val="left" w:pos="1600"/>
        </w:tabs>
        <w:spacing w:before="84" w:line="254" w:lineRule="auto"/>
        <w:ind w:right="655"/>
        <w:jc w:val="both"/>
        <w:rPr>
          <w:sz w:val="18"/>
        </w:rPr>
      </w:pPr>
      <w:r>
        <w:rPr>
          <w:sz w:val="18"/>
        </w:rPr>
        <w:t xml:space="preserve">Para los trabajadores afiliados al INFONAVIT que estén incorporados al RIF o que </w:t>
      </w:r>
      <w:r>
        <w:rPr>
          <w:spacing w:val="-3"/>
          <w:sz w:val="18"/>
        </w:rPr>
        <w:t xml:space="preserve">sean </w:t>
      </w:r>
      <w:r>
        <w:rPr>
          <w:sz w:val="18"/>
        </w:rPr>
        <w:t>personas beneficiarias del RISS un subsidio federa</w:t>
      </w:r>
      <w:r>
        <w:rPr>
          <w:sz w:val="18"/>
        </w:rPr>
        <w:t>l como complemento a sus aportaciones voluntarias de la subcuenta de vivienda.</w:t>
      </w:r>
    </w:p>
    <w:p w:rsidR="00A63476" w:rsidRDefault="00D22874">
      <w:pPr>
        <w:pStyle w:val="Prrafodelista"/>
        <w:numPr>
          <w:ilvl w:val="0"/>
          <w:numId w:val="42"/>
        </w:numPr>
        <w:tabs>
          <w:tab w:val="left" w:pos="1600"/>
        </w:tabs>
        <w:spacing w:line="242" w:lineRule="auto"/>
        <w:ind w:right="655"/>
        <w:jc w:val="both"/>
        <w:rPr>
          <w:sz w:val="18"/>
        </w:rPr>
      </w:pPr>
      <w:r>
        <w:rPr>
          <w:sz w:val="18"/>
        </w:rPr>
        <w:t xml:space="preserve">Para aquellas personas inscritas en el RIF que contraten un Crédito para Adquisición </w:t>
      </w:r>
      <w:r>
        <w:rPr>
          <w:spacing w:val="-6"/>
          <w:sz w:val="18"/>
        </w:rPr>
        <w:t xml:space="preserve">de </w:t>
      </w:r>
      <w:r>
        <w:rPr>
          <w:sz w:val="18"/>
        </w:rPr>
        <w:t>Vivienda con la banca comercial, un subsidio federal que podrá cubrir la mensualidad número 12 de cada año del crédito, mismo que será dispersado a través de la SHF o el</w:t>
      </w:r>
      <w:r>
        <w:rPr>
          <w:spacing w:val="-3"/>
          <w:sz w:val="18"/>
        </w:rPr>
        <w:t xml:space="preserve"> </w:t>
      </w:r>
      <w:r>
        <w:rPr>
          <w:sz w:val="18"/>
        </w:rPr>
        <w:t>FOVI.</w:t>
      </w:r>
    </w:p>
    <w:p w:rsidR="00A63476" w:rsidRDefault="00D22874">
      <w:pPr>
        <w:pStyle w:val="Textoindependiente"/>
        <w:spacing w:before="118" w:line="232" w:lineRule="auto"/>
        <w:ind w:right="663"/>
      </w:pPr>
      <w:r>
        <w:t>En todas las modalidades señaladas, la Comisión registrará en el padrón de perso</w:t>
      </w:r>
      <w:r>
        <w:t>nas beneficiarias el valor individualizado de cada subsidio federal otorgado en materia de vivienda que</w:t>
      </w:r>
      <w:r>
        <w:rPr>
          <w:spacing w:val="-1"/>
        </w:rPr>
        <w:t xml:space="preserve"> </w:t>
      </w:r>
      <w:r>
        <w:t>administra.</w:t>
      </w:r>
    </w:p>
    <w:p w:rsidR="00A63476" w:rsidRDefault="00A63476">
      <w:pPr>
        <w:spacing w:line="232" w:lineRule="auto"/>
        <w:sectPr w:rsidR="00A63476">
          <w:pgSz w:w="12240" w:h="15840"/>
          <w:pgMar w:top="920" w:right="1040" w:bottom="280" w:left="1180" w:header="700" w:footer="0" w:gutter="0"/>
          <w:cols w:space="720"/>
        </w:sectPr>
      </w:pPr>
    </w:p>
    <w:p w:rsidR="00A63476" w:rsidRDefault="00A63476">
      <w:pPr>
        <w:pStyle w:val="Textoindependiente"/>
        <w:spacing w:before="8"/>
        <w:ind w:left="0" w:right="0" w:firstLine="0"/>
        <w:jc w:val="left"/>
        <w:rPr>
          <w:sz w:val="10"/>
        </w:rPr>
      </w:pPr>
    </w:p>
    <w:p w:rsidR="00A63476" w:rsidRDefault="00D22874">
      <w:pPr>
        <w:pStyle w:val="Textoindependiente"/>
        <w:spacing w:before="95" w:line="254" w:lineRule="auto"/>
      </w:pPr>
      <w:r>
        <w:t xml:space="preserve">Cada persona beneficiaria del programa podrá obtener un subsidio federal para vivienda hasta por un monto máximo equivalente </w:t>
      </w:r>
      <w:r>
        <w:t>a 35 veces el valor de la UMA, atendiendo las consideraciones expuestas en el apartado correspondiente de las presentes reglas.</w:t>
      </w:r>
    </w:p>
    <w:p w:rsidR="00A63476" w:rsidRDefault="00D22874">
      <w:pPr>
        <w:pStyle w:val="Textoindependiente"/>
        <w:spacing w:before="81" w:line="254" w:lineRule="auto"/>
      </w:pPr>
      <w:r>
        <w:t>El subsidio federal podrá utilizarse para el pago de primas o comisiones en el caso de que la persona beneficiaria contrate, a través de la Entidad Ejecutora (o entidad financiera en el caso en que la Entidad Ejecutora sea un Organismo Nacional de Vivienda</w:t>
      </w:r>
      <w:r>
        <w:t xml:space="preserve"> y el financiamiento provenga de esta entidad financiera), coberturas, garantías o seguros de riesgo crediticio para cualquiera de las modalidades aplicables.</w:t>
      </w:r>
    </w:p>
    <w:p w:rsidR="00A63476" w:rsidRDefault="00D22874">
      <w:pPr>
        <w:pStyle w:val="Textoindependiente"/>
        <w:spacing w:before="83" w:line="254" w:lineRule="auto"/>
      </w:pPr>
      <w:r>
        <w:t>Los valores máximos de las intervenciones, no consideran gastos en los que se incurre para ser su</w:t>
      </w:r>
      <w:r>
        <w:t>jeto del financiamiento, pago de derechos, impuestos, ni gastos de formalización; que en su caso podrán formar parte del financiamiento.</w:t>
      </w:r>
    </w:p>
    <w:p w:rsidR="00A63476" w:rsidRDefault="00D22874">
      <w:pPr>
        <w:spacing w:before="82"/>
        <w:ind w:left="800"/>
        <w:jc w:val="both"/>
        <w:rPr>
          <w:sz w:val="14"/>
        </w:rPr>
      </w:pPr>
      <w:r>
        <w:rPr>
          <w:w w:val="105"/>
          <w:sz w:val="18"/>
        </w:rPr>
        <w:t>M</w:t>
      </w:r>
      <w:r>
        <w:rPr>
          <w:w w:val="105"/>
          <w:sz w:val="14"/>
        </w:rPr>
        <w:t>ODALIDADES PARA LA APLICACIÓN DEL SUBSIDIO Y LÍNEAS DE APOYO</w:t>
      </w:r>
    </w:p>
    <w:p w:rsidR="00A63476" w:rsidRDefault="00D22874">
      <w:pPr>
        <w:pStyle w:val="Textoindependiente"/>
        <w:spacing w:before="113" w:line="249" w:lineRule="auto"/>
      </w:pPr>
      <w:r>
        <w:t>Las modalidades para la aplicación del subsidio en esta f</w:t>
      </w:r>
      <w:r>
        <w:t>orma de intervención son: Vivienda en Conjunto Habitacional; Vivienda en Espacio Edificable Rural o Urbano; Adquisición de Vivienda; y, Mejoramiento en Unidades Habitacionales con sus respectivas líneas de apoyo; aplican procesos de autoadministración o au</w:t>
      </w:r>
      <w:r>
        <w:t>toproducción con asistencia técnica. Así mismo se podrá optar por la contratación directa de empresas constructoras u Organismos Ejecutores de Obra, preferentemente locales, previamente acreditados ante CONAVI.</w:t>
      </w:r>
    </w:p>
    <w:p w:rsidR="00A63476" w:rsidRDefault="00D22874">
      <w:pPr>
        <w:pStyle w:val="Textoindependiente"/>
        <w:spacing w:before="88" w:line="254" w:lineRule="auto"/>
        <w:ind w:right="663"/>
      </w:pPr>
      <w:r>
        <w:t>Las líneas de apoyo aplicables en esta vertie</w:t>
      </w:r>
      <w:r>
        <w:t xml:space="preserve">nte de intervención son: Adquisición de Vivienda y </w:t>
      </w:r>
      <w:r>
        <w:rPr>
          <w:spacing w:val="-3"/>
        </w:rPr>
        <w:t xml:space="preserve">Vivienda </w:t>
      </w:r>
      <w:r>
        <w:t>en Espacio Edificable Rural o Urbano, cuyas condiciones y requisitos específicos se enuncian a</w:t>
      </w:r>
      <w:r>
        <w:rPr>
          <w:spacing w:val="-2"/>
        </w:rPr>
        <w:t xml:space="preserve"> </w:t>
      </w:r>
      <w:r>
        <w:t>continuación:</w:t>
      </w:r>
    </w:p>
    <w:p w:rsidR="00A63476" w:rsidRDefault="00D22874">
      <w:pPr>
        <w:pStyle w:val="Ttulo1"/>
        <w:numPr>
          <w:ilvl w:val="0"/>
          <w:numId w:val="41"/>
        </w:numPr>
        <w:tabs>
          <w:tab w:val="left" w:pos="1219"/>
        </w:tabs>
        <w:spacing w:before="101"/>
        <w:jc w:val="both"/>
      </w:pPr>
      <w:r>
        <w:t>Adquisición de</w:t>
      </w:r>
      <w:r>
        <w:rPr>
          <w:spacing w:val="-1"/>
        </w:rPr>
        <w:t xml:space="preserve"> </w:t>
      </w:r>
      <w:r>
        <w:t>vivienda</w:t>
      </w:r>
    </w:p>
    <w:p w:rsidR="00A63476" w:rsidRDefault="00D22874">
      <w:pPr>
        <w:pStyle w:val="Textoindependiente"/>
        <w:spacing w:before="93" w:line="254" w:lineRule="auto"/>
      </w:pPr>
      <w:r>
        <w:t>Esta modalidad corresponde a la adquisición de vivienda termina</w:t>
      </w:r>
      <w:r>
        <w:t xml:space="preserve">da, individual o en conjunto, realizada por terceros, en un proceso único de edificación, que cumpla con las necesidades de densidad, superficie construida, seguridad estructural, instalaciones, servicios, áreas de uso común, entre otros, establecidos por </w:t>
      </w:r>
      <w:r>
        <w:t xml:space="preserve"> la reglamentación local correspondiente.</w:t>
      </w:r>
    </w:p>
    <w:p w:rsidR="00A63476" w:rsidRDefault="00D22874">
      <w:pPr>
        <w:pStyle w:val="Textoindependiente"/>
        <w:spacing w:before="83" w:line="254" w:lineRule="auto"/>
      </w:pPr>
      <w:r>
        <w:t>La vivienda podrá ser nueva o usada y deberá cumplir con el uso del suelo habitacional en las zonas urbanas, contar con servicios que garanticen condiciones de habitabilidad y no estar ubicada en sitios de riesgo.</w:t>
      </w:r>
    </w:p>
    <w:p w:rsidR="00A63476" w:rsidRDefault="00D22874">
      <w:pPr>
        <w:pStyle w:val="Textoindependiente"/>
        <w:spacing w:before="81"/>
        <w:ind w:left="800" w:right="0" w:firstLine="0"/>
      </w:pPr>
      <w:r>
        <w:t>Las líneas de apoyo aplicables son: Adquisición de vivienda nueva y Adquisición de vivienda usada.</w:t>
      </w:r>
    </w:p>
    <w:p w:rsidR="00A63476" w:rsidRDefault="00D22874">
      <w:pPr>
        <w:pStyle w:val="Prrafodelista"/>
        <w:numPr>
          <w:ilvl w:val="0"/>
          <w:numId w:val="49"/>
        </w:numPr>
        <w:tabs>
          <w:tab w:val="left" w:pos="1218"/>
        </w:tabs>
        <w:spacing w:before="113"/>
        <w:ind w:left="1218" w:hanging="418"/>
        <w:rPr>
          <w:sz w:val="18"/>
        </w:rPr>
      </w:pPr>
      <w:r>
        <w:rPr>
          <w:sz w:val="18"/>
          <w:u w:val="single"/>
        </w:rPr>
        <w:t>Adquisición de Vivienda</w:t>
      </w:r>
      <w:r>
        <w:rPr>
          <w:spacing w:val="-1"/>
          <w:sz w:val="18"/>
          <w:u w:val="single"/>
        </w:rPr>
        <w:t xml:space="preserve"> </w:t>
      </w:r>
      <w:r>
        <w:rPr>
          <w:sz w:val="18"/>
          <w:u w:val="single"/>
        </w:rPr>
        <w:t>Nueva</w:t>
      </w:r>
    </w:p>
    <w:p w:rsidR="00A63476" w:rsidRDefault="00D22874">
      <w:pPr>
        <w:pStyle w:val="Textoindependiente"/>
        <w:spacing w:before="113" w:line="249" w:lineRule="auto"/>
      </w:pPr>
      <w:r>
        <w:t xml:space="preserve">La </w:t>
      </w:r>
      <w:r>
        <w:rPr>
          <w:spacing w:val="-3"/>
        </w:rPr>
        <w:t xml:space="preserve">CONAVI </w:t>
      </w:r>
      <w:r>
        <w:t>podrá otorgar subsidio con el propósito de adquirir vivienda terminada, individual o en conjunto, ubicada fuera de zo</w:t>
      </w:r>
      <w:r>
        <w:t>nas de riesgo, que nunca ha sido ocupada, realizada por terceros, en un proceso único de edificación, que cumpla con las necesidades de densidad, superficie construida, seguridad estructural, instalaciones, servicios, áreas de uso común, entre otros, estab</w:t>
      </w:r>
      <w:r>
        <w:t xml:space="preserve">lecidos por la reglamentación </w:t>
      </w:r>
      <w:r>
        <w:rPr>
          <w:spacing w:val="-3"/>
        </w:rPr>
        <w:t xml:space="preserve">local </w:t>
      </w:r>
      <w:r>
        <w:t>correspondiente</w:t>
      </w:r>
    </w:p>
    <w:p w:rsidR="00A63476" w:rsidRDefault="00D22874">
      <w:pPr>
        <w:pStyle w:val="Textoindependiente"/>
        <w:spacing w:before="104" w:line="254" w:lineRule="auto"/>
        <w:ind w:right="663"/>
      </w:pPr>
      <w:r>
        <w:t>La persona beneficiaria tendrá derecho a un monto máximo de subsidio federal con base en la siguiente lista de categorías y matriz:</w:t>
      </w:r>
    </w:p>
    <w:p w:rsidR="00A63476" w:rsidRDefault="00D22874">
      <w:pPr>
        <w:pStyle w:val="Textoindependiente"/>
        <w:spacing w:before="101"/>
        <w:ind w:left="800" w:right="0" w:firstLine="0"/>
      </w:pPr>
      <w:r>
        <w:t>Categorías de subsidio federal:</w:t>
      </w:r>
    </w:p>
    <w:p w:rsidR="00A63476" w:rsidRDefault="00D22874">
      <w:pPr>
        <w:pStyle w:val="Prrafodelista"/>
        <w:numPr>
          <w:ilvl w:val="1"/>
          <w:numId w:val="41"/>
        </w:numPr>
        <w:tabs>
          <w:tab w:val="left" w:pos="1309"/>
        </w:tabs>
        <w:spacing w:before="93" w:line="372" w:lineRule="auto"/>
        <w:ind w:right="2745" w:hanging="14"/>
        <w:rPr>
          <w:sz w:val="18"/>
        </w:rPr>
      </w:pPr>
      <w:r>
        <w:rPr>
          <w:sz w:val="18"/>
        </w:rPr>
        <w:t>Vivienda con un valor mayor que 175 y hasta 190 veces la UMA ii.Vivienda con un valor mayor que 158 y menor o igual a 175 veces la</w:t>
      </w:r>
      <w:r>
        <w:rPr>
          <w:spacing w:val="-3"/>
          <w:sz w:val="18"/>
        </w:rPr>
        <w:t xml:space="preserve"> </w:t>
      </w:r>
      <w:r>
        <w:rPr>
          <w:spacing w:val="-6"/>
          <w:sz w:val="18"/>
        </w:rPr>
        <w:t>UMA</w:t>
      </w:r>
    </w:p>
    <w:p w:rsidR="00A63476" w:rsidRDefault="00D22874">
      <w:pPr>
        <w:pStyle w:val="Textoindependiente"/>
        <w:spacing w:line="372" w:lineRule="auto"/>
        <w:ind w:left="1232" w:right="1854" w:firstLine="0"/>
        <w:jc w:val="left"/>
      </w:pPr>
      <w:r>
        <w:t xml:space="preserve">iii.Vivienda con un valor mayor que 136 y menor o igual a 158 veces la UMA iv.Vivienda con un valor mayor que 60 y menor </w:t>
      </w:r>
      <w:r>
        <w:t>o igual a 136 veces la UMA</w:t>
      </w:r>
    </w:p>
    <w:p w:rsidR="00A63476" w:rsidRDefault="00D22874">
      <w:pPr>
        <w:pStyle w:val="Textoindependiente"/>
        <w:spacing w:line="254" w:lineRule="auto"/>
        <w:ind w:left="1240" w:right="859" w:hanging="8"/>
        <w:jc w:val="left"/>
      </w:pPr>
      <w:r>
        <w:t xml:space="preserve">v.Vivienda con un valor mayor que 60 y menor o igual a 136 veces la UMA, adquirida por </w:t>
      </w:r>
      <w:r>
        <w:rPr>
          <w:spacing w:val="-5"/>
        </w:rPr>
        <w:t xml:space="preserve">una </w:t>
      </w:r>
      <w:r>
        <w:t>persona beneficiaria con ingreso menor o igual a 1.4 veces el valor de la UMA.</w:t>
      </w:r>
    </w:p>
    <w:p w:rsidR="00A63476" w:rsidRDefault="00A63476">
      <w:pPr>
        <w:pStyle w:val="Textoindependiente"/>
        <w:spacing w:before="11"/>
        <w:ind w:left="0" w:right="0" w:firstLine="0"/>
        <w:jc w:val="left"/>
        <w:rPr>
          <w:sz w:val="8"/>
        </w:rPr>
      </w:pPr>
    </w:p>
    <w:tbl>
      <w:tblPr>
        <w:tblStyle w:val="TableNormal"/>
        <w:tblW w:w="0" w:type="auto"/>
        <w:tblInd w:w="678" w:type="dxa"/>
        <w:tblBorders>
          <w:top w:val="single" w:sz="6" w:space="0" w:color="404040"/>
          <w:left w:val="single" w:sz="6" w:space="0" w:color="404040"/>
          <w:bottom w:val="single" w:sz="6" w:space="0" w:color="404040"/>
          <w:right w:val="single" w:sz="6" w:space="0" w:color="404040"/>
          <w:insideH w:val="single" w:sz="6" w:space="0" w:color="404040"/>
          <w:insideV w:val="single" w:sz="6" w:space="0" w:color="404040"/>
        </w:tblBorders>
        <w:tblLayout w:type="fixed"/>
        <w:tblLook w:val="01E0" w:firstRow="1" w:lastRow="1" w:firstColumn="1" w:lastColumn="1" w:noHBand="0" w:noVBand="0"/>
      </w:tblPr>
      <w:tblGrid>
        <w:gridCol w:w="825"/>
        <w:gridCol w:w="1288"/>
        <w:gridCol w:w="505"/>
        <w:gridCol w:w="505"/>
        <w:gridCol w:w="505"/>
        <w:gridCol w:w="505"/>
        <w:gridCol w:w="505"/>
        <w:gridCol w:w="505"/>
        <w:gridCol w:w="505"/>
        <w:gridCol w:w="505"/>
        <w:gridCol w:w="505"/>
        <w:gridCol w:w="505"/>
        <w:gridCol w:w="505"/>
        <w:gridCol w:w="505"/>
        <w:gridCol w:w="505"/>
      </w:tblGrid>
      <w:tr w:rsidR="00A63476">
        <w:trPr>
          <w:trHeight w:val="295"/>
        </w:trPr>
        <w:tc>
          <w:tcPr>
            <w:tcW w:w="8678" w:type="dxa"/>
            <w:gridSpan w:val="15"/>
          </w:tcPr>
          <w:p w:rsidR="00A63476" w:rsidRDefault="00D22874">
            <w:pPr>
              <w:pStyle w:val="TableParagraph"/>
              <w:spacing w:before="57"/>
              <w:ind w:left="89"/>
              <w:rPr>
                <w:b/>
                <w:sz w:val="14"/>
              </w:rPr>
            </w:pPr>
            <w:r>
              <w:rPr>
                <w:b/>
                <w:sz w:val="14"/>
              </w:rPr>
              <w:t>Rango de Ingreso Hasta 2.8 UMAS</w:t>
            </w:r>
          </w:p>
        </w:tc>
      </w:tr>
      <w:tr w:rsidR="00A63476">
        <w:trPr>
          <w:trHeight w:val="295"/>
        </w:trPr>
        <w:tc>
          <w:tcPr>
            <w:tcW w:w="825" w:type="dxa"/>
            <w:vMerge w:val="restart"/>
          </w:tcPr>
          <w:p w:rsidR="00A63476" w:rsidRDefault="00A63476">
            <w:pPr>
              <w:pStyle w:val="TableParagraph"/>
              <w:rPr>
                <w:sz w:val="16"/>
              </w:rPr>
            </w:pPr>
          </w:p>
          <w:p w:rsidR="00A63476" w:rsidRDefault="00A63476">
            <w:pPr>
              <w:pStyle w:val="TableParagraph"/>
              <w:rPr>
                <w:sz w:val="16"/>
              </w:rPr>
            </w:pPr>
          </w:p>
          <w:p w:rsidR="00A63476" w:rsidRDefault="00A63476">
            <w:pPr>
              <w:pStyle w:val="TableParagraph"/>
              <w:spacing w:before="3"/>
              <w:rPr>
                <w:sz w:val="17"/>
              </w:rPr>
            </w:pPr>
          </w:p>
          <w:p w:rsidR="00A63476" w:rsidRDefault="00D22874">
            <w:pPr>
              <w:pStyle w:val="TableParagraph"/>
              <w:spacing w:before="1"/>
              <w:ind w:left="89"/>
              <w:rPr>
                <w:b/>
                <w:sz w:val="14"/>
              </w:rPr>
            </w:pPr>
            <w:r>
              <w:rPr>
                <w:b/>
                <w:sz w:val="14"/>
              </w:rPr>
              <w:t>Categoría</w:t>
            </w:r>
          </w:p>
        </w:tc>
        <w:tc>
          <w:tcPr>
            <w:tcW w:w="1288" w:type="dxa"/>
            <w:vMerge w:val="restart"/>
          </w:tcPr>
          <w:p w:rsidR="00A63476" w:rsidRDefault="00A63476">
            <w:pPr>
              <w:pStyle w:val="TableParagraph"/>
              <w:rPr>
                <w:sz w:val="16"/>
              </w:rPr>
            </w:pPr>
          </w:p>
          <w:p w:rsidR="00A63476" w:rsidRDefault="00A63476">
            <w:pPr>
              <w:pStyle w:val="TableParagraph"/>
              <w:rPr>
                <w:sz w:val="16"/>
              </w:rPr>
            </w:pPr>
          </w:p>
          <w:p w:rsidR="00A63476" w:rsidRDefault="00A63476">
            <w:pPr>
              <w:pStyle w:val="TableParagraph"/>
              <w:spacing w:before="6"/>
              <w:rPr>
                <w:sz w:val="13"/>
              </w:rPr>
            </w:pPr>
          </w:p>
          <w:p w:rsidR="00A63476" w:rsidRDefault="00D22874">
            <w:pPr>
              <w:pStyle w:val="TableParagraph"/>
              <w:spacing w:before="1" w:line="208" w:lineRule="auto"/>
              <w:ind w:left="104" w:right="67" w:firstLine="180"/>
              <w:rPr>
                <w:b/>
                <w:sz w:val="14"/>
              </w:rPr>
            </w:pPr>
            <w:r>
              <w:rPr>
                <w:b/>
                <w:sz w:val="14"/>
              </w:rPr>
              <w:t>Valor de la Vivienda(UMAS)</w:t>
            </w:r>
          </w:p>
        </w:tc>
        <w:tc>
          <w:tcPr>
            <w:tcW w:w="6565" w:type="dxa"/>
            <w:gridSpan w:val="13"/>
          </w:tcPr>
          <w:p w:rsidR="00A63476" w:rsidRDefault="00D22874">
            <w:pPr>
              <w:pStyle w:val="TableParagraph"/>
              <w:spacing w:before="47"/>
              <w:ind w:left="2676" w:right="2651"/>
              <w:jc w:val="center"/>
              <w:rPr>
                <w:b/>
                <w:sz w:val="14"/>
              </w:rPr>
            </w:pPr>
            <w:r>
              <w:rPr>
                <w:b/>
                <w:sz w:val="14"/>
              </w:rPr>
              <w:t>Rango de Puntaje</w:t>
            </w:r>
          </w:p>
        </w:tc>
      </w:tr>
      <w:tr w:rsidR="00A63476">
        <w:trPr>
          <w:trHeight w:val="715"/>
        </w:trPr>
        <w:tc>
          <w:tcPr>
            <w:tcW w:w="825" w:type="dxa"/>
            <w:vMerge/>
            <w:tcBorders>
              <w:top w:val="nil"/>
            </w:tcBorders>
          </w:tcPr>
          <w:p w:rsidR="00A63476" w:rsidRDefault="00A63476">
            <w:pPr>
              <w:rPr>
                <w:sz w:val="2"/>
                <w:szCs w:val="2"/>
              </w:rPr>
            </w:pPr>
          </w:p>
        </w:tc>
        <w:tc>
          <w:tcPr>
            <w:tcW w:w="1288" w:type="dxa"/>
            <w:vMerge/>
            <w:tcBorders>
              <w:top w:val="nil"/>
            </w:tcBorders>
          </w:tcPr>
          <w:p w:rsidR="00A63476" w:rsidRDefault="00A63476">
            <w:pPr>
              <w:rPr>
                <w:sz w:val="2"/>
                <w:szCs w:val="2"/>
              </w:rPr>
            </w:pPr>
          </w:p>
        </w:tc>
        <w:tc>
          <w:tcPr>
            <w:tcW w:w="505" w:type="dxa"/>
          </w:tcPr>
          <w:p w:rsidR="00A63476" w:rsidRDefault="00D22874">
            <w:pPr>
              <w:pStyle w:val="TableParagraph"/>
              <w:spacing w:before="57" w:line="150" w:lineRule="exact"/>
              <w:ind w:left="20"/>
              <w:jc w:val="center"/>
              <w:rPr>
                <w:sz w:val="14"/>
              </w:rPr>
            </w:pPr>
            <w:r>
              <w:rPr>
                <w:sz w:val="14"/>
              </w:rPr>
              <w:t>0</w:t>
            </w:r>
          </w:p>
          <w:p w:rsidR="00A63476" w:rsidRDefault="00D22874">
            <w:pPr>
              <w:pStyle w:val="TableParagraph"/>
              <w:spacing w:before="6" w:line="208" w:lineRule="auto"/>
              <w:ind w:left="110" w:right="100"/>
              <w:jc w:val="center"/>
              <w:rPr>
                <w:sz w:val="14"/>
              </w:rPr>
            </w:pPr>
            <w:r>
              <w:rPr>
                <w:sz w:val="14"/>
              </w:rPr>
              <w:t>hast a</w:t>
            </w:r>
          </w:p>
          <w:p w:rsidR="00A63476" w:rsidRDefault="00D22874">
            <w:pPr>
              <w:pStyle w:val="TableParagraph"/>
              <w:spacing w:line="144" w:lineRule="exact"/>
              <w:ind w:left="76" w:right="58"/>
              <w:jc w:val="center"/>
              <w:rPr>
                <w:sz w:val="14"/>
              </w:rPr>
            </w:pPr>
            <w:r>
              <w:rPr>
                <w:sz w:val="14"/>
              </w:rPr>
              <w:t>&lt;350</w:t>
            </w:r>
          </w:p>
        </w:tc>
        <w:tc>
          <w:tcPr>
            <w:tcW w:w="505" w:type="dxa"/>
          </w:tcPr>
          <w:p w:rsidR="00A63476" w:rsidRDefault="00D22874">
            <w:pPr>
              <w:pStyle w:val="TableParagraph"/>
              <w:spacing w:before="57" w:line="150" w:lineRule="exact"/>
              <w:ind w:left="131"/>
              <w:rPr>
                <w:sz w:val="14"/>
              </w:rPr>
            </w:pPr>
            <w:r>
              <w:rPr>
                <w:sz w:val="14"/>
              </w:rPr>
              <w:t>350</w:t>
            </w:r>
          </w:p>
          <w:p w:rsidR="00A63476" w:rsidRDefault="00D22874">
            <w:pPr>
              <w:pStyle w:val="TableParagraph"/>
              <w:spacing w:before="6" w:line="208" w:lineRule="auto"/>
              <w:ind w:left="211" w:right="74" w:hanging="80"/>
              <w:rPr>
                <w:sz w:val="14"/>
              </w:rPr>
            </w:pPr>
            <w:r>
              <w:rPr>
                <w:sz w:val="14"/>
              </w:rPr>
              <w:t>hast a</w:t>
            </w:r>
          </w:p>
          <w:p w:rsidR="00A63476" w:rsidRDefault="00D22874">
            <w:pPr>
              <w:pStyle w:val="TableParagraph"/>
              <w:spacing w:line="144" w:lineRule="exact"/>
              <w:ind w:left="91"/>
              <w:rPr>
                <w:sz w:val="14"/>
              </w:rPr>
            </w:pPr>
            <w:r>
              <w:rPr>
                <w:sz w:val="14"/>
              </w:rPr>
              <w:t>&lt;400</w:t>
            </w:r>
          </w:p>
        </w:tc>
        <w:tc>
          <w:tcPr>
            <w:tcW w:w="505" w:type="dxa"/>
          </w:tcPr>
          <w:p w:rsidR="00A63476" w:rsidRDefault="00D22874">
            <w:pPr>
              <w:pStyle w:val="TableParagraph"/>
              <w:spacing w:before="57" w:line="150" w:lineRule="exact"/>
              <w:ind w:left="146"/>
              <w:rPr>
                <w:sz w:val="14"/>
              </w:rPr>
            </w:pPr>
            <w:r>
              <w:rPr>
                <w:sz w:val="14"/>
              </w:rPr>
              <w:t>400</w:t>
            </w:r>
          </w:p>
          <w:p w:rsidR="00A63476" w:rsidRDefault="00D22874">
            <w:pPr>
              <w:pStyle w:val="TableParagraph"/>
              <w:spacing w:before="6" w:line="208" w:lineRule="auto"/>
              <w:ind w:left="206" w:right="79" w:hanging="80"/>
              <w:rPr>
                <w:sz w:val="14"/>
              </w:rPr>
            </w:pPr>
            <w:r>
              <w:rPr>
                <w:sz w:val="14"/>
              </w:rPr>
              <w:t>hast a</w:t>
            </w:r>
          </w:p>
          <w:p w:rsidR="00A63476" w:rsidRDefault="00D22874">
            <w:pPr>
              <w:pStyle w:val="TableParagraph"/>
              <w:spacing w:line="144" w:lineRule="exact"/>
              <w:ind w:left="106"/>
              <w:rPr>
                <w:sz w:val="14"/>
              </w:rPr>
            </w:pPr>
            <w:r>
              <w:rPr>
                <w:sz w:val="14"/>
              </w:rPr>
              <w:t>&lt;450</w:t>
            </w:r>
          </w:p>
        </w:tc>
        <w:tc>
          <w:tcPr>
            <w:tcW w:w="505" w:type="dxa"/>
          </w:tcPr>
          <w:p w:rsidR="00A63476" w:rsidRDefault="00D22874">
            <w:pPr>
              <w:pStyle w:val="TableParagraph"/>
              <w:spacing w:before="57" w:line="150" w:lineRule="exact"/>
              <w:ind w:left="141"/>
              <w:rPr>
                <w:sz w:val="14"/>
              </w:rPr>
            </w:pPr>
            <w:r>
              <w:rPr>
                <w:sz w:val="14"/>
              </w:rPr>
              <w:t>450</w:t>
            </w:r>
          </w:p>
          <w:p w:rsidR="00A63476" w:rsidRDefault="00D22874">
            <w:pPr>
              <w:pStyle w:val="TableParagraph"/>
              <w:spacing w:before="6" w:line="208" w:lineRule="auto"/>
              <w:ind w:left="221" w:right="84" w:hanging="100"/>
              <w:rPr>
                <w:sz w:val="14"/>
              </w:rPr>
            </w:pPr>
            <w:r>
              <w:rPr>
                <w:sz w:val="14"/>
              </w:rPr>
              <w:t>hast a</w:t>
            </w:r>
          </w:p>
          <w:p w:rsidR="00A63476" w:rsidRDefault="00D22874">
            <w:pPr>
              <w:pStyle w:val="TableParagraph"/>
              <w:spacing w:line="144" w:lineRule="exact"/>
              <w:ind w:left="101"/>
              <w:rPr>
                <w:sz w:val="14"/>
              </w:rPr>
            </w:pPr>
            <w:r>
              <w:rPr>
                <w:sz w:val="14"/>
              </w:rPr>
              <w:t>&lt;500</w:t>
            </w:r>
          </w:p>
        </w:tc>
        <w:tc>
          <w:tcPr>
            <w:tcW w:w="505" w:type="dxa"/>
          </w:tcPr>
          <w:p w:rsidR="00A63476" w:rsidRDefault="00D22874">
            <w:pPr>
              <w:pStyle w:val="TableParagraph"/>
              <w:spacing w:before="57" w:line="150" w:lineRule="exact"/>
              <w:ind w:left="136"/>
              <w:rPr>
                <w:sz w:val="14"/>
              </w:rPr>
            </w:pPr>
            <w:r>
              <w:rPr>
                <w:sz w:val="14"/>
              </w:rPr>
              <w:t>500</w:t>
            </w:r>
          </w:p>
          <w:p w:rsidR="00A63476" w:rsidRDefault="00D22874">
            <w:pPr>
              <w:pStyle w:val="TableParagraph"/>
              <w:spacing w:before="6" w:line="208" w:lineRule="auto"/>
              <w:ind w:left="216" w:right="89" w:hanging="100"/>
              <w:rPr>
                <w:sz w:val="14"/>
              </w:rPr>
            </w:pPr>
            <w:r>
              <w:rPr>
                <w:sz w:val="14"/>
              </w:rPr>
              <w:t>hast a</w:t>
            </w:r>
          </w:p>
          <w:p w:rsidR="00A63476" w:rsidRDefault="00D22874">
            <w:pPr>
              <w:pStyle w:val="TableParagraph"/>
              <w:spacing w:line="144" w:lineRule="exact"/>
              <w:ind w:left="96"/>
              <w:rPr>
                <w:sz w:val="14"/>
              </w:rPr>
            </w:pPr>
            <w:r>
              <w:rPr>
                <w:sz w:val="14"/>
              </w:rPr>
              <w:t>&lt;550</w:t>
            </w:r>
          </w:p>
        </w:tc>
        <w:tc>
          <w:tcPr>
            <w:tcW w:w="505" w:type="dxa"/>
          </w:tcPr>
          <w:p w:rsidR="00A63476" w:rsidRDefault="00D22874">
            <w:pPr>
              <w:pStyle w:val="TableParagraph"/>
              <w:spacing w:before="57" w:line="150" w:lineRule="exact"/>
              <w:ind w:left="131"/>
              <w:rPr>
                <w:sz w:val="14"/>
              </w:rPr>
            </w:pPr>
            <w:r>
              <w:rPr>
                <w:sz w:val="14"/>
              </w:rPr>
              <w:t>550</w:t>
            </w:r>
          </w:p>
          <w:p w:rsidR="00A63476" w:rsidRDefault="00D22874">
            <w:pPr>
              <w:pStyle w:val="TableParagraph"/>
              <w:spacing w:before="6" w:line="208" w:lineRule="auto"/>
              <w:ind w:left="211" w:right="74" w:hanging="80"/>
              <w:rPr>
                <w:sz w:val="14"/>
              </w:rPr>
            </w:pPr>
            <w:r>
              <w:rPr>
                <w:sz w:val="14"/>
              </w:rPr>
              <w:t>hast a</w:t>
            </w:r>
          </w:p>
          <w:p w:rsidR="00A63476" w:rsidRDefault="00D22874">
            <w:pPr>
              <w:pStyle w:val="TableParagraph"/>
              <w:spacing w:line="144" w:lineRule="exact"/>
              <w:ind w:left="91"/>
              <w:rPr>
                <w:sz w:val="14"/>
              </w:rPr>
            </w:pPr>
            <w:r>
              <w:rPr>
                <w:sz w:val="14"/>
              </w:rPr>
              <w:t>&lt;600</w:t>
            </w:r>
          </w:p>
        </w:tc>
        <w:tc>
          <w:tcPr>
            <w:tcW w:w="505" w:type="dxa"/>
          </w:tcPr>
          <w:p w:rsidR="00A63476" w:rsidRDefault="00D22874">
            <w:pPr>
              <w:pStyle w:val="TableParagraph"/>
              <w:spacing w:before="57" w:line="150" w:lineRule="exact"/>
              <w:ind w:left="146"/>
              <w:rPr>
                <w:sz w:val="14"/>
              </w:rPr>
            </w:pPr>
            <w:r>
              <w:rPr>
                <w:sz w:val="14"/>
              </w:rPr>
              <w:t>600</w:t>
            </w:r>
          </w:p>
          <w:p w:rsidR="00A63476" w:rsidRDefault="00D22874">
            <w:pPr>
              <w:pStyle w:val="TableParagraph"/>
              <w:spacing w:before="6" w:line="208" w:lineRule="auto"/>
              <w:ind w:left="226" w:right="79" w:hanging="100"/>
              <w:rPr>
                <w:sz w:val="14"/>
              </w:rPr>
            </w:pPr>
            <w:r>
              <w:rPr>
                <w:sz w:val="14"/>
              </w:rPr>
              <w:t>hast a</w:t>
            </w:r>
          </w:p>
          <w:p w:rsidR="00A63476" w:rsidRDefault="00D22874">
            <w:pPr>
              <w:pStyle w:val="TableParagraph"/>
              <w:spacing w:line="144" w:lineRule="exact"/>
              <w:ind w:left="106"/>
              <w:rPr>
                <w:sz w:val="14"/>
              </w:rPr>
            </w:pPr>
            <w:r>
              <w:rPr>
                <w:sz w:val="14"/>
              </w:rPr>
              <w:t>&lt;650</w:t>
            </w:r>
          </w:p>
        </w:tc>
        <w:tc>
          <w:tcPr>
            <w:tcW w:w="505" w:type="dxa"/>
          </w:tcPr>
          <w:p w:rsidR="00A63476" w:rsidRDefault="00D22874">
            <w:pPr>
              <w:pStyle w:val="TableParagraph"/>
              <w:spacing w:before="57" w:line="150" w:lineRule="exact"/>
              <w:ind w:left="141"/>
              <w:rPr>
                <w:sz w:val="14"/>
              </w:rPr>
            </w:pPr>
            <w:r>
              <w:rPr>
                <w:sz w:val="14"/>
              </w:rPr>
              <w:t>650</w:t>
            </w:r>
          </w:p>
          <w:p w:rsidR="00A63476" w:rsidRDefault="00D22874">
            <w:pPr>
              <w:pStyle w:val="TableParagraph"/>
              <w:spacing w:before="6" w:line="208" w:lineRule="auto"/>
              <w:ind w:left="221" w:right="84" w:hanging="100"/>
              <w:rPr>
                <w:sz w:val="14"/>
              </w:rPr>
            </w:pPr>
            <w:r>
              <w:rPr>
                <w:sz w:val="14"/>
              </w:rPr>
              <w:t>hast a</w:t>
            </w:r>
          </w:p>
          <w:p w:rsidR="00A63476" w:rsidRDefault="00D22874">
            <w:pPr>
              <w:pStyle w:val="TableParagraph"/>
              <w:spacing w:line="144" w:lineRule="exact"/>
              <w:ind w:left="101"/>
              <w:rPr>
                <w:sz w:val="14"/>
              </w:rPr>
            </w:pPr>
            <w:r>
              <w:rPr>
                <w:sz w:val="14"/>
              </w:rPr>
              <w:t>&lt;700</w:t>
            </w:r>
          </w:p>
        </w:tc>
        <w:tc>
          <w:tcPr>
            <w:tcW w:w="505" w:type="dxa"/>
          </w:tcPr>
          <w:p w:rsidR="00A63476" w:rsidRDefault="00D22874">
            <w:pPr>
              <w:pStyle w:val="TableParagraph"/>
              <w:spacing w:before="57" w:line="150" w:lineRule="exact"/>
              <w:ind w:left="136"/>
              <w:rPr>
                <w:sz w:val="14"/>
              </w:rPr>
            </w:pPr>
            <w:r>
              <w:rPr>
                <w:sz w:val="14"/>
              </w:rPr>
              <w:t>700</w:t>
            </w:r>
          </w:p>
          <w:p w:rsidR="00A63476" w:rsidRDefault="00D22874">
            <w:pPr>
              <w:pStyle w:val="TableParagraph"/>
              <w:spacing w:before="6" w:line="208" w:lineRule="auto"/>
              <w:ind w:left="216" w:right="89" w:hanging="100"/>
              <w:rPr>
                <w:sz w:val="14"/>
              </w:rPr>
            </w:pPr>
            <w:r>
              <w:rPr>
                <w:sz w:val="14"/>
              </w:rPr>
              <w:t>hast a</w:t>
            </w:r>
          </w:p>
          <w:p w:rsidR="00A63476" w:rsidRDefault="00D22874">
            <w:pPr>
              <w:pStyle w:val="TableParagraph"/>
              <w:spacing w:line="144" w:lineRule="exact"/>
              <w:ind w:left="96"/>
              <w:rPr>
                <w:sz w:val="14"/>
              </w:rPr>
            </w:pPr>
            <w:r>
              <w:rPr>
                <w:sz w:val="14"/>
              </w:rPr>
              <w:t>&lt;750</w:t>
            </w:r>
          </w:p>
        </w:tc>
        <w:tc>
          <w:tcPr>
            <w:tcW w:w="505" w:type="dxa"/>
          </w:tcPr>
          <w:p w:rsidR="00A63476" w:rsidRDefault="00D22874">
            <w:pPr>
              <w:pStyle w:val="TableParagraph"/>
              <w:spacing w:before="57" w:line="150" w:lineRule="exact"/>
              <w:ind w:left="131"/>
              <w:rPr>
                <w:sz w:val="14"/>
              </w:rPr>
            </w:pPr>
            <w:r>
              <w:rPr>
                <w:sz w:val="14"/>
              </w:rPr>
              <w:t>750</w:t>
            </w:r>
          </w:p>
          <w:p w:rsidR="00A63476" w:rsidRDefault="00D22874">
            <w:pPr>
              <w:pStyle w:val="TableParagraph"/>
              <w:spacing w:before="6" w:line="208" w:lineRule="auto"/>
              <w:ind w:left="211" w:right="74" w:hanging="80"/>
              <w:rPr>
                <w:sz w:val="14"/>
              </w:rPr>
            </w:pPr>
            <w:r>
              <w:rPr>
                <w:sz w:val="14"/>
              </w:rPr>
              <w:t>hast a</w:t>
            </w:r>
          </w:p>
          <w:p w:rsidR="00A63476" w:rsidRDefault="00D22874">
            <w:pPr>
              <w:pStyle w:val="TableParagraph"/>
              <w:spacing w:line="144" w:lineRule="exact"/>
              <w:ind w:left="91"/>
              <w:rPr>
                <w:sz w:val="14"/>
              </w:rPr>
            </w:pPr>
            <w:r>
              <w:rPr>
                <w:sz w:val="14"/>
              </w:rPr>
              <w:t>&lt;800</w:t>
            </w:r>
          </w:p>
        </w:tc>
        <w:tc>
          <w:tcPr>
            <w:tcW w:w="505" w:type="dxa"/>
          </w:tcPr>
          <w:p w:rsidR="00A63476" w:rsidRDefault="00D22874">
            <w:pPr>
              <w:pStyle w:val="TableParagraph"/>
              <w:spacing w:before="57" w:line="150" w:lineRule="exact"/>
              <w:ind w:left="146"/>
              <w:rPr>
                <w:sz w:val="14"/>
              </w:rPr>
            </w:pPr>
            <w:r>
              <w:rPr>
                <w:sz w:val="14"/>
              </w:rPr>
              <w:t>800</w:t>
            </w:r>
          </w:p>
          <w:p w:rsidR="00A63476" w:rsidRDefault="00D22874">
            <w:pPr>
              <w:pStyle w:val="TableParagraph"/>
              <w:spacing w:before="6" w:line="208" w:lineRule="auto"/>
              <w:ind w:left="226" w:right="79" w:hanging="100"/>
              <w:rPr>
                <w:sz w:val="14"/>
              </w:rPr>
            </w:pPr>
            <w:r>
              <w:rPr>
                <w:sz w:val="14"/>
              </w:rPr>
              <w:t>hast a</w:t>
            </w:r>
          </w:p>
          <w:p w:rsidR="00A63476" w:rsidRDefault="00D22874">
            <w:pPr>
              <w:pStyle w:val="TableParagraph"/>
              <w:spacing w:line="144" w:lineRule="exact"/>
              <w:ind w:left="106"/>
              <w:rPr>
                <w:sz w:val="14"/>
              </w:rPr>
            </w:pPr>
            <w:r>
              <w:rPr>
                <w:sz w:val="14"/>
              </w:rPr>
              <w:t>&lt;850</w:t>
            </w:r>
          </w:p>
        </w:tc>
        <w:tc>
          <w:tcPr>
            <w:tcW w:w="505" w:type="dxa"/>
          </w:tcPr>
          <w:p w:rsidR="00A63476" w:rsidRDefault="00D22874">
            <w:pPr>
              <w:pStyle w:val="TableParagraph"/>
              <w:spacing w:before="57" w:line="150" w:lineRule="exact"/>
              <w:ind w:left="141"/>
              <w:rPr>
                <w:sz w:val="14"/>
              </w:rPr>
            </w:pPr>
            <w:r>
              <w:rPr>
                <w:sz w:val="14"/>
              </w:rPr>
              <w:t>850</w:t>
            </w:r>
          </w:p>
          <w:p w:rsidR="00A63476" w:rsidRDefault="00D22874">
            <w:pPr>
              <w:pStyle w:val="TableParagraph"/>
              <w:spacing w:before="6" w:line="208" w:lineRule="auto"/>
              <w:ind w:left="221" w:right="84" w:hanging="100"/>
              <w:rPr>
                <w:sz w:val="14"/>
              </w:rPr>
            </w:pPr>
            <w:r>
              <w:rPr>
                <w:sz w:val="14"/>
              </w:rPr>
              <w:t>hast a</w:t>
            </w:r>
          </w:p>
          <w:p w:rsidR="00A63476" w:rsidRDefault="00D22874">
            <w:pPr>
              <w:pStyle w:val="TableParagraph"/>
              <w:spacing w:line="144" w:lineRule="exact"/>
              <w:ind w:left="101"/>
              <w:rPr>
                <w:sz w:val="14"/>
              </w:rPr>
            </w:pPr>
            <w:r>
              <w:rPr>
                <w:sz w:val="14"/>
              </w:rPr>
              <w:t>&lt;900</w:t>
            </w:r>
          </w:p>
        </w:tc>
        <w:tc>
          <w:tcPr>
            <w:tcW w:w="505" w:type="dxa"/>
          </w:tcPr>
          <w:p w:rsidR="00A63476" w:rsidRDefault="00D22874">
            <w:pPr>
              <w:pStyle w:val="TableParagraph"/>
              <w:spacing w:before="57" w:line="150" w:lineRule="exact"/>
              <w:ind w:left="116" w:right="100"/>
              <w:jc w:val="center"/>
              <w:rPr>
                <w:sz w:val="14"/>
              </w:rPr>
            </w:pPr>
            <w:r>
              <w:rPr>
                <w:sz w:val="14"/>
              </w:rPr>
              <w:t>900</w:t>
            </w:r>
          </w:p>
          <w:p w:rsidR="00A63476" w:rsidRDefault="00D22874">
            <w:pPr>
              <w:pStyle w:val="TableParagraph"/>
              <w:spacing w:before="6" w:line="208" w:lineRule="auto"/>
              <w:ind w:left="96" w:right="80" w:hanging="7"/>
              <w:jc w:val="center"/>
              <w:rPr>
                <w:sz w:val="14"/>
              </w:rPr>
            </w:pPr>
            <w:r>
              <w:rPr>
                <w:sz w:val="14"/>
              </w:rPr>
              <w:t>hast a  1000</w:t>
            </w:r>
          </w:p>
        </w:tc>
      </w:tr>
      <w:tr w:rsidR="00A63476">
        <w:trPr>
          <w:trHeight w:val="295"/>
        </w:trPr>
        <w:tc>
          <w:tcPr>
            <w:tcW w:w="825" w:type="dxa"/>
            <w:vMerge/>
            <w:tcBorders>
              <w:top w:val="nil"/>
            </w:tcBorders>
          </w:tcPr>
          <w:p w:rsidR="00A63476" w:rsidRDefault="00A63476">
            <w:pPr>
              <w:rPr>
                <w:sz w:val="2"/>
                <w:szCs w:val="2"/>
              </w:rPr>
            </w:pPr>
          </w:p>
        </w:tc>
        <w:tc>
          <w:tcPr>
            <w:tcW w:w="1288" w:type="dxa"/>
            <w:vMerge/>
            <w:tcBorders>
              <w:top w:val="nil"/>
            </w:tcBorders>
          </w:tcPr>
          <w:p w:rsidR="00A63476" w:rsidRDefault="00A63476">
            <w:pPr>
              <w:rPr>
                <w:sz w:val="2"/>
                <w:szCs w:val="2"/>
              </w:rPr>
            </w:pPr>
          </w:p>
        </w:tc>
        <w:tc>
          <w:tcPr>
            <w:tcW w:w="6565" w:type="dxa"/>
            <w:gridSpan w:val="13"/>
          </w:tcPr>
          <w:p w:rsidR="00A63476" w:rsidRDefault="00D22874">
            <w:pPr>
              <w:pStyle w:val="TableParagraph"/>
              <w:spacing w:before="46"/>
              <w:ind w:left="1836"/>
              <w:rPr>
                <w:sz w:val="14"/>
              </w:rPr>
            </w:pPr>
            <w:r>
              <w:rPr>
                <w:sz w:val="14"/>
              </w:rPr>
              <w:t>Montos máximos de subsidio federal en UMAS</w:t>
            </w:r>
          </w:p>
        </w:tc>
      </w:tr>
      <w:tr w:rsidR="00A63476">
        <w:trPr>
          <w:trHeight w:val="295"/>
        </w:trPr>
        <w:tc>
          <w:tcPr>
            <w:tcW w:w="825" w:type="dxa"/>
          </w:tcPr>
          <w:p w:rsidR="00A63476" w:rsidRDefault="00D22874">
            <w:pPr>
              <w:pStyle w:val="TableParagraph"/>
              <w:spacing w:before="56"/>
              <w:ind w:left="89"/>
              <w:rPr>
                <w:sz w:val="14"/>
              </w:rPr>
            </w:pPr>
            <w:r>
              <w:rPr>
                <w:sz w:val="14"/>
              </w:rPr>
              <w:t>I</w:t>
            </w:r>
          </w:p>
        </w:tc>
        <w:tc>
          <w:tcPr>
            <w:tcW w:w="1288" w:type="dxa"/>
          </w:tcPr>
          <w:p w:rsidR="00A63476" w:rsidRDefault="00D22874">
            <w:pPr>
              <w:pStyle w:val="TableParagraph"/>
              <w:spacing w:before="56"/>
              <w:ind w:left="84"/>
              <w:rPr>
                <w:sz w:val="14"/>
              </w:rPr>
            </w:pPr>
            <w:r>
              <w:rPr>
                <w:sz w:val="14"/>
              </w:rPr>
              <w:t>&gt; 175 hasta 190</w:t>
            </w:r>
          </w:p>
        </w:tc>
        <w:tc>
          <w:tcPr>
            <w:tcW w:w="505" w:type="dxa"/>
          </w:tcPr>
          <w:p w:rsidR="00A63476" w:rsidRDefault="00A63476">
            <w:pPr>
              <w:pStyle w:val="TableParagraph"/>
              <w:rPr>
                <w:rFonts w:ascii="Times New Roman"/>
                <w:sz w:val="16"/>
              </w:rPr>
            </w:pPr>
          </w:p>
        </w:tc>
        <w:tc>
          <w:tcPr>
            <w:tcW w:w="505" w:type="dxa"/>
          </w:tcPr>
          <w:p w:rsidR="00A63476" w:rsidRDefault="00A63476">
            <w:pPr>
              <w:pStyle w:val="TableParagraph"/>
              <w:rPr>
                <w:rFonts w:ascii="Times New Roman"/>
                <w:sz w:val="16"/>
              </w:rPr>
            </w:pPr>
          </w:p>
        </w:tc>
        <w:tc>
          <w:tcPr>
            <w:tcW w:w="505" w:type="dxa"/>
          </w:tcPr>
          <w:p w:rsidR="00A63476" w:rsidRDefault="00A63476">
            <w:pPr>
              <w:pStyle w:val="TableParagraph"/>
              <w:rPr>
                <w:rFonts w:ascii="Times New Roman"/>
                <w:sz w:val="16"/>
              </w:rPr>
            </w:pPr>
          </w:p>
        </w:tc>
        <w:tc>
          <w:tcPr>
            <w:tcW w:w="505" w:type="dxa"/>
          </w:tcPr>
          <w:p w:rsidR="00A63476" w:rsidRDefault="00A63476">
            <w:pPr>
              <w:pStyle w:val="TableParagraph"/>
              <w:rPr>
                <w:rFonts w:ascii="Times New Roman"/>
                <w:sz w:val="16"/>
              </w:rPr>
            </w:pPr>
          </w:p>
        </w:tc>
        <w:tc>
          <w:tcPr>
            <w:tcW w:w="505" w:type="dxa"/>
          </w:tcPr>
          <w:p w:rsidR="00A63476" w:rsidRDefault="00A63476">
            <w:pPr>
              <w:pStyle w:val="TableParagraph"/>
              <w:rPr>
                <w:rFonts w:ascii="Times New Roman"/>
                <w:sz w:val="16"/>
              </w:rPr>
            </w:pPr>
          </w:p>
        </w:tc>
        <w:tc>
          <w:tcPr>
            <w:tcW w:w="505" w:type="dxa"/>
          </w:tcPr>
          <w:p w:rsidR="00A63476" w:rsidRDefault="00D22874">
            <w:pPr>
              <w:pStyle w:val="TableParagraph"/>
              <w:spacing w:before="56"/>
              <w:ind w:left="91"/>
              <w:rPr>
                <w:sz w:val="14"/>
              </w:rPr>
            </w:pPr>
            <w:r>
              <w:rPr>
                <w:sz w:val="14"/>
              </w:rPr>
              <w:t>13</w:t>
            </w:r>
          </w:p>
        </w:tc>
        <w:tc>
          <w:tcPr>
            <w:tcW w:w="505" w:type="dxa"/>
          </w:tcPr>
          <w:p w:rsidR="00A63476" w:rsidRDefault="00D22874">
            <w:pPr>
              <w:pStyle w:val="TableParagraph"/>
              <w:spacing w:before="56"/>
              <w:ind w:left="86"/>
              <w:rPr>
                <w:sz w:val="14"/>
              </w:rPr>
            </w:pPr>
            <w:r>
              <w:rPr>
                <w:sz w:val="14"/>
              </w:rPr>
              <w:t>14</w:t>
            </w:r>
          </w:p>
        </w:tc>
        <w:tc>
          <w:tcPr>
            <w:tcW w:w="505" w:type="dxa"/>
          </w:tcPr>
          <w:p w:rsidR="00A63476" w:rsidRDefault="00D22874">
            <w:pPr>
              <w:pStyle w:val="TableParagraph"/>
              <w:spacing w:before="56"/>
              <w:ind w:left="81"/>
              <w:rPr>
                <w:sz w:val="14"/>
              </w:rPr>
            </w:pPr>
            <w:r>
              <w:rPr>
                <w:sz w:val="14"/>
              </w:rPr>
              <w:t>15</w:t>
            </w:r>
          </w:p>
        </w:tc>
        <w:tc>
          <w:tcPr>
            <w:tcW w:w="505" w:type="dxa"/>
          </w:tcPr>
          <w:p w:rsidR="00A63476" w:rsidRDefault="00D22874">
            <w:pPr>
              <w:pStyle w:val="TableParagraph"/>
              <w:spacing w:before="56"/>
              <w:ind w:left="96"/>
              <w:rPr>
                <w:sz w:val="14"/>
              </w:rPr>
            </w:pPr>
            <w:r>
              <w:rPr>
                <w:sz w:val="14"/>
              </w:rPr>
              <w:t>16</w:t>
            </w:r>
          </w:p>
        </w:tc>
        <w:tc>
          <w:tcPr>
            <w:tcW w:w="505" w:type="dxa"/>
          </w:tcPr>
          <w:p w:rsidR="00A63476" w:rsidRDefault="00D22874">
            <w:pPr>
              <w:pStyle w:val="TableParagraph"/>
              <w:spacing w:before="56"/>
              <w:ind w:left="91"/>
              <w:rPr>
                <w:sz w:val="14"/>
              </w:rPr>
            </w:pPr>
            <w:r>
              <w:rPr>
                <w:sz w:val="14"/>
              </w:rPr>
              <w:t>17</w:t>
            </w:r>
          </w:p>
        </w:tc>
        <w:tc>
          <w:tcPr>
            <w:tcW w:w="505" w:type="dxa"/>
          </w:tcPr>
          <w:p w:rsidR="00A63476" w:rsidRDefault="00D22874">
            <w:pPr>
              <w:pStyle w:val="TableParagraph"/>
              <w:spacing w:before="56"/>
              <w:ind w:left="86"/>
              <w:rPr>
                <w:sz w:val="14"/>
              </w:rPr>
            </w:pPr>
            <w:r>
              <w:rPr>
                <w:sz w:val="14"/>
              </w:rPr>
              <w:t>18</w:t>
            </w:r>
          </w:p>
        </w:tc>
        <w:tc>
          <w:tcPr>
            <w:tcW w:w="505" w:type="dxa"/>
          </w:tcPr>
          <w:p w:rsidR="00A63476" w:rsidRDefault="00D22874">
            <w:pPr>
              <w:pStyle w:val="TableParagraph"/>
              <w:spacing w:before="56"/>
              <w:ind w:left="101"/>
              <w:rPr>
                <w:sz w:val="14"/>
              </w:rPr>
            </w:pPr>
            <w:r>
              <w:rPr>
                <w:sz w:val="14"/>
              </w:rPr>
              <w:t>19</w:t>
            </w:r>
          </w:p>
        </w:tc>
        <w:tc>
          <w:tcPr>
            <w:tcW w:w="505" w:type="dxa"/>
          </w:tcPr>
          <w:p w:rsidR="00A63476" w:rsidRDefault="00D22874">
            <w:pPr>
              <w:pStyle w:val="TableParagraph"/>
              <w:spacing w:before="56"/>
              <w:ind w:left="96"/>
              <w:rPr>
                <w:sz w:val="14"/>
              </w:rPr>
            </w:pPr>
            <w:r>
              <w:rPr>
                <w:sz w:val="14"/>
              </w:rPr>
              <w:t>20</w:t>
            </w:r>
          </w:p>
        </w:tc>
      </w:tr>
    </w:tbl>
    <w:p w:rsidR="00A63476" w:rsidRDefault="00A63476">
      <w:pPr>
        <w:rPr>
          <w:sz w:val="14"/>
        </w:rPr>
        <w:sectPr w:rsidR="00A63476">
          <w:pgSz w:w="12240" w:h="15840"/>
          <w:pgMar w:top="920" w:right="1040" w:bottom="280" w:left="1180" w:header="700" w:footer="0" w:gutter="0"/>
          <w:cols w:space="720"/>
        </w:sectPr>
      </w:pPr>
    </w:p>
    <w:p w:rsidR="00A63476" w:rsidRDefault="00A63476">
      <w:pPr>
        <w:pStyle w:val="Textoindependiente"/>
        <w:ind w:left="0" w:right="0" w:firstLine="0"/>
        <w:jc w:val="left"/>
        <w:rPr>
          <w:sz w:val="19"/>
        </w:rPr>
      </w:pPr>
    </w:p>
    <w:tbl>
      <w:tblPr>
        <w:tblStyle w:val="TableNormal"/>
        <w:tblW w:w="0" w:type="auto"/>
        <w:tblInd w:w="678" w:type="dxa"/>
        <w:tblBorders>
          <w:top w:val="single" w:sz="6" w:space="0" w:color="404040"/>
          <w:left w:val="single" w:sz="6" w:space="0" w:color="404040"/>
          <w:bottom w:val="single" w:sz="6" w:space="0" w:color="404040"/>
          <w:right w:val="single" w:sz="6" w:space="0" w:color="404040"/>
          <w:insideH w:val="single" w:sz="6" w:space="0" w:color="404040"/>
          <w:insideV w:val="single" w:sz="6" w:space="0" w:color="404040"/>
        </w:tblBorders>
        <w:tblLayout w:type="fixed"/>
        <w:tblLook w:val="01E0" w:firstRow="1" w:lastRow="1" w:firstColumn="1" w:lastColumn="1" w:noHBand="0" w:noVBand="0"/>
      </w:tblPr>
      <w:tblGrid>
        <w:gridCol w:w="825"/>
        <w:gridCol w:w="1288"/>
        <w:gridCol w:w="505"/>
        <w:gridCol w:w="505"/>
        <w:gridCol w:w="505"/>
        <w:gridCol w:w="505"/>
        <w:gridCol w:w="505"/>
        <w:gridCol w:w="505"/>
        <w:gridCol w:w="505"/>
        <w:gridCol w:w="505"/>
        <w:gridCol w:w="505"/>
        <w:gridCol w:w="505"/>
        <w:gridCol w:w="505"/>
        <w:gridCol w:w="505"/>
        <w:gridCol w:w="505"/>
      </w:tblGrid>
      <w:tr w:rsidR="00A63476">
        <w:trPr>
          <w:trHeight w:val="295"/>
        </w:trPr>
        <w:tc>
          <w:tcPr>
            <w:tcW w:w="825" w:type="dxa"/>
          </w:tcPr>
          <w:p w:rsidR="00A63476" w:rsidRDefault="00D22874">
            <w:pPr>
              <w:pStyle w:val="TableParagraph"/>
              <w:spacing w:before="61"/>
              <w:ind w:left="89"/>
              <w:rPr>
                <w:sz w:val="14"/>
              </w:rPr>
            </w:pPr>
            <w:r>
              <w:rPr>
                <w:sz w:val="14"/>
              </w:rPr>
              <w:t>II</w:t>
            </w:r>
          </w:p>
        </w:tc>
        <w:tc>
          <w:tcPr>
            <w:tcW w:w="1288" w:type="dxa"/>
          </w:tcPr>
          <w:p w:rsidR="00A63476" w:rsidRDefault="00D22874">
            <w:pPr>
              <w:pStyle w:val="TableParagraph"/>
              <w:spacing w:before="61"/>
              <w:ind w:left="84"/>
              <w:rPr>
                <w:sz w:val="14"/>
              </w:rPr>
            </w:pPr>
            <w:r>
              <w:rPr>
                <w:sz w:val="14"/>
              </w:rPr>
              <w:t>&gt; 158 hasta 175</w:t>
            </w:r>
          </w:p>
        </w:tc>
        <w:tc>
          <w:tcPr>
            <w:tcW w:w="505" w:type="dxa"/>
          </w:tcPr>
          <w:p w:rsidR="00A63476" w:rsidRDefault="00A63476">
            <w:pPr>
              <w:pStyle w:val="TableParagraph"/>
              <w:rPr>
                <w:rFonts w:ascii="Times New Roman"/>
                <w:sz w:val="16"/>
              </w:rPr>
            </w:pPr>
          </w:p>
        </w:tc>
        <w:tc>
          <w:tcPr>
            <w:tcW w:w="505" w:type="dxa"/>
          </w:tcPr>
          <w:p w:rsidR="00A63476" w:rsidRDefault="00A63476">
            <w:pPr>
              <w:pStyle w:val="TableParagraph"/>
              <w:rPr>
                <w:rFonts w:ascii="Times New Roman"/>
                <w:sz w:val="16"/>
              </w:rPr>
            </w:pPr>
          </w:p>
        </w:tc>
        <w:tc>
          <w:tcPr>
            <w:tcW w:w="505" w:type="dxa"/>
          </w:tcPr>
          <w:p w:rsidR="00A63476" w:rsidRDefault="00A63476">
            <w:pPr>
              <w:pStyle w:val="TableParagraph"/>
              <w:rPr>
                <w:rFonts w:ascii="Times New Roman"/>
                <w:sz w:val="16"/>
              </w:rPr>
            </w:pPr>
          </w:p>
        </w:tc>
        <w:tc>
          <w:tcPr>
            <w:tcW w:w="505" w:type="dxa"/>
          </w:tcPr>
          <w:p w:rsidR="00A63476" w:rsidRDefault="00A63476">
            <w:pPr>
              <w:pStyle w:val="TableParagraph"/>
              <w:rPr>
                <w:rFonts w:ascii="Times New Roman"/>
                <w:sz w:val="16"/>
              </w:rPr>
            </w:pPr>
          </w:p>
        </w:tc>
        <w:tc>
          <w:tcPr>
            <w:tcW w:w="505" w:type="dxa"/>
          </w:tcPr>
          <w:p w:rsidR="00A63476" w:rsidRDefault="00A63476">
            <w:pPr>
              <w:pStyle w:val="TableParagraph"/>
              <w:rPr>
                <w:rFonts w:ascii="Times New Roman"/>
                <w:sz w:val="16"/>
              </w:rPr>
            </w:pPr>
          </w:p>
        </w:tc>
        <w:tc>
          <w:tcPr>
            <w:tcW w:w="505" w:type="dxa"/>
          </w:tcPr>
          <w:p w:rsidR="00A63476" w:rsidRDefault="00D22874">
            <w:pPr>
              <w:pStyle w:val="TableParagraph"/>
              <w:spacing w:before="61"/>
              <w:ind w:left="91"/>
              <w:rPr>
                <w:sz w:val="14"/>
              </w:rPr>
            </w:pPr>
            <w:r>
              <w:rPr>
                <w:sz w:val="14"/>
              </w:rPr>
              <w:t>18</w:t>
            </w:r>
          </w:p>
        </w:tc>
        <w:tc>
          <w:tcPr>
            <w:tcW w:w="505" w:type="dxa"/>
          </w:tcPr>
          <w:p w:rsidR="00A63476" w:rsidRDefault="00D22874">
            <w:pPr>
              <w:pStyle w:val="TableParagraph"/>
              <w:spacing w:before="61"/>
              <w:ind w:left="86"/>
              <w:rPr>
                <w:sz w:val="14"/>
              </w:rPr>
            </w:pPr>
            <w:r>
              <w:rPr>
                <w:sz w:val="14"/>
              </w:rPr>
              <w:t>19</w:t>
            </w:r>
          </w:p>
        </w:tc>
        <w:tc>
          <w:tcPr>
            <w:tcW w:w="505" w:type="dxa"/>
          </w:tcPr>
          <w:p w:rsidR="00A63476" w:rsidRDefault="00D22874">
            <w:pPr>
              <w:pStyle w:val="TableParagraph"/>
              <w:spacing w:before="61"/>
              <w:ind w:left="81"/>
              <w:rPr>
                <w:sz w:val="14"/>
              </w:rPr>
            </w:pPr>
            <w:r>
              <w:rPr>
                <w:sz w:val="14"/>
              </w:rPr>
              <w:t>20</w:t>
            </w:r>
          </w:p>
        </w:tc>
        <w:tc>
          <w:tcPr>
            <w:tcW w:w="505" w:type="dxa"/>
          </w:tcPr>
          <w:p w:rsidR="00A63476" w:rsidRDefault="00D22874">
            <w:pPr>
              <w:pStyle w:val="TableParagraph"/>
              <w:spacing w:before="61"/>
              <w:ind w:left="96"/>
              <w:rPr>
                <w:sz w:val="14"/>
              </w:rPr>
            </w:pPr>
            <w:r>
              <w:rPr>
                <w:sz w:val="14"/>
              </w:rPr>
              <w:t>21</w:t>
            </w:r>
          </w:p>
        </w:tc>
        <w:tc>
          <w:tcPr>
            <w:tcW w:w="505" w:type="dxa"/>
          </w:tcPr>
          <w:p w:rsidR="00A63476" w:rsidRDefault="00D22874">
            <w:pPr>
              <w:pStyle w:val="TableParagraph"/>
              <w:spacing w:before="61"/>
              <w:ind w:left="91"/>
              <w:rPr>
                <w:sz w:val="14"/>
              </w:rPr>
            </w:pPr>
            <w:r>
              <w:rPr>
                <w:sz w:val="14"/>
              </w:rPr>
              <w:t>22</w:t>
            </w:r>
          </w:p>
        </w:tc>
        <w:tc>
          <w:tcPr>
            <w:tcW w:w="505" w:type="dxa"/>
          </w:tcPr>
          <w:p w:rsidR="00A63476" w:rsidRDefault="00D22874">
            <w:pPr>
              <w:pStyle w:val="TableParagraph"/>
              <w:spacing w:before="61"/>
              <w:ind w:left="86"/>
              <w:rPr>
                <w:sz w:val="14"/>
              </w:rPr>
            </w:pPr>
            <w:r>
              <w:rPr>
                <w:sz w:val="14"/>
              </w:rPr>
              <w:t>23</w:t>
            </w:r>
          </w:p>
        </w:tc>
        <w:tc>
          <w:tcPr>
            <w:tcW w:w="505" w:type="dxa"/>
          </w:tcPr>
          <w:p w:rsidR="00A63476" w:rsidRDefault="00D22874">
            <w:pPr>
              <w:pStyle w:val="TableParagraph"/>
              <w:spacing w:before="61"/>
              <w:ind w:left="101"/>
              <w:rPr>
                <w:sz w:val="14"/>
              </w:rPr>
            </w:pPr>
            <w:r>
              <w:rPr>
                <w:sz w:val="14"/>
              </w:rPr>
              <w:t>24</w:t>
            </w:r>
          </w:p>
        </w:tc>
        <w:tc>
          <w:tcPr>
            <w:tcW w:w="505" w:type="dxa"/>
          </w:tcPr>
          <w:p w:rsidR="00A63476" w:rsidRDefault="00D22874">
            <w:pPr>
              <w:pStyle w:val="TableParagraph"/>
              <w:spacing w:before="61"/>
              <w:ind w:left="96"/>
              <w:rPr>
                <w:sz w:val="14"/>
              </w:rPr>
            </w:pPr>
            <w:r>
              <w:rPr>
                <w:sz w:val="14"/>
              </w:rPr>
              <w:t>25</w:t>
            </w:r>
          </w:p>
        </w:tc>
      </w:tr>
      <w:tr w:rsidR="00A63476">
        <w:trPr>
          <w:trHeight w:val="295"/>
        </w:trPr>
        <w:tc>
          <w:tcPr>
            <w:tcW w:w="825" w:type="dxa"/>
          </w:tcPr>
          <w:p w:rsidR="00A63476" w:rsidRDefault="00D22874">
            <w:pPr>
              <w:pStyle w:val="TableParagraph"/>
              <w:spacing w:before="51"/>
              <w:ind w:left="89"/>
              <w:rPr>
                <w:sz w:val="14"/>
              </w:rPr>
            </w:pPr>
            <w:r>
              <w:rPr>
                <w:sz w:val="14"/>
              </w:rPr>
              <w:t>III</w:t>
            </w:r>
          </w:p>
        </w:tc>
        <w:tc>
          <w:tcPr>
            <w:tcW w:w="1288" w:type="dxa"/>
          </w:tcPr>
          <w:p w:rsidR="00A63476" w:rsidRDefault="00D22874">
            <w:pPr>
              <w:pStyle w:val="TableParagraph"/>
              <w:spacing w:before="51"/>
              <w:ind w:left="123"/>
              <w:rPr>
                <w:sz w:val="14"/>
              </w:rPr>
            </w:pPr>
            <w:r>
              <w:rPr>
                <w:sz w:val="14"/>
              </w:rPr>
              <w:t>136 hasta 158</w:t>
            </w:r>
          </w:p>
        </w:tc>
        <w:tc>
          <w:tcPr>
            <w:tcW w:w="505" w:type="dxa"/>
          </w:tcPr>
          <w:p w:rsidR="00A63476" w:rsidRDefault="00A63476">
            <w:pPr>
              <w:pStyle w:val="TableParagraph"/>
              <w:rPr>
                <w:rFonts w:ascii="Times New Roman"/>
                <w:sz w:val="16"/>
              </w:rPr>
            </w:pPr>
          </w:p>
        </w:tc>
        <w:tc>
          <w:tcPr>
            <w:tcW w:w="505" w:type="dxa"/>
          </w:tcPr>
          <w:p w:rsidR="00A63476" w:rsidRDefault="00A63476">
            <w:pPr>
              <w:pStyle w:val="TableParagraph"/>
              <w:rPr>
                <w:rFonts w:ascii="Times New Roman"/>
                <w:sz w:val="16"/>
              </w:rPr>
            </w:pPr>
          </w:p>
        </w:tc>
        <w:tc>
          <w:tcPr>
            <w:tcW w:w="505" w:type="dxa"/>
          </w:tcPr>
          <w:p w:rsidR="00A63476" w:rsidRDefault="00A63476">
            <w:pPr>
              <w:pStyle w:val="TableParagraph"/>
              <w:rPr>
                <w:rFonts w:ascii="Times New Roman"/>
                <w:sz w:val="16"/>
              </w:rPr>
            </w:pPr>
          </w:p>
        </w:tc>
        <w:tc>
          <w:tcPr>
            <w:tcW w:w="505" w:type="dxa"/>
          </w:tcPr>
          <w:p w:rsidR="00A63476" w:rsidRDefault="00D22874">
            <w:pPr>
              <w:pStyle w:val="TableParagraph"/>
              <w:spacing w:before="51"/>
              <w:ind w:left="81"/>
              <w:rPr>
                <w:sz w:val="14"/>
              </w:rPr>
            </w:pPr>
            <w:r>
              <w:rPr>
                <w:sz w:val="14"/>
              </w:rPr>
              <w:t>18</w:t>
            </w:r>
          </w:p>
        </w:tc>
        <w:tc>
          <w:tcPr>
            <w:tcW w:w="505" w:type="dxa"/>
          </w:tcPr>
          <w:p w:rsidR="00A63476" w:rsidRDefault="00D22874">
            <w:pPr>
              <w:pStyle w:val="TableParagraph"/>
              <w:spacing w:before="51"/>
              <w:ind w:left="96"/>
              <w:rPr>
                <w:sz w:val="14"/>
              </w:rPr>
            </w:pPr>
            <w:r>
              <w:rPr>
                <w:sz w:val="14"/>
              </w:rPr>
              <w:t>19</w:t>
            </w:r>
          </w:p>
        </w:tc>
        <w:tc>
          <w:tcPr>
            <w:tcW w:w="505" w:type="dxa"/>
          </w:tcPr>
          <w:p w:rsidR="00A63476" w:rsidRDefault="00D22874">
            <w:pPr>
              <w:pStyle w:val="TableParagraph"/>
              <w:spacing w:before="51"/>
              <w:ind w:left="91"/>
              <w:rPr>
                <w:sz w:val="14"/>
              </w:rPr>
            </w:pPr>
            <w:r>
              <w:rPr>
                <w:sz w:val="14"/>
              </w:rPr>
              <w:t>20</w:t>
            </w:r>
          </w:p>
        </w:tc>
        <w:tc>
          <w:tcPr>
            <w:tcW w:w="505" w:type="dxa"/>
          </w:tcPr>
          <w:p w:rsidR="00A63476" w:rsidRDefault="00D22874">
            <w:pPr>
              <w:pStyle w:val="TableParagraph"/>
              <w:spacing w:before="51"/>
              <w:ind w:left="86"/>
              <w:rPr>
                <w:sz w:val="14"/>
              </w:rPr>
            </w:pPr>
            <w:r>
              <w:rPr>
                <w:sz w:val="14"/>
              </w:rPr>
              <w:t>21</w:t>
            </w:r>
          </w:p>
        </w:tc>
        <w:tc>
          <w:tcPr>
            <w:tcW w:w="505" w:type="dxa"/>
          </w:tcPr>
          <w:p w:rsidR="00A63476" w:rsidRDefault="00D22874">
            <w:pPr>
              <w:pStyle w:val="TableParagraph"/>
              <w:spacing w:before="51"/>
              <w:ind w:left="81"/>
              <w:rPr>
                <w:sz w:val="14"/>
              </w:rPr>
            </w:pPr>
            <w:r>
              <w:rPr>
                <w:sz w:val="14"/>
              </w:rPr>
              <w:t>22</w:t>
            </w:r>
          </w:p>
        </w:tc>
        <w:tc>
          <w:tcPr>
            <w:tcW w:w="505" w:type="dxa"/>
          </w:tcPr>
          <w:p w:rsidR="00A63476" w:rsidRDefault="00D22874">
            <w:pPr>
              <w:pStyle w:val="TableParagraph"/>
              <w:spacing w:before="51"/>
              <w:ind w:left="96"/>
              <w:rPr>
                <w:sz w:val="14"/>
              </w:rPr>
            </w:pPr>
            <w:r>
              <w:rPr>
                <w:sz w:val="14"/>
              </w:rPr>
              <w:t>23</w:t>
            </w:r>
          </w:p>
        </w:tc>
        <w:tc>
          <w:tcPr>
            <w:tcW w:w="505" w:type="dxa"/>
          </w:tcPr>
          <w:p w:rsidR="00A63476" w:rsidRDefault="00D22874">
            <w:pPr>
              <w:pStyle w:val="TableParagraph"/>
              <w:spacing w:before="51"/>
              <w:ind w:left="91"/>
              <w:rPr>
                <w:sz w:val="14"/>
              </w:rPr>
            </w:pPr>
            <w:r>
              <w:rPr>
                <w:sz w:val="14"/>
              </w:rPr>
              <w:t>24</w:t>
            </w:r>
          </w:p>
        </w:tc>
        <w:tc>
          <w:tcPr>
            <w:tcW w:w="505" w:type="dxa"/>
          </w:tcPr>
          <w:p w:rsidR="00A63476" w:rsidRDefault="00D22874">
            <w:pPr>
              <w:pStyle w:val="TableParagraph"/>
              <w:spacing w:before="51"/>
              <w:ind w:left="86"/>
              <w:rPr>
                <w:sz w:val="14"/>
              </w:rPr>
            </w:pPr>
            <w:r>
              <w:rPr>
                <w:sz w:val="14"/>
              </w:rPr>
              <w:t>25</w:t>
            </w:r>
          </w:p>
        </w:tc>
        <w:tc>
          <w:tcPr>
            <w:tcW w:w="505" w:type="dxa"/>
          </w:tcPr>
          <w:p w:rsidR="00A63476" w:rsidRDefault="00D22874">
            <w:pPr>
              <w:pStyle w:val="TableParagraph"/>
              <w:spacing w:before="51"/>
              <w:ind w:left="101"/>
              <w:rPr>
                <w:sz w:val="14"/>
              </w:rPr>
            </w:pPr>
            <w:r>
              <w:rPr>
                <w:sz w:val="14"/>
              </w:rPr>
              <w:t>26</w:t>
            </w:r>
          </w:p>
        </w:tc>
        <w:tc>
          <w:tcPr>
            <w:tcW w:w="505" w:type="dxa"/>
          </w:tcPr>
          <w:p w:rsidR="00A63476" w:rsidRDefault="00D22874">
            <w:pPr>
              <w:pStyle w:val="TableParagraph"/>
              <w:spacing w:before="51"/>
              <w:ind w:left="96"/>
              <w:rPr>
                <w:sz w:val="14"/>
              </w:rPr>
            </w:pPr>
            <w:r>
              <w:rPr>
                <w:sz w:val="14"/>
              </w:rPr>
              <w:t>27</w:t>
            </w:r>
          </w:p>
        </w:tc>
      </w:tr>
      <w:tr w:rsidR="00A63476">
        <w:trPr>
          <w:trHeight w:val="295"/>
        </w:trPr>
        <w:tc>
          <w:tcPr>
            <w:tcW w:w="825" w:type="dxa"/>
          </w:tcPr>
          <w:p w:rsidR="00A63476" w:rsidRDefault="00D22874">
            <w:pPr>
              <w:pStyle w:val="TableParagraph"/>
              <w:spacing w:before="61"/>
              <w:ind w:left="89"/>
              <w:rPr>
                <w:sz w:val="14"/>
              </w:rPr>
            </w:pPr>
            <w:r>
              <w:rPr>
                <w:sz w:val="14"/>
              </w:rPr>
              <w:t>IV</w:t>
            </w:r>
          </w:p>
        </w:tc>
        <w:tc>
          <w:tcPr>
            <w:tcW w:w="1288" w:type="dxa"/>
          </w:tcPr>
          <w:p w:rsidR="00A63476" w:rsidRDefault="00D22874">
            <w:pPr>
              <w:pStyle w:val="TableParagraph"/>
              <w:spacing w:before="61"/>
              <w:ind w:left="123"/>
              <w:rPr>
                <w:sz w:val="14"/>
              </w:rPr>
            </w:pPr>
            <w:r>
              <w:rPr>
                <w:sz w:val="14"/>
              </w:rPr>
              <w:t>60 hasta 136</w:t>
            </w:r>
          </w:p>
        </w:tc>
        <w:tc>
          <w:tcPr>
            <w:tcW w:w="505" w:type="dxa"/>
          </w:tcPr>
          <w:p w:rsidR="00A63476" w:rsidRDefault="00A63476">
            <w:pPr>
              <w:pStyle w:val="TableParagraph"/>
              <w:rPr>
                <w:rFonts w:ascii="Times New Roman"/>
                <w:sz w:val="16"/>
              </w:rPr>
            </w:pPr>
          </w:p>
        </w:tc>
        <w:tc>
          <w:tcPr>
            <w:tcW w:w="505" w:type="dxa"/>
          </w:tcPr>
          <w:p w:rsidR="00A63476" w:rsidRDefault="00D22874">
            <w:pPr>
              <w:pStyle w:val="TableParagraph"/>
              <w:spacing w:before="61"/>
              <w:ind w:left="91"/>
              <w:rPr>
                <w:sz w:val="14"/>
              </w:rPr>
            </w:pPr>
            <w:r>
              <w:rPr>
                <w:sz w:val="14"/>
              </w:rPr>
              <w:t>18</w:t>
            </w:r>
          </w:p>
        </w:tc>
        <w:tc>
          <w:tcPr>
            <w:tcW w:w="505" w:type="dxa"/>
          </w:tcPr>
          <w:p w:rsidR="00A63476" w:rsidRDefault="00D22874">
            <w:pPr>
              <w:pStyle w:val="TableParagraph"/>
              <w:spacing w:before="61"/>
              <w:ind w:left="86"/>
              <w:rPr>
                <w:sz w:val="14"/>
              </w:rPr>
            </w:pPr>
            <w:r>
              <w:rPr>
                <w:sz w:val="14"/>
              </w:rPr>
              <w:t>19</w:t>
            </w:r>
          </w:p>
        </w:tc>
        <w:tc>
          <w:tcPr>
            <w:tcW w:w="505" w:type="dxa"/>
          </w:tcPr>
          <w:p w:rsidR="00A63476" w:rsidRDefault="00D22874">
            <w:pPr>
              <w:pStyle w:val="TableParagraph"/>
              <w:spacing w:before="61"/>
              <w:ind w:left="81"/>
              <w:rPr>
                <w:sz w:val="14"/>
              </w:rPr>
            </w:pPr>
            <w:r>
              <w:rPr>
                <w:sz w:val="14"/>
              </w:rPr>
              <w:t>20</w:t>
            </w:r>
          </w:p>
        </w:tc>
        <w:tc>
          <w:tcPr>
            <w:tcW w:w="505" w:type="dxa"/>
          </w:tcPr>
          <w:p w:rsidR="00A63476" w:rsidRDefault="00D22874">
            <w:pPr>
              <w:pStyle w:val="TableParagraph"/>
              <w:spacing w:before="61"/>
              <w:ind w:left="96"/>
              <w:rPr>
                <w:sz w:val="14"/>
              </w:rPr>
            </w:pPr>
            <w:r>
              <w:rPr>
                <w:sz w:val="14"/>
              </w:rPr>
              <w:t>21</w:t>
            </w:r>
          </w:p>
        </w:tc>
        <w:tc>
          <w:tcPr>
            <w:tcW w:w="505" w:type="dxa"/>
          </w:tcPr>
          <w:p w:rsidR="00A63476" w:rsidRDefault="00D22874">
            <w:pPr>
              <w:pStyle w:val="TableParagraph"/>
              <w:spacing w:before="61"/>
              <w:ind w:left="91"/>
              <w:rPr>
                <w:sz w:val="14"/>
              </w:rPr>
            </w:pPr>
            <w:r>
              <w:rPr>
                <w:sz w:val="14"/>
              </w:rPr>
              <w:t>22</w:t>
            </w:r>
          </w:p>
        </w:tc>
        <w:tc>
          <w:tcPr>
            <w:tcW w:w="505" w:type="dxa"/>
          </w:tcPr>
          <w:p w:rsidR="00A63476" w:rsidRDefault="00D22874">
            <w:pPr>
              <w:pStyle w:val="TableParagraph"/>
              <w:spacing w:before="61"/>
              <w:ind w:left="86"/>
              <w:rPr>
                <w:sz w:val="14"/>
              </w:rPr>
            </w:pPr>
            <w:r>
              <w:rPr>
                <w:sz w:val="14"/>
              </w:rPr>
              <w:t>23</w:t>
            </w:r>
          </w:p>
        </w:tc>
        <w:tc>
          <w:tcPr>
            <w:tcW w:w="505" w:type="dxa"/>
          </w:tcPr>
          <w:p w:rsidR="00A63476" w:rsidRDefault="00D22874">
            <w:pPr>
              <w:pStyle w:val="TableParagraph"/>
              <w:spacing w:before="61"/>
              <w:ind w:left="81"/>
              <w:rPr>
                <w:sz w:val="14"/>
              </w:rPr>
            </w:pPr>
            <w:r>
              <w:rPr>
                <w:sz w:val="14"/>
              </w:rPr>
              <w:t>24</w:t>
            </w:r>
          </w:p>
        </w:tc>
        <w:tc>
          <w:tcPr>
            <w:tcW w:w="505" w:type="dxa"/>
          </w:tcPr>
          <w:p w:rsidR="00A63476" w:rsidRDefault="00D22874">
            <w:pPr>
              <w:pStyle w:val="TableParagraph"/>
              <w:spacing w:before="61"/>
              <w:ind w:left="96"/>
              <w:rPr>
                <w:sz w:val="14"/>
              </w:rPr>
            </w:pPr>
            <w:r>
              <w:rPr>
                <w:sz w:val="14"/>
              </w:rPr>
              <w:t>25</w:t>
            </w:r>
          </w:p>
        </w:tc>
        <w:tc>
          <w:tcPr>
            <w:tcW w:w="505" w:type="dxa"/>
          </w:tcPr>
          <w:p w:rsidR="00A63476" w:rsidRDefault="00D22874">
            <w:pPr>
              <w:pStyle w:val="TableParagraph"/>
              <w:spacing w:before="61"/>
              <w:ind w:left="91"/>
              <w:rPr>
                <w:sz w:val="14"/>
              </w:rPr>
            </w:pPr>
            <w:r>
              <w:rPr>
                <w:sz w:val="14"/>
              </w:rPr>
              <w:t>26</w:t>
            </w:r>
          </w:p>
        </w:tc>
        <w:tc>
          <w:tcPr>
            <w:tcW w:w="505" w:type="dxa"/>
          </w:tcPr>
          <w:p w:rsidR="00A63476" w:rsidRDefault="00D22874">
            <w:pPr>
              <w:pStyle w:val="TableParagraph"/>
              <w:spacing w:before="61"/>
              <w:ind w:left="86"/>
              <w:rPr>
                <w:sz w:val="14"/>
              </w:rPr>
            </w:pPr>
            <w:r>
              <w:rPr>
                <w:sz w:val="14"/>
              </w:rPr>
              <w:t>27</w:t>
            </w:r>
          </w:p>
        </w:tc>
        <w:tc>
          <w:tcPr>
            <w:tcW w:w="505" w:type="dxa"/>
          </w:tcPr>
          <w:p w:rsidR="00A63476" w:rsidRDefault="00D22874">
            <w:pPr>
              <w:pStyle w:val="TableParagraph"/>
              <w:spacing w:before="61"/>
              <w:ind w:left="101"/>
              <w:rPr>
                <w:sz w:val="14"/>
              </w:rPr>
            </w:pPr>
            <w:r>
              <w:rPr>
                <w:sz w:val="14"/>
              </w:rPr>
              <w:t>28</w:t>
            </w:r>
          </w:p>
        </w:tc>
        <w:tc>
          <w:tcPr>
            <w:tcW w:w="505" w:type="dxa"/>
          </w:tcPr>
          <w:p w:rsidR="00A63476" w:rsidRDefault="00D22874">
            <w:pPr>
              <w:pStyle w:val="TableParagraph"/>
              <w:spacing w:before="61"/>
              <w:ind w:left="96"/>
              <w:rPr>
                <w:sz w:val="14"/>
              </w:rPr>
            </w:pPr>
            <w:r>
              <w:rPr>
                <w:sz w:val="14"/>
              </w:rPr>
              <w:t>29</w:t>
            </w:r>
          </w:p>
        </w:tc>
      </w:tr>
      <w:tr w:rsidR="00A63476">
        <w:trPr>
          <w:trHeight w:val="295"/>
        </w:trPr>
        <w:tc>
          <w:tcPr>
            <w:tcW w:w="825" w:type="dxa"/>
          </w:tcPr>
          <w:p w:rsidR="00A63476" w:rsidRDefault="00D22874">
            <w:pPr>
              <w:pStyle w:val="TableParagraph"/>
              <w:spacing w:before="50"/>
              <w:ind w:left="89"/>
              <w:rPr>
                <w:sz w:val="14"/>
              </w:rPr>
            </w:pPr>
            <w:r>
              <w:rPr>
                <w:sz w:val="14"/>
              </w:rPr>
              <w:t>V</w:t>
            </w:r>
          </w:p>
        </w:tc>
        <w:tc>
          <w:tcPr>
            <w:tcW w:w="1288" w:type="dxa"/>
          </w:tcPr>
          <w:p w:rsidR="00A63476" w:rsidRDefault="00D22874">
            <w:pPr>
              <w:pStyle w:val="TableParagraph"/>
              <w:spacing w:before="50"/>
              <w:ind w:left="123"/>
              <w:rPr>
                <w:sz w:val="14"/>
              </w:rPr>
            </w:pPr>
            <w:r>
              <w:rPr>
                <w:sz w:val="14"/>
              </w:rPr>
              <w:t>60 hasta 136</w:t>
            </w:r>
          </w:p>
        </w:tc>
        <w:tc>
          <w:tcPr>
            <w:tcW w:w="505" w:type="dxa"/>
          </w:tcPr>
          <w:p w:rsidR="00A63476" w:rsidRDefault="00A63476">
            <w:pPr>
              <w:pStyle w:val="TableParagraph"/>
              <w:rPr>
                <w:rFonts w:ascii="Times New Roman"/>
                <w:sz w:val="16"/>
              </w:rPr>
            </w:pPr>
          </w:p>
        </w:tc>
        <w:tc>
          <w:tcPr>
            <w:tcW w:w="505" w:type="dxa"/>
          </w:tcPr>
          <w:p w:rsidR="00A63476" w:rsidRDefault="00D22874">
            <w:pPr>
              <w:pStyle w:val="TableParagraph"/>
              <w:spacing w:before="50"/>
              <w:ind w:left="91"/>
              <w:rPr>
                <w:sz w:val="14"/>
              </w:rPr>
            </w:pPr>
            <w:r>
              <w:rPr>
                <w:sz w:val="14"/>
              </w:rPr>
              <w:t>25</w:t>
            </w:r>
          </w:p>
        </w:tc>
        <w:tc>
          <w:tcPr>
            <w:tcW w:w="505" w:type="dxa"/>
          </w:tcPr>
          <w:p w:rsidR="00A63476" w:rsidRDefault="00D22874">
            <w:pPr>
              <w:pStyle w:val="TableParagraph"/>
              <w:spacing w:before="50"/>
              <w:ind w:left="86"/>
              <w:rPr>
                <w:sz w:val="14"/>
              </w:rPr>
            </w:pPr>
            <w:r>
              <w:rPr>
                <w:sz w:val="14"/>
              </w:rPr>
              <w:t>25</w:t>
            </w:r>
          </w:p>
        </w:tc>
        <w:tc>
          <w:tcPr>
            <w:tcW w:w="505" w:type="dxa"/>
          </w:tcPr>
          <w:p w:rsidR="00A63476" w:rsidRDefault="00D22874">
            <w:pPr>
              <w:pStyle w:val="TableParagraph"/>
              <w:spacing w:before="50"/>
              <w:ind w:left="81"/>
              <w:rPr>
                <w:sz w:val="14"/>
              </w:rPr>
            </w:pPr>
            <w:r>
              <w:rPr>
                <w:sz w:val="14"/>
              </w:rPr>
              <w:t>26</w:t>
            </w:r>
          </w:p>
        </w:tc>
        <w:tc>
          <w:tcPr>
            <w:tcW w:w="505" w:type="dxa"/>
          </w:tcPr>
          <w:p w:rsidR="00A63476" w:rsidRDefault="00D22874">
            <w:pPr>
              <w:pStyle w:val="TableParagraph"/>
              <w:spacing w:before="50"/>
              <w:ind w:left="96"/>
              <w:rPr>
                <w:sz w:val="14"/>
              </w:rPr>
            </w:pPr>
            <w:r>
              <w:rPr>
                <w:sz w:val="14"/>
              </w:rPr>
              <w:t>27</w:t>
            </w:r>
          </w:p>
        </w:tc>
        <w:tc>
          <w:tcPr>
            <w:tcW w:w="505" w:type="dxa"/>
          </w:tcPr>
          <w:p w:rsidR="00A63476" w:rsidRDefault="00D22874">
            <w:pPr>
              <w:pStyle w:val="TableParagraph"/>
              <w:spacing w:before="50"/>
              <w:ind w:left="91"/>
              <w:rPr>
                <w:sz w:val="14"/>
              </w:rPr>
            </w:pPr>
            <w:r>
              <w:rPr>
                <w:sz w:val="14"/>
              </w:rPr>
              <w:t>28</w:t>
            </w:r>
          </w:p>
        </w:tc>
        <w:tc>
          <w:tcPr>
            <w:tcW w:w="505" w:type="dxa"/>
          </w:tcPr>
          <w:p w:rsidR="00A63476" w:rsidRDefault="00D22874">
            <w:pPr>
              <w:pStyle w:val="TableParagraph"/>
              <w:spacing w:before="50"/>
              <w:ind w:left="86"/>
              <w:rPr>
                <w:sz w:val="14"/>
              </w:rPr>
            </w:pPr>
            <w:r>
              <w:rPr>
                <w:sz w:val="14"/>
              </w:rPr>
              <w:t>29</w:t>
            </w:r>
          </w:p>
        </w:tc>
        <w:tc>
          <w:tcPr>
            <w:tcW w:w="505" w:type="dxa"/>
          </w:tcPr>
          <w:p w:rsidR="00A63476" w:rsidRDefault="00D22874">
            <w:pPr>
              <w:pStyle w:val="TableParagraph"/>
              <w:spacing w:before="50"/>
              <w:ind w:left="81"/>
              <w:rPr>
                <w:sz w:val="14"/>
              </w:rPr>
            </w:pPr>
            <w:r>
              <w:rPr>
                <w:sz w:val="14"/>
              </w:rPr>
              <w:t>30</w:t>
            </w:r>
          </w:p>
        </w:tc>
        <w:tc>
          <w:tcPr>
            <w:tcW w:w="505" w:type="dxa"/>
          </w:tcPr>
          <w:p w:rsidR="00A63476" w:rsidRDefault="00D22874">
            <w:pPr>
              <w:pStyle w:val="TableParagraph"/>
              <w:spacing w:before="50"/>
              <w:ind w:left="96"/>
              <w:rPr>
                <w:sz w:val="14"/>
              </w:rPr>
            </w:pPr>
            <w:r>
              <w:rPr>
                <w:sz w:val="14"/>
              </w:rPr>
              <w:t>31</w:t>
            </w:r>
          </w:p>
        </w:tc>
        <w:tc>
          <w:tcPr>
            <w:tcW w:w="505" w:type="dxa"/>
          </w:tcPr>
          <w:p w:rsidR="00A63476" w:rsidRDefault="00D22874">
            <w:pPr>
              <w:pStyle w:val="TableParagraph"/>
              <w:spacing w:before="50"/>
              <w:ind w:left="91"/>
              <w:rPr>
                <w:sz w:val="14"/>
              </w:rPr>
            </w:pPr>
            <w:r>
              <w:rPr>
                <w:sz w:val="14"/>
              </w:rPr>
              <w:t>32</w:t>
            </w:r>
          </w:p>
        </w:tc>
        <w:tc>
          <w:tcPr>
            <w:tcW w:w="505" w:type="dxa"/>
          </w:tcPr>
          <w:p w:rsidR="00A63476" w:rsidRDefault="00D22874">
            <w:pPr>
              <w:pStyle w:val="TableParagraph"/>
              <w:spacing w:before="50"/>
              <w:ind w:left="86"/>
              <w:rPr>
                <w:sz w:val="14"/>
              </w:rPr>
            </w:pPr>
            <w:r>
              <w:rPr>
                <w:sz w:val="14"/>
              </w:rPr>
              <w:t>33</w:t>
            </w:r>
          </w:p>
        </w:tc>
        <w:tc>
          <w:tcPr>
            <w:tcW w:w="505" w:type="dxa"/>
          </w:tcPr>
          <w:p w:rsidR="00A63476" w:rsidRDefault="00D22874">
            <w:pPr>
              <w:pStyle w:val="TableParagraph"/>
              <w:spacing w:before="50"/>
              <w:ind w:left="101"/>
              <w:rPr>
                <w:sz w:val="14"/>
              </w:rPr>
            </w:pPr>
            <w:r>
              <w:rPr>
                <w:sz w:val="14"/>
              </w:rPr>
              <w:t>34</w:t>
            </w:r>
          </w:p>
        </w:tc>
        <w:tc>
          <w:tcPr>
            <w:tcW w:w="505" w:type="dxa"/>
          </w:tcPr>
          <w:p w:rsidR="00A63476" w:rsidRDefault="00D22874">
            <w:pPr>
              <w:pStyle w:val="TableParagraph"/>
              <w:spacing w:before="50"/>
              <w:ind w:left="96"/>
              <w:rPr>
                <w:sz w:val="14"/>
              </w:rPr>
            </w:pPr>
            <w:r>
              <w:rPr>
                <w:sz w:val="14"/>
              </w:rPr>
              <w:t>35</w:t>
            </w:r>
          </w:p>
        </w:tc>
      </w:tr>
      <w:tr w:rsidR="00A63476">
        <w:trPr>
          <w:trHeight w:val="615"/>
        </w:trPr>
        <w:tc>
          <w:tcPr>
            <w:tcW w:w="8678" w:type="dxa"/>
            <w:gridSpan w:val="15"/>
          </w:tcPr>
          <w:p w:rsidR="00A63476" w:rsidRDefault="00D22874">
            <w:pPr>
              <w:pStyle w:val="TableParagraph"/>
              <w:spacing w:before="77" w:line="208" w:lineRule="auto"/>
              <w:ind w:left="89"/>
              <w:rPr>
                <w:sz w:val="14"/>
              </w:rPr>
            </w:pPr>
            <w:r>
              <w:rPr>
                <w:sz w:val="14"/>
              </w:rPr>
              <w:t>Categoría I – Viviendas con superficie construida igual o mayor a los valores mínimos en cada entidad federativa, establecidos por la Comisión y difundidos a través del Manual de Procedimientos o Guía de Aplicación referido en el Anexo 2.</w:t>
            </w:r>
          </w:p>
          <w:p w:rsidR="00A63476" w:rsidRDefault="00D22874">
            <w:pPr>
              <w:pStyle w:val="TableParagraph"/>
              <w:spacing w:before="23"/>
              <w:ind w:left="89"/>
              <w:rPr>
                <w:sz w:val="14"/>
              </w:rPr>
            </w:pPr>
            <w:r>
              <w:rPr>
                <w:sz w:val="14"/>
              </w:rPr>
              <w:t>Categoría V-Rango</w:t>
            </w:r>
            <w:r>
              <w:rPr>
                <w:sz w:val="14"/>
              </w:rPr>
              <w:t xml:space="preserve"> de ingreso hasta 1.4 UMAS</w:t>
            </w:r>
          </w:p>
        </w:tc>
      </w:tr>
    </w:tbl>
    <w:p w:rsidR="00A63476" w:rsidRDefault="00A63476">
      <w:pPr>
        <w:pStyle w:val="Textoindependiente"/>
        <w:ind w:left="0" w:right="0" w:firstLine="0"/>
        <w:jc w:val="left"/>
        <w:rPr>
          <w:sz w:val="20"/>
        </w:rPr>
      </w:pPr>
    </w:p>
    <w:p w:rsidR="00A63476" w:rsidRDefault="00A63476">
      <w:pPr>
        <w:pStyle w:val="Textoindependiente"/>
        <w:spacing w:before="3"/>
        <w:ind w:left="0" w:right="0" w:firstLine="0"/>
        <w:jc w:val="left"/>
        <w:rPr>
          <w:sz w:val="19"/>
        </w:rPr>
      </w:pPr>
    </w:p>
    <w:p w:rsidR="00A63476" w:rsidRDefault="00D22874">
      <w:pPr>
        <w:pStyle w:val="Textoindependiente"/>
        <w:spacing w:line="254" w:lineRule="auto"/>
        <w:ind w:right="663"/>
      </w:pPr>
      <w:r>
        <w:t>El puntaje de ubicación y sustentabilidad del entorno se medirá de acuerdo con el Anexo 2. Para acceder al subsidio federal, la vivienda deberá cumplir los requisitos establecidos en dicho</w:t>
      </w:r>
      <w:r>
        <w:rPr>
          <w:spacing w:val="-12"/>
        </w:rPr>
        <w:t xml:space="preserve"> </w:t>
      </w:r>
      <w:r>
        <w:t>Anexo.</w:t>
      </w:r>
    </w:p>
    <w:p w:rsidR="00A63476" w:rsidRDefault="00D22874">
      <w:pPr>
        <w:pStyle w:val="Textoindependiente"/>
        <w:spacing w:before="101" w:line="254" w:lineRule="auto"/>
        <w:ind w:right="663"/>
      </w:pPr>
      <w:r>
        <w:t>No se otorgará subsidio federal a personas que adquieran viv</w:t>
      </w:r>
      <w:r>
        <w:t>ienda nueva ubicada fuera de los Perímetros de Contención Urbana o de reservas territoriales que no califiquen conforme a los mismos perímetros.</w:t>
      </w:r>
    </w:p>
    <w:p w:rsidR="00A63476" w:rsidRDefault="00D22874">
      <w:pPr>
        <w:pStyle w:val="Prrafodelista"/>
        <w:numPr>
          <w:ilvl w:val="0"/>
          <w:numId w:val="49"/>
        </w:numPr>
        <w:tabs>
          <w:tab w:val="left" w:pos="1218"/>
        </w:tabs>
        <w:spacing w:before="122"/>
        <w:ind w:left="1218" w:hanging="418"/>
        <w:rPr>
          <w:sz w:val="18"/>
        </w:rPr>
      </w:pPr>
      <w:r>
        <w:rPr>
          <w:sz w:val="18"/>
        </w:rPr>
        <w:t>Adquisición de Vivienda</w:t>
      </w:r>
      <w:r>
        <w:rPr>
          <w:spacing w:val="-1"/>
          <w:sz w:val="18"/>
        </w:rPr>
        <w:t xml:space="preserve"> </w:t>
      </w:r>
      <w:r>
        <w:rPr>
          <w:sz w:val="18"/>
        </w:rPr>
        <w:t>Usada</w:t>
      </w:r>
    </w:p>
    <w:p w:rsidR="00A63476" w:rsidRDefault="00D22874">
      <w:pPr>
        <w:pStyle w:val="Textoindependiente"/>
        <w:spacing w:before="113" w:line="264" w:lineRule="auto"/>
      </w:pPr>
      <w:r>
        <w:t xml:space="preserve">La </w:t>
      </w:r>
      <w:r>
        <w:rPr>
          <w:spacing w:val="-3"/>
        </w:rPr>
        <w:t xml:space="preserve">CONAVI </w:t>
      </w:r>
      <w:r>
        <w:t>podrá otorgar subsidio con el propósito de adquirir vivienda terminada,</w:t>
      </w:r>
      <w:r>
        <w:t xml:space="preserve"> en segunda o posterior transmisión, individual o en conjunto, ubicada fuera de zonas de riesgo, realizada por terceros, que cumpla con las necesidades de densidad, superficie construida, seguridad estructural, instalaciones, servicios, áreas de uso común,</w:t>
      </w:r>
      <w:r>
        <w:t xml:space="preserve"> entre otros, establecidos por la reglamentación local</w:t>
      </w:r>
      <w:r>
        <w:rPr>
          <w:spacing w:val="-3"/>
        </w:rPr>
        <w:t xml:space="preserve"> </w:t>
      </w:r>
      <w:r>
        <w:t>correspondiente.</w:t>
      </w:r>
    </w:p>
    <w:p w:rsidR="00A63476" w:rsidRDefault="00D22874">
      <w:pPr>
        <w:pStyle w:val="Textoindependiente"/>
        <w:spacing w:before="89" w:line="254" w:lineRule="auto"/>
        <w:ind w:right="663"/>
      </w:pPr>
      <w:r>
        <w:t>Las personas beneficiarias podrán acceder a un monto máximo de subsidio federal para la adquisición de vivienda usada ubicada dentro de los Perímetros de Contención Urbana de acuerdo con el siguiente cuadro:</w:t>
      </w:r>
    </w:p>
    <w:p w:rsidR="00A63476" w:rsidRDefault="00A63476">
      <w:pPr>
        <w:pStyle w:val="Textoindependiente"/>
        <w:spacing w:before="1"/>
        <w:ind w:left="0" w:right="0" w:firstLine="0"/>
        <w:jc w:val="left"/>
        <w:rPr>
          <w:sz w:val="10"/>
        </w:rPr>
      </w:pPr>
    </w:p>
    <w:tbl>
      <w:tblPr>
        <w:tblStyle w:val="TableNormal"/>
        <w:tblW w:w="0" w:type="auto"/>
        <w:tblInd w:w="2506" w:type="dxa"/>
        <w:tblBorders>
          <w:top w:val="single" w:sz="6" w:space="0" w:color="404040"/>
          <w:left w:val="single" w:sz="6" w:space="0" w:color="404040"/>
          <w:bottom w:val="single" w:sz="6" w:space="0" w:color="404040"/>
          <w:right w:val="single" w:sz="6" w:space="0" w:color="404040"/>
          <w:insideH w:val="single" w:sz="6" w:space="0" w:color="404040"/>
          <w:insideV w:val="single" w:sz="6" w:space="0" w:color="404040"/>
        </w:tblBorders>
        <w:tblLayout w:type="fixed"/>
        <w:tblLook w:val="01E0" w:firstRow="1" w:lastRow="1" w:firstColumn="1" w:lastColumn="1" w:noHBand="0" w:noVBand="0"/>
      </w:tblPr>
      <w:tblGrid>
        <w:gridCol w:w="1154"/>
        <w:gridCol w:w="2008"/>
        <w:gridCol w:w="1719"/>
      </w:tblGrid>
      <w:tr w:rsidR="00A63476">
        <w:trPr>
          <w:trHeight w:val="798"/>
        </w:trPr>
        <w:tc>
          <w:tcPr>
            <w:tcW w:w="1154" w:type="dxa"/>
          </w:tcPr>
          <w:p w:rsidR="00A63476" w:rsidRDefault="00A63476">
            <w:pPr>
              <w:pStyle w:val="TableParagraph"/>
              <w:rPr>
                <w:sz w:val="18"/>
              </w:rPr>
            </w:pPr>
          </w:p>
          <w:p w:rsidR="00A63476" w:rsidRDefault="00D22874">
            <w:pPr>
              <w:pStyle w:val="TableParagraph"/>
              <w:spacing w:before="122"/>
              <w:ind w:left="80"/>
              <w:rPr>
                <w:b/>
                <w:sz w:val="16"/>
              </w:rPr>
            </w:pPr>
            <w:r>
              <w:rPr>
                <w:b/>
                <w:sz w:val="16"/>
              </w:rPr>
              <w:t>Ubicación</w:t>
            </w:r>
          </w:p>
        </w:tc>
        <w:tc>
          <w:tcPr>
            <w:tcW w:w="2008" w:type="dxa"/>
          </w:tcPr>
          <w:p w:rsidR="00A63476" w:rsidRDefault="00D22874">
            <w:pPr>
              <w:pStyle w:val="TableParagraph"/>
              <w:spacing w:before="109" w:line="273" w:lineRule="auto"/>
              <w:ind w:left="86" w:right="526"/>
              <w:rPr>
                <w:b/>
                <w:sz w:val="16"/>
              </w:rPr>
            </w:pPr>
            <w:r>
              <w:rPr>
                <w:b/>
                <w:sz w:val="16"/>
              </w:rPr>
              <w:t>Monto máximo de subsidio federal (UM</w:t>
            </w:r>
            <w:r>
              <w:rPr>
                <w:b/>
                <w:sz w:val="16"/>
              </w:rPr>
              <w:t>AS)</w:t>
            </w:r>
          </w:p>
        </w:tc>
        <w:tc>
          <w:tcPr>
            <w:tcW w:w="1719" w:type="dxa"/>
          </w:tcPr>
          <w:p w:rsidR="00A63476" w:rsidRDefault="00A63476">
            <w:pPr>
              <w:pStyle w:val="TableParagraph"/>
              <w:spacing w:before="1"/>
              <w:rPr>
                <w:sz w:val="18"/>
              </w:rPr>
            </w:pPr>
          </w:p>
          <w:p w:rsidR="00A63476" w:rsidRDefault="00D22874">
            <w:pPr>
              <w:pStyle w:val="TableParagraph"/>
              <w:spacing w:before="1" w:line="261" w:lineRule="auto"/>
              <w:ind w:left="78"/>
              <w:rPr>
                <w:b/>
                <w:sz w:val="16"/>
              </w:rPr>
            </w:pPr>
            <w:r>
              <w:rPr>
                <w:b/>
                <w:sz w:val="16"/>
              </w:rPr>
              <w:t>Valor Máximo de la Vivienda (UMAS)</w:t>
            </w:r>
          </w:p>
        </w:tc>
      </w:tr>
      <w:tr w:rsidR="00A63476">
        <w:trPr>
          <w:trHeight w:val="366"/>
        </w:trPr>
        <w:tc>
          <w:tcPr>
            <w:tcW w:w="1154" w:type="dxa"/>
          </w:tcPr>
          <w:p w:rsidR="00A63476" w:rsidRDefault="00D22874">
            <w:pPr>
              <w:pStyle w:val="TableParagraph"/>
              <w:spacing w:before="95"/>
              <w:ind w:left="80"/>
              <w:rPr>
                <w:sz w:val="16"/>
              </w:rPr>
            </w:pPr>
            <w:r>
              <w:rPr>
                <w:sz w:val="16"/>
              </w:rPr>
              <w:t>U1</w:t>
            </w:r>
          </w:p>
        </w:tc>
        <w:tc>
          <w:tcPr>
            <w:tcW w:w="2008" w:type="dxa"/>
          </w:tcPr>
          <w:p w:rsidR="00A63476" w:rsidRDefault="00D22874">
            <w:pPr>
              <w:pStyle w:val="TableParagraph"/>
              <w:spacing w:before="95"/>
              <w:ind w:left="86"/>
              <w:rPr>
                <w:sz w:val="16"/>
              </w:rPr>
            </w:pPr>
            <w:r>
              <w:rPr>
                <w:sz w:val="16"/>
              </w:rPr>
              <w:t>30</w:t>
            </w:r>
          </w:p>
        </w:tc>
        <w:tc>
          <w:tcPr>
            <w:tcW w:w="1719" w:type="dxa"/>
          </w:tcPr>
          <w:p w:rsidR="00A63476" w:rsidRDefault="00D22874">
            <w:pPr>
              <w:pStyle w:val="TableParagraph"/>
              <w:spacing w:before="95"/>
              <w:ind w:left="78"/>
              <w:rPr>
                <w:sz w:val="16"/>
              </w:rPr>
            </w:pPr>
            <w:r>
              <w:rPr>
                <w:sz w:val="16"/>
              </w:rPr>
              <w:t>158</w:t>
            </w:r>
          </w:p>
        </w:tc>
      </w:tr>
      <w:tr w:rsidR="00A63476">
        <w:trPr>
          <w:trHeight w:val="366"/>
        </w:trPr>
        <w:tc>
          <w:tcPr>
            <w:tcW w:w="1154" w:type="dxa"/>
          </w:tcPr>
          <w:p w:rsidR="00A63476" w:rsidRDefault="00D22874">
            <w:pPr>
              <w:pStyle w:val="TableParagraph"/>
              <w:spacing w:before="93"/>
              <w:ind w:left="80"/>
              <w:rPr>
                <w:sz w:val="16"/>
              </w:rPr>
            </w:pPr>
            <w:r>
              <w:rPr>
                <w:sz w:val="16"/>
              </w:rPr>
              <w:t>U2</w:t>
            </w:r>
          </w:p>
        </w:tc>
        <w:tc>
          <w:tcPr>
            <w:tcW w:w="2008" w:type="dxa"/>
          </w:tcPr>
          <w:p w:rsidR="00A63476" w:rsidRDefault="00D22874">
            <w:pPr>
              <w:pStyle w:val="TableParagraph"/>
              <w:spacing w:before="93"/>
              <w:ind w:left="86"/>
              <w:rPr>
                <w:sz w:val="16"/>
              </w:rPr>
            </w:pPr>
            <w:r>
              <w:rPr>
                <w:sz w:val="16"/>
              </w:rPr>
              <w:t>24</w:t>
            </w:r>
          </w:p>
        </w:tc>
        <w:tc>
          <w:tcPr>
            <w:tcW w:w="1719" w:type="dxa"/>
          </w:tcPr>
          <w:p w:rsidR="00A63476" w:rsidRDefault="00D22874">
            <w:pPr>
              <w:pStyle w:val="TableParagraph"/>
              <w:spacing w:before="93"/>
              <w:ind w:left="78"/>
              <w:rPr>
                <w:sz w:val="16"/>
              </w:rPr>
            </w:pPr>
            <w:r>
              <w:rPr>
                <w:sz w:val="16"/>
              </w:rPr>
              <w:t>158</w:t>
            </w:r>
          </w:p>
        </w:tc>
      </w:tr>
    </w:tbl>
    <w:p w:rsidR="00A63476" w:rsidRDefault="00A63476">
      <w:pPr>
        <w:pStyle w:val="Textoindependiente"/>
        <w:ind w:left="0" w:right="0" w:firstLine="0"/>
        <w:jc w:val="left"/>
        <w:rPr>
          <w:sz w:val="20"/>
        </w:rPr>
      </w:pPr>
    </w:p>
    <w:p w:rsidR="00A63476" w:rsidRDefault="00A63476">
      <w:pPr>
        <w:pStyle w:val="Textoindependiente"/>
        <w:spacing w:before="7"/>
        <w:ind w:left="0" w:right="0" w:firstLine="0"/>
        <w:jc w:val="left"/>
        <w:rPr>
          <w:sz w:val="17"/>
        </w:rPr>
      </w:pPr>
    </w:p>
    <w:p w:rsidR="00A63476" w:rsidRDefault="00D22874">
      <w:pPr>
        <w:pStyle w:val="Textoindependiente"/>
        <w:spacing w:line="254" w:lineRule="auto"/>
        <w:ind w:right="656"/>
        <w:jc w:val="left"/>
      </w:pPr>
      <w:r>
        <w:t>No se otorgará subsidio federal para adquirir vivienda usada en Perímetros de Contención Urbana U3 o fuera de los Perímetros de Contención Urbana.</w:t>
      </w:r>
    </w:p>
    <w:p w:rsidR="00A63476" w:rsidRDefault="00D22874">
      <w:pPr>
        <w:pStyle w:val="Textoindependiente"/>
        <w:spacing w:before="101" w:line="254" w:lineRule="auto"/>
        <w:ind w:right="859"/>
        <w:jc w:val="left"/>
      </w:pPr>
      <w:r>
        <w:t xml:space="preserve">La información de la vivienda se inscribirá en el RUV según lo determine la Comisión y se utilizará </w:t>
      </w:r>
      <w:r>
        <w:rPr>
          <w:spacing w:val="-5"/>
        </w:rPr>
        <w:t xml:space="preserve">con </w:t>
      </w:r>
      <w:r>
        <w:t>fines</w:t>
      </w:r>
      <w:r>
        <w:rPr>
          <w:spacing w:val="-1"/>
        </w:rPr>
        <w:t xml:space="preserve"> </w:t>
      </w:r>
      <w:r>
        <w:t>estadísticos.</w:t>
      </w:r>
    </w:p>
    <w:p w:rsidR="00A63476" w:rsidRDefault="00D22874">
      <w:pPr>
        <w:pStyle w:val="Textoindependiente"/>
        <w:spacing w:before="102"/>
        <w:ind w:left="800" w:right="0" w:firstLine="0"/>
        <w:jc w:val="left"/>
      </w:pPr>
      <w:r>
        <w:t>Consideraciones adicionales:</w:t>
      </w:r>
    </w:p>
    <w:p w:rsidR="00A63476" w:rsidRDefault="00D22874">
      <w:pPr>
        <w:pStyle w:val="Textoindependiente"/>
        <w:spacing w:before="113" w:line="261" w:lineRule="auto"/>
      </w:pPr>
      <w:r>
        <w:t>Para el caso de los miembros de las Fuerzas Armadas no se requerirá Puntaje de Ubicación y Sustentabili</w:t>
      </w:r>
      <w:r>
        <w:t>dad del Entorno, por lo que se les dará un subsidio federal máximo equivalente a 35 veces el valor de la UMA por lo que podrán adquirir una vivienda nueva o usada dentro o fuera de los Perímetros de Contención Urbana. La información de la vivienda se inscr</w:t>
      </w:r>
      <w:r>
        <w:t>ibirá en el RUV según lo determine la Comisión y se utilizará con fines estadísticos.</w:t>
      </w:r>
    </w:p>
    <w:p w:rsidR="00A63476" w:rsidRDefault="00D22874">
      <w:pPr>
        <w:pStyle w:val="Textoindependiente"/>
        <w:spacing w:before="92" w:line="254" w:lineRule="auto"/>
      </w:pPr>
      <w:r>
        <w:t>De igual forma, para la adquisición de vivienda en el esquema Línea III del INFONAVIT, el subsidio se otorgará durante el proceso constructivo habitacional mediante una E</w:t>
      </w:r>
      <w:r>
        <w:t>ntidad Administrativa y podrán ubicarse fuera de los Perímetros de Contención Urbana.</w:t>
      </w:r>
    </w:p>
    <w:p w:rsidR="00A63476" w:rsidRDefault="00D22874">
      <w:pPr>
        <w:pStyle w:val="Textoindependiente"/>
        <w:spacing w:before="101" w:line="259" w:lineRule="auto"/>
      </w:pPr>
      <w:r>
        <w:t>Para el caso de los miembros de las Fuerzas Armadas, de la Seguridad Pública Federal y policías federales, estatales y municipales acreditados, el valor de la vivienda no</w:t>
      </w:r>
      <w:r>
        <w:t xml:space="preserve"> excederá el equivalente a 231 veces el valor de la UMA. La diferencia entre el valor final de la vivienda y el valor máximo de la vivienda podrá ser cubierta mediante ahorro previo, ahorro voluntario de la cuenta individual, subcuenta de vivienda o crédit</w:t>
      </w:r>
      <w:r>
        <w:t>o otorgado por la Entidad Ejecutora y en este caso, el monto máximo de subsidio federal será de hasta 35 veces el valor de la UMA, para la Adquisición de Vivienda Nueva. Esta excepción aplica también cuando dichas personas beneficiarias (miembros de las Fu</w:t>
      </w:r>
      <w:r>
        <w:t>erzas Armadas, de la Seguridad Pública Federal y policías federales, estatales y municipales acreditados), que sean derechohabientes de INFONAVIT o de FOVISSSTE.</w:t>
      </w:r>
    </w:p>
    <w:p w:rsidR="00A63476" w:rsidRDefault="00D22874">
      <w:pPr>
        <w:pStyle w:val="Textoindependiente"/>
        <w:spacing w:before="92" w:line="254" w:lineRule="auto"/>
      </w:pPr>
      <w:r>
        <w:t>Los valores finales de vivienda podrán ser superiores a 190 veces el valor de la UMA siempre y</w:t>
      </w:r>
      <w:r>
        <w:t xml:space="preserve"> cuando la diferencia sea cubierta mediante la subcuenta de la vivienda del/la derechohabiente del INFONAVIT o del FOVISSSTE, o con aportaciones con origen distinto al federal.</w:t>
      </w:r>
    </w:p>
    <w:p w:rsidR="00A63476" w:rsidRDefault="00A63476">
      <w:pPr>
        <w:spacing w:line="254" w:lineRule="auto"/>
        <w:sectPr w:rsidR="00A63476">
          <w:pgSz w:w="12240" w:h="15840"/>
          <w:pgMar w:top="920" w:right="1040" w:bottom="280" w:left="1180" w:header="700" w:footer="0" w:gutter="0"/>
          <w:cols w:space="720"/>
        </w:sectPr>
      </w:pPr>
    </w:p>
    <w:p w:rsidR="00A63476" w:rsidRDefault="00A63476">
      <w:pPr>
        <w:pStyle w:val="Textoindependiente"/>
        <w:spacing w:before="8"/>
        <w:ind w:left="0" w:right="0" w:firstLine="0"/>
        <w:jc w:val="left"/>
        <w:rPr>
          <w:sz w:val="10"/>
        </w:rPr>
      </w:pPr>
    </w:p>
    <w:p w:rsidR="00A63476" w:rsidRDefault="00D22874">
      <w:pPr>
        <w:pStyle w:val="Textoindependiente"/>
        <w:spacing w:before="95" w:line="264" w:lineRule="auto"/>
      </w:pPr>
      <w:r>
        <w:t>En el caso de las personas beneficiarias financiadas por el FOVI</w:t>
      </w:r>
      <w:r>
        <w:t xml:space="preserve">SSSTE y el </w:t>
      </w:r>
      <w:r>
        <w:rPr>
          <w:spacing w:val="-4"/>
        </w:rPr>
        <w:t xml:space="preserve">INFONAVIT, </w:t>
      </w:r>
      <w:r>
        <w:t>el subsidio federal para vivienda será diferenciado y hasta por los montos máximos establecidos en los incisos a) y b) del presente apartado y se aplicará al faltante para alcanzar el valor total de la intervención habitacional una ve</w:t>
      </w:r>
      <w:r>
        <w:t>z cubierto el ahorro previo, las aportaciones, la subcuenta de vivienda y la capacidad máxima de</w:t>
      </w:r>
      <w:r>
        <w:rPr>
          <w:spacing w:val="-4"/>
        </w:rPr>
        <w:t xml:space="preserve"> </w:t>
      </w:r>
      <w:r>
        <w:t>crédito.</w:t>
      </w:r>
    </w:p>
    <w:p w:rsidR="00A63476" w:rsidRDefault="00D22874">
      <w:pPr>
        <w:pStyle w:val="Textoindependiente"/>
        <w:spacing w:before="89" w:line="254" w:lineRule="auto"/>
      </w:pPr>
      <w:r>
        <w:t>Las personas inscritas al RIF, incluidas las personas beneficiarias del RISS del esquema “Crezcamos Juntos”, en términos de las presentes Reglas podrá</w:t>
      </w:r>
      <w:r>
        <w:t>n contar con apoyos adicionales a los previstos en las mismas que consistirán en:</w:t>
      </w:r>
    </w:p>
    <w:p w:rsidR="00A63476" w:rsidRDefault="00D22874">
      <w:pPr>
        <w:pStyle w:val="Prrafodelista"/>
        <w:numPr>
          <w:ilvl w:val="0"/>
          <w:numId w:val="49"/>
        </w:numPr>
        <w:tabs>
          <w:tab w:val="left" w:pos="1232"/>
        </w:tabs>
        <w:spacing w:before="102" w:line="254" w:lineRule="auto"/>
        <w:ind w:right="655" w:hanging="440"/>
        <w:rPr>
          <w:sz w:val="18"/>
        </w:rPr>
      </w:pPr>
      <w:r>
        <w:rPr>
          <w:sz w:val="18"/>
        </w:rPr>
        <w:t>Para los derechohabientes del INFONAVIT que estén incorporados al RIF o sean beneficiarios del RISS, un subsidio federal que será usado como complemento a sus aportaciones vo</w:t>
      </w:r>
      <w:r>
        <w:rPr>
          <w:sz w:val="18"/>
        </w:rPr>
        <w:t xml:space="preserve">luntarias y </w:t>
      </w:r>
      <w:r>
        <w:rPr>
          <w:spacing w:val="-7"/>
          <w:sz w:val="18"/>
        </w:rPr>
        <w:t xml:space="preserve">al </w:t>
      </w:r>
      <w:r>
        <w:rPr>
          <w:sz w:val="18"/>
        </w:rPr>
        <w:t>saldo de la subcuenta de vivienda, para conformar el ahorro previo, distribuido de la siguiente</w:t>
      </w:r>
      <w:r>
        <w:rPr>
          <w:spacing w:val="-3"/>
          <w:sz w:val="18"/>
        </w:rPr>
        <w:t xml:space="preserve"> </w:t>
      </w:r>
      <w:r>
        <w:rPr>
          <w:sz w:val="18"/>
        </w:rPr>
        <w:t>forma:</w:t>
      </w:r>
    </w:p>
    <w:p w:rsidR="00A63476" w:rsidRDefault="00D22874">
      <w:pPr>
        <w:pStyle w:val="Prrafodelista"/>
        <w:numPr>
          <w:ilvl w:val="0"/>
          <w:numId w:val="40"/>
        </w:numPr>
        <w:tabs>
          <w:tab w:val="left" w:pos="1600"/>
        </w:tabs>
        <w:spacing w:before="121" w:line="254" w:lineRule="auto"/>
        <w:ind w:right="655"/>
        <w:jc w:val="both"/>
        <w:rPr>
          <w:sz w:val="18"/>
        </w:rPr>
      </w:pPr>
      <w:r>
        <w:rPr>
          <w:sz w:val="18"/>
        </w:rPr>
        <w:t xml:space="preserve">Subsidio federal de $15,000 (quince mil pesos), efectivo al momento del otorgamiento del crédito otorgado por el </w:t>
      </w:r>
      <w:r>
        <w:rPr>
          <w:spacing w:val="-4"/>
          <w:sz w:val="18"/>
        </w:rPr>
        <w:t>INFONAVIT.</w:t>
      </w:r>
    </w:p>
    <w:p w:rsidR="00A63476" w:rsidRDefault="00D22874">
      <w:pPr>
        <w:pStyle w:val="Prrafodelista"/>
        <w:numPr>
          <w:ilvl w:val="0"/>
          <w:numId w:val="40"/>
        </w:numPr>
        <w:tabs>
          <w:tab w:val="left" w:pos="1600"/>
        </w:tabs>
        <w:spacing w:before="102" w:line="254" w:lineRule="auto"/>
        <w:ind w:right="655"/>
        <w:jc w:val="both"/>
        <w:rPr>
          <w:sz w:val="18"/>
        </w:rPr>
      </w:pPr>
      <w:r>
        <w:rPr>
          <w:sz w:val="18"/>
        </w:rPr>
        <w:t xml:space="preserve">Subsidio federal “pari passu” de hasta $15,000 (quince mil pesos), efectivo al momento del otorgamiento del crédito otorgado del </w:t>
      </w:r>
      <w:r>
        <w:rPr>
          <w:spacing w:val="-4"/>
          <w:sz w:val="18"/>
        </w:rPr>
        <w:t xml:space="preserve">INFONAVIT, </w:t>
      </w:r>
      <w:r>
        <w:rPr>
          <w:sz w:val="18"/>
        </w:rPr>
        <w:t xml:space="preserve">que dependerá del ahorro voluntario </w:t>
      </w:r>
      <w:r>
        <w:rPr>
          <w:spacing w:val="-4"/>
          <w:sz w:val="18"/>
        </w:rPr>
        <w:t xml:space="preserve">del </w:t>
      </w:r>
      <w:r>
        <w:rPr>
          <w:sz w:val="18"/>
        </w:rPr>
        <w:t>derechohabiente para ser usado como enganche para la vivienda sujeto al nive</w:t>
      </w:r>
      <w:r>
        <w:rPr>
          <w:sz w:val="18"/>
        </w:rPr>
        <w:t xml:space="preserve">l de ingreso: por una cantidad de 1 a 1 para derechohabientes con ingresos superiores a 2.8 el valor de la UMA </w:t>
      </w:r>
      <w:r>
        <w:rPr>
          <w:spacing w:val="-12"/>
          <w:sz w:val="18"/>
        </w:rPr>
        <w:t xml:space="preserve">y </w:t>
      </w:r>
      <w:r>
        <w:rPr>
          <w:sz w:val="18"/>
        </w:rPr>
        <w:t xml:space="preserve">de 1.5 a 1 para derechohabientes con ingresos inferiores o iguales a 2.8 veces el valor de </w:t>
      </w:r>
      <w:r>
        <w:rPr>
          <w:spacing w:val="-6"/>
          <w:sz w:val="18"/>
        </w:rPr>
        <w:t xml:space="preserve">la </w:t>
      </w:r>
      <w:r>
        <w:rPr>
          <w:sz w:val="18"/>
        </w:rPr>
        <w:t>UMA.</w:t>
      </w:r>
    </w:p>
    <w:p w:rsidR="00A63476" w:rsidRDefault="00D22874">
      <w:pPr>
        <w:pStyle w:val="Prrafodelista"/>
        <w:numPr>
          <w:ilvl w:val="0"/>
          <w:numId w:val="49"/>
        </w:numPr>
        <w:tabs>
          <w:tab w:val="left" w:pos="1232"/>
        </w:tabs>
        <w:spacing w:before="103" w:line="254" w:lineRule="auto"/>
        <w:ind w:right="655" w:hanging="440"/>
        <w:rPr>
          <w:sz w:val="18"/>
        </w:rPr>
      </w:pPr>
      <w:r>
        <w:rPr>
          <w:sz w:val="18"/>
        </w:rPr>
        <w:t xml:space="preserve">Para aquellas personas inscritas en el RIF que contraten un crédito para Adquisición de Vivienda con la banca comercial y sujeto a las condiciones del mismo, un subsidio federal por única ocasión </w:t>
      </w:r>
      <w:r>
        <w:rPr>
          <w:spacing w:val="-4"/>
          <w:sz w:val="18"/>
        </w:rPr>
        <w:t xml:space="preserve">será </w:t>
      </w:r>
      <w:r>
        <w:rPr>
          <w:sz w:val="18"/>
        </w:rPr>
        <w:t>de hasta 30 veces el valor de la UMA que podrá cubrir l</w:t>
      </w:r>
      <w:r>
        <w:rPr>
          <w:sz w:val="18"/>
        </w:rPr>
        <w:t xml:space="preserve">a mensualidad número 12 de cada año </w:t>
      </w:r>
      <w:r>
        <w:rPr>
          <w:spacing w:val="-6"/>
          <w:sz w:val="18"/>
        </w:rPr>
        <w:t xml:space="preserve">de </w:t>
      </w:r>
      <w:r>
        <w:rPr>
          <w:sz w:val="18"/>
        </w:rPr>
        <w:t xml:space="preserve">amortización del crédito y hasta que se agote el monto total otorgado como subsidio, mismo que será dispersado a través de la SHF o el FOVI, siempre que se mantengan al corriente en el pago </w:t>
      </w:r>
      <w:r>
        <w:rPr>
          <w:spacing w:val="-5"/>
          <w:sz w:val="18"/>
        </w:rPr>
        <w:t xml:space="preserve">del </w:t>
      </w:r>
      <w:r>
        <w:rPr>
          <w:sz w:val="18"/>
        </w:rPr>
        <w:t>crédito y cumplan con s</w:t>
      </w:r>
      <w:r>
        <w:rPr>
          <w:sz w:val="18"/>
        </w:rPr>
        <w:t>us obligaciones fiscales.</w:t>
      </w:r>
    </w:p>
    <w:p w:rsidR="00A63476" w:rsidRDefault="00D22874">
      <w:pPr>
        <w:pStyle w:val="Textoindependiente"/>
        <w:spacing w:before="124" w:line="254" w:lineRule="auto"/>
        <w:ind w:right="663"/>
      </w:pPr>
      <w:r>
        <w:t>Las definiciones no previstas y que sean necesarias para la implementación de estos beneficios adicionales, serán definidas por la Comisión en los instrumentos que determine para tal efecto.</w:t>
      </w:r>
    </w:p>
    <w:p w:rsidR="00A63476" w:rsidRDefault="00D22874">
      <w:pPr>
        <w:pStyle w:val="Textoindependiente"/>
        <w:spacing w:before="101" w:line="254" w:lineRule="auto"/>
        <w:ind w:right="663"/>
      </w:pPr>
      <w:r>
        <w:t>Para el caso de los subsidios otorgados</w:t>
      </w:r>
      <w:r>
        <w:t xml:space="preserve"> a personas beneficiarias del RIF o de Fuerzas Armadas en  general, el subsidio federal podrá otorgarse para viviendas que estén ubicadas en y cuenten con:</w:t>
      </w:r>
    </w:p>
    <w:p w:rsidR="00A63476" w:rsidRDefault="00D22874">
      <w:pPr>
        <w:pStyle w:val="Prrafodelista"/>
        <w:numPr>
          <w:ilvl w:val="0"/>
          <w:numId w:val="39"/>
        </w:numPr>
        <w:tabs>
          <w:tab w:val="left" w:pos="1323"/>
        </w:tabs>
        <w:spacing w:line="254" w:lineRule="auto"/>
        <w:ind w:right="655" w:hanging="8"/>
        <w:jc w:val="both"/>
        <w:rPr>
          <w:sz w:val="18"/>
        </w:rPr>
      </w:pPr>
      <w:r>
        <w:rPr>
          <w:sz w:val="18"/>
        </w:rPr>
        <w:t>En Zonas urbanas con: servicios de luz, agua, drenaje o equivalente, alumbrado público, calles y/o a</w:t>
      </w:r>
      <w:r>
        <w:rPr>
          <w:sz w:val="18"/>
        </w:rPr>
        <w:t>ndadores peatonales terminados, inscripción en el Registro Público de la Propiedad o clave catastral.</w:t>
      </w:r>
    </w:p>
    <w:p w:rsidR="00A63476" w:rsidRDefault="00D22874">
      <w:pPr>
        <w:pStyle w:val="Prrafodelista"/>
        <w:numPr>
          <w:ilvl w:val="0"/>
          <w:numId w:val="39"/>
        </w:numPr>
        <w:tabs>
          <w:tab w:val="left" w:pos="1363"/>
        </w:tabs>
        <w:spacing w:before="102" w:line="266" w:lineRule="auto"/>
        <w:ind w:right="655" w:hanging="8"/>
        <w:jc w:val="both"/>
        <w:rPr>
          <w:sz w:val="18"/>
        </w:rPr>
      </w:pPr>
      <w:r>
        <w:rPr>
          <w:sz w:val="18"/>
        </w:rPr>
        <w:t>En Zonas rurales o Zonas en transición con: sistemas de disposición de residuos sólidos asequibles en el sitio; con inscripción en la institución registra</w:t>
      </w:r>
      <w:r>
        <w:rPr>
          <w:sz w:val="18"/>
        </w:rPr>
        <w:t>l y catastral correspondiente que acredite el tipo de propiedad; y de preferencia, con servicios de luz y</w:t>
      </w:r>
      <w:r>
        <w:rPr>
          <w:spacing w:val="-2"/>
          <w:sz w:val="18"/>
        </w:rPr>
        <w:t xml:space="preserve"> </w:t>
      </w:r>
      <w:r>
        <w:rPr>
          <w:sz w:val="18"/>
        </w:rPr>
        <w:t>agua.</w:t>
      </w:r>
    </w:p>
    <w:p w:rsidR="00A63476" w:rsidRDefault="00D22874">
      <w:pPr>
        <w:pStyle w:val="Ttulo1"/>
        <w:numPr>
          <w:ilvl w:val="0"/>
          <w:numId w:val="41"/>
        </w:numPr>
        <w:tabs>
          <w:tab w:val="left" w:pos="1020"/>
        </w:tabs>
        <w:spacing w:before="91"/>
        <w:ind w:left="1019" w:hanging="220"/>
        <w:jc w:val="both"/>
      </w:pPr>
      <w:r>
        <w:t>Vivienda en Espacio Edificable Rural o</w:t>
      </w:r>
      <w:r>
        <w:rPr>
          <w:spacing w:val="-5"/>
        </w:rPr>
        <w:t xml:space="preserve"> </w:t>
      </w:r>
      <w:r>
        <w:t>Urbano</w:t>
      </w:r>
    </w:p>
    <w:p w:rsidR="00A63476" w:rsidRDefault="00D22874">
      <w:pPr>
        <w:pStyle w:val="Prrafodelista"/>
        <w:numPr>
          <w:ilvl w:val="0"/>
          <w:numId w:val="49"/>
        </w:numPr>
        <w:tabs>
          <w:tab w:val="left" w:pos="1232"/>
        </w:tabs>
        <w:spacing w:before="113" w:line="254" w:lineRule="auto"/>
        <w:ind w:right="655" w:hanging="440"/>
        <w:rPr>
          <w:sz w:val="18"/>
        </w:rPr>
      </w:pPr>
      <w:r>
        <w:rPr>
          <w:sz w:val="18"/>
          <w:u w:val="single"/>
        </w:rPr>
        <w:t>Ampliación de vivienda.</w:t>
      </w:r>
      <w:r>
        <w:rPr>
          <w:sz w:val="18"/>
        </w:rPr>
        <w:t xml:space="preserve"> La </w:t>
      </w:r>
      <w:r>
        <w:rPr>
          <w:spacing w:val="-3"/>
          <w:sz w:val="18"/>
        </w:rPr>
        <w:t xml:space="preserve">CONAVI </w:t>
      </w:r>
      <w:r>
        <w:rPr>
          <w:sz w:val="18"/>
        </w:rPr>
        <w:t>podrá otorgar subsidio con el propósito de incrementar la superf</w:t>
      </w:r>
      <w:r>
        <w:rPr>
          <w:sz w:val="18"/>
        </w:rPr>
        <w:t>icie de construcción habitable de una vivienda edificada con anterioridad, a fin de disminuir el hacinamiento en la vivienda o mejorar sus condiciones de habitabilidad.</w:t>
      </w:r>
    </w:p>
    <w:p w:rsidR="00A63476" w:rsidRDefault="00D22874">
      <w:pPr>
        <w:pStyle w:val="Prrafodelista"/>
        <w:numPr>
          <w:ilvl w:val="0"/>
          <w:numId w:val="49"/>
        </w:numPr>
        <w:tabs>
          <w:tab w:val="left" w:pos="1232"/>
        </w:tabs>
        <w:spacing w:before="102" w:line="254" w:lineRule="auto"/>
        <w:ind w:right="655" w:hanging="440"/>
        <w:rPr>
          <w:sz w:val="18"/>
        </w:rPr>
      </w:pPr>
      <w:r>
        <w:rPr>
          <w:sz w:val="18"/>
          <w:u w:val="single"/>
        </w:rPr>
        <w:t>Mejoramiento de Vivienda.</w:t>
      </w:r>
      <w:r>
        <w:rPr>
          <w:sz w:val="18"/>
        </w:rPr>
        <w:t xml:space="preserve"> La </w:t>
      </w:r>
      <w:r>
        <w:rPr>
          <w:spacing w:val="-3"/>
          <w:sz w:val="18"/>
        </w:rPr>
        <w:t xml:space="preserve">CONAVI </w:t>
      </w:r>
      <w:r>
        <w:rPr>
          <w:sz w:val="18"/>
        </w:rPr>
        <w:t>podrá otorgar subsidio con el propósito de la mejora de la vivienda, que podrá responder a la rehabilitación de vivienda en la intervención de sus elementos estructurales (losas, columnas y trabes), la readecuación del espacio habitable, el cambio de insta</w:t>
      </w:r>
      <w:r>
        <w:rPr>
          <w:sz w:val="18"/>
        </w:rPr>
        <w:t>laciones ocultas, entre otros; así como aquellos conceptos que no afectan elementos estructurales, sin embargo inciden en la vida útil de la vivienda tales como; la impermeabilización, aplanados, instalaciones hidrosanitarias expuestas ahorradoras de agua,</w:t>
      </w:r>
      <w:r>
        <w:rPr>
          <w:sz w:val="18"/>
        </w:rPr>
        <w:t xml:space="preserve"> cableado eléctrico y lámparas ahorradoras de energía, cambio de pisos, entre otros</w:t>
      </w:r>
      <w:r>
        <w:rPr>
          <w:spacing w:val="-2"/>
          <w:sz w:val="18"/>
        </w:rPr>
        <w:t xml:space="preserve"> </w:t>
      </w:r>
      <w:r>
        <w:rPr>
          <w:sz w:val="18"/>
        </w:rPr>
        <w:t>acabados.</w:t>
      </w:r>
    </w:p>
    <w:p w:rsidR="00A63476" w:rsidRDefault="00D22874">
      <w:pPr>
        <w:pStyle w:val="Textoindependiente"/>
        <w:spacing w:before="104"/>
        <w:ind w:left="800" w:right="0" w:firstLine="0"/>
      </w:pPr>
      <w:r>
        <w:t>Condiciones y requisitos específicos:</w:t>
      </w:r>
    </w:p>
    <w:p w:rsidR="00A63476" w:rsidRDefault="00D22874">
      <w:pPr>
        <w:pStyle w:val="Prrafodelista"/>
        <w:numPr>
          <w:ilvl w:val="0"/>
          <w:numId w:val="46"/>
        </w:numPr>
        <w:tabs>
          <w:tab w:val="left" w:pos="1232"/>
        </w:tabs>
        <w:spacing w:before="113" w:line="254" w:lineRule="auto"/>
        <w:ind w:right="655" w:hanging="440"/>
        <w:rPr>
          <w:sz w:val="18"/>
        </w:rPr>
      </w:pPr>
      <w:r>
        <w:rPr>
          <w:sz w:val="18"/>
        </w:rPr>
        <w:t xml:space="preserve">El subsidio federal para Ampliación y/o Mejoramiento, se otorgará para proyectos con valor hasta de 30 veces el valor de la </w:t>
      </w:r>
      <w:r>
        <w:rPr>
          <w:sz w:val="18"/>
        </w:rPr>
        <w:t xml:space="preserve">UMA, que podrán comprender, de manera enunciativa más no limitativa </w:t>
      </w:r>
      <w:r>
        <w:rPr>
          <w:spacing w:val="-4"/>
          <w:sz w:val="18"/>
        </w:rPr>
        <w:t xml:space="preserve">las </w:t>
      </w:r>
      <w:r>
        <w:rPr>
          <w:sz w:val="18"/>
        </w:rPr>
        <w:t xml:space="preserve">siguientes acciones: muros, techos, pisos, instalaciones sanitarias, instalaciones hidráulicas, instalaciones eléctricas, ecotecnias y ecotecnologías, cimentación, cubiertas, interior </w:t>
      </w:r>
      <w:r>
        <w:rPr>
          <w:sz w:val="18"/>
        </w:rPr>
        <w:t>y exterior, entre otras.</w:t>
      </w:r>
    </w:p>
    <w:p w:rsidR="00A63476" w:rsidRDefault="00A63476">
      <w:pPr>
        <w:spacing w:line="254" w:lineRule="auto"/>
        <w:jc w:val="both"/>
        <w:rPr>
          <w:sz w:val="18"/>
        </w:rPr>
        <w:sectPr w:rsidR="00A63476">
          <w:pgSz w:w="12240" w:h="15840"/>
          <w:pgMar w:top="920" w:right="1040" w:bottom="280" w:left="1180" w:header="700" w:footer="0" w:gutter="0"/>
          <w:cols w:space="720"/>
        </w:sectPr>
      </w:pPr>
    </w:p>
    <w:p w:rsidR="00A63476" w:rsidRDefault="00A63476">
      <w:pPr>
        <w:pStyle w:val="Textoindependiente"/>
        <w:spacing w:before="8"/>
        <w:ind w:left="0" w:right="0" w:firstLine="0"/>
        <w:jc w:val="left"/>
        <w:rPr>
          <w:sz w:val="10"/>
        </w:rPr>
      </w:pPr>
    </w:p>
    <w:p w:rsidR="00A63476" w:rsidRDefault="00D22874">
      <w:pPr>
        <w:pStyle w:val="Prrafodelista"/>
        <w:numPr>
          <w:ilvl w:val="0"/>
          <w:numId w:val="46"/>
        </w:numPr>
        <w:tabs>
          <w:tab w:val="left" w:pos="1232"/>
        </w:tabs>
        <w:spacing w:before="95" w:line="254" w:lineRule="auto"/>
        <w:ind w:right="655" w:hanging="440"/>
        <w:rPr>
          <w:sz w:val="18"/>
        </w:rPr>
      </w:pPr>
      <w:r>
        <w:rPr>
          <w:sz w:val="18"/>
        </w:rPr>
        <w:t>La Comisión otorgará como subsidio federal una cantidad equivalente al cuarenta (40) por ciento del costo de la intervención, siempre y cuando se acredite documentalmente y sea avalado por la asistencia técnica.</w:t>
      </w:r>
    </w:p>
    <w:p w:rsidR="00A63476" w:rsidRDefault="00D22874">
      <w:pPr>
        <w:pStyle w:val="Prrafodelista"/>
        <w:numPr>
          <w:ilvl w:val="0"/>
          <w:numId w:val="46"/>
        </w:numPr>
        <w:tabs>
          <w:tab w:val="left" w:pos="1232"/>
        </w:tabs>
        <w:spacing w:line="254" w:lineRule="auto"/>
        <w:ind w:right="655" w:hanging="440"/>
        <w:rPr>
          <w:sz w:val="18"/>
        </w:rPr>
      </w:pPr>
      <w:r>
        <w:rPr>
          <w:sz w:val="18"/>
        </w:rPr>
        <w:t>Se p</w:t>
      </w:r>
      <w:r>
        <w:rPr>
          <w:sz w:val="18"/>
        </w:rPr>
        <w:t>odrán utilizar estos recursos para la regularización de la propiedad ante el Registro Público de la Propiedad y/o catastro, así como ante el Registro Agrario Nacional, cuando se trate de propiedad ejidal y comunal.</w:t>
      </w:r>
    </w:p>
    <w:p w:rsidR="00A63476" w:rsidRDefault="00D22874">
      <w:pPr>
        <w:pStyle w:val="Prrafodelista"/>
        <w:numPr>
          <w:ilvl w:val="0"/>
          <w:numId w:val="46"/>
        </w:numPr>
        <w:tabs>
          <w:tab w:val="left" w:pos="1232"/>
        </w:tabs>
        <w:spacing w:before="102" w:line="254" w:lineRule="auto"/>
        <w:ind w:right="655" w:hanging="440"/>
        <w:rPr>
          <w:sz w:val="18"/>
        </w:rPr>
      </w:pPr>
      <w:r>
        <w:rPr>
          <w:sz w:val="18"/>
        </w:rPr>
        <w:t>La Ampliación y/o Mejoramiento estarán in</w:t>
      </w:r>
      <w:r>
        <w:rPr>
          <w:sz w:val="18"/>
        </w:rPr>
        <w:t xml:space="preserve">scritos en el </w:t>
      </w:r>
      <w:r>
        <w:rPr>
          <w:spacing w:val="-5"/>
          <w:sz w:val="18"/>
        </w:rPr>
        <w:t xml:space="preserve">RUV, </w:t>
      </w:r>
      <w:r>
        <w:rPr>
          <w:sz w:val="18"/>
        </w:rPr>
        <w:t>según lo determine La Comisión, además deberán tener asistencia técnica integral por un Organismo Ejecutor de Obra o Desarrollador Social de</w:t>
      </w:r>
      <w:r>
        <w:rPr>
          <w:spacing w:val="-1"/>
          <w:sz w:val="18"/>
        </w:rPr>
        <w:t xml:space="preserve"> </w:t>
      </w:r>
      <w:r>
        <w:rPr>
          <w:sz w:val="18"/>
        </w:rPr>
        <w:t>Vivienda.</w:t>
      </w:r>
    </w:p>
    <w:p w:rsidR="00A63476" w:rsidRDefault="00D22874">
      <w:pPr>
        <w:pStyle w:val="Prrafodelista"/>
        <w:numPr>
          <w:ilvl w:val="0"/>
          <w:numId w:val="46"/>
        </w:numPr>
        <w:tabs>
          <w:tab w:val="left" w:pos="1232"/>
        </w:tabs>
        <w:spacing w:before="122" w:line="254" w:lineRule="auto"/>
        <w:ind w:right="655" w:hanging="440"/>
        <w:rPr>
          <w:sz w:val="18"/>
        </w:rPr>
      </w:pPr>
      <w:r>
        <w:rPr>
          <w:sz w:val="18"/>
        </w:rPr>
        <w:t>El subsidio federal para Ampliación y/o Mejoramiento se podrá otorgar para un máximo d</w:t>
      </w:r>
      <w:r>
        <w:rPr>
          <w:sz w:val="18"/>
        </w:rPr>
        <w:t>e tres proyectos en la misma modalidad, en tanto que la suma del total de los importes del subsidio federal no rebase el monto de 35 veces el valor de la UMA.</w:t>
      </w:r>
    </w:p>
    <w:p w:rsidR="00A63476" w:rsidRDefault="00D22874">
      <w:pPr>
        <w:pStyle w:val="Prrafodelista"/>
        <w:numPr>
          <w:ilvl w:val="0"/>
          <w:numId w:val="46"/>
        </w:numPr>
        <w:tabs>
          <w:tab w:val="left" w:pos="1232"/>
        </w:tabs>
        <w:spacing w:before="102" w:line="254" w:lineRule="auto"/>
        <w:ind w:right="663" w:hanging="440"/>
        <w:rPr>
          <w:sz w:val="18"/>
        </w:rPr>
      </w:pPr>
      <w:r>
        <w:rPr>
          <w:sz w:val="18"/>
        </w:rPr>
        <w:t>Las acciones de Mejoramiento y Ampliación estarán sujetas a procesos de control y verificación para garantizar el uso adecuado de los recursos, de acuerdo a lo que establezca La</w:t>
      </w:r>
      <w:r>
        <w:rPr>
          <w:spacing w:val="-2"/>
          <w:sz w:val="18"/>
        </w:rPr>
        <w:t xml:space="preserve"> </w:t>
      </w:r>
      <w:r>
        <w:rPr>
          <w:sz w:val="18"/>
        </w:rPr>
        <w:t>Comisión.</w:t>
      </w:r>
    </w:p>
    <w:p w:rsidR="00A63476" w:rsidRDefault="00D22874">
      <w:pPr>
        <w:pStyle w:val="Prrafodelista"/>
        <w:numPr>
          <w:ilvl w:val="0"/>
          <w:numId w:val="46"/>
        </w:numPr>
        <w:tabs>
          <w:tab w:val="left" w:pos="1232"/>
        </w:tabs>
        <w:spacing w:line="254" w:lineRule="auto"/>
        <w:ind w:right="663" w:hanging="440"/>
        <w:rPr>
          <w:sz w:val="18"/>
        </w:rPr>
      </w:pPr>
      <w:r>
        <w:rPr>
          <w:sz w:val="18"/>
        </w:rPr>
        <w:t xml:space="preserve">En el otorgamiento del subsidio federal se dará prioridad de pago a </w:t>
      </w:r>
      <w:r>
        <w:rPr>
          <w:sz w:val="18"/>
        </w:rPr>
        <w:t>las personas beneficiarias que realicen acciones en viviendas ubicadas dentro de los polígonos de Mejoramiento Urbano.</w:t>
      </w:r>
    </w:p>
    <w:p w:rsidR="00A63476" w:rsidRDefault="00D22874">
      <w:pPr>
        <w:pStyle w:val="Textoindependiente"/>
        <w:spacing w:before="101"/>
        <w:ind w:left="800" w:right="0" w:firstLine="0"/>
      </w:pPr>
      <w:r>
        <w:t>El subsidio federal se otorgará para viviendas que estén ubicadas en y cuenten con:</w:t>
      </w:r>
    </w:p>
    <w:p w:rsidR="00A63476" w:rsidRDefault="00D22874">
      <w:pPr>
        <w:pStyle w:val="Prrafodelista"/>
        <w:numPr>
          <w:ilvl w:val="0"/>
          <w:numId w:val="46"/>
        </w:numPr>
        <w:tabs>
          <w:tab w:val="left" w:pos="1231"/>
          <w:tab w:val="left" w:pos="1232"/>
        </w:tabs>
        <w:spacing w:before="113" w:line="254" w:lineRule="auto"/>
        <w:ind w:right="663" w:hanging="440"/>
        <w:jc w:val="left"/>
        <w:rPr>
          <w:sz w:val="18"/>
        </w:rPr>
      </w:pPr>
      <w:r>
        <w:rPr>
          <w:sz w:val="18"/>
        </w:rPr>
        <w:t>Dentro de Perímetros de Contención Urbana, con los se</w:t>
      </w:r>
      <w:r>
        <w:rPr>
          <w:sz w:val="18"/>
        </w:rPr>
        <w:t>rvicios de luz, agua, drenaje o equivalente, y de preferencia con alumbrado público, calles, guarniciones y/o andadores peatonales</w:t>
      </w:r>
      <w:r>
        <w:rPr>
          <w:spacing w:val="-3"/>
          <w:sz w:val="18"/>
        </w:rPr>
        <w:t xml:space="preserve"> </w:t>
      </w:r>
      <w:r>
        <w:rPr>
          <w:sz w:val="18"/>
        </w:rPr>
        <w:t>terminados.</w:t>
      </w:r>
    </w:p>
    <w:p w:rsidR="00A63476" w:rsidRDefault="00D22874">
      <w:pPr>
        <w:pStyle w:val="Prrafodelista"/>
        <w:numPr>
          <w:ilvl w:val="0"/>
          <w:numId w:val="46"/>
        </w:numPr>
        <w:tabs>
          <w:tab w:val="left" w:pos="1231"/>
          <w:tab w:val="left" w:pos="1232"/>
        </w:tabs>
        <w:spacing w:line="254" w:lineRule="auto"/>
        <w:ind w:right="663" w:hanging="440"/>
        <w:jc w:val="left"/>
        <w:rPr>
          <w:sz w:val="18"/>
        </w:rPr>
      </w:pPr>
      <w:r>
        <w:rPr>
          <w:sz w:val="18"/>
        </w:rPr>
        <w:t>Fuera de Perímetros de Contención Urbana, preferentemente con sistemas de disposición de residuos sólidos o sanea</w:t>
      </w:r>
      <w:r>
        <w:rPr>
          <w:sz w:val="18"/>
        </w:rPr>
        <w:t>mientos asequibles en el sitio y servicios de luz y agua.</w:t>
      </w:r>
    </w:p>
    <w:p w:rsidR="00A63476" w:rsidRDefault="00D22874">
      <w:pPr>
        <w:pStyle w:val="Textoindependiente"/>
        <w:spacing w:before="102"/>
        <w:ind w:left="800" w:right="0" w:firstLine="0"/>
        <w:jc w:val="left"/>
      </w:pPr>
      <w:r>
        <w:t>Consideraciones especiales:</w:t>
      </w:r>
    </w:p>
    <w:p w:rsidR="00A63476" w:rsidRDefault="00D22874">
      <w:pPr>
        <w:pStyle w:val="Textoindependiente"/>
        <w:spacing w:before="113" w:line="254" w:lineRule="auto"/>
      </w:pPr>
      <w:r>
        <w:t>Para el Mejoramiento Integral Sustentable, el ahorro previo podrá ser de hasta 30% del valor de la intervención, se otorgará un subsidio de hasta 30% del valor de la inte</w:t>
      </w:r>
      <w:r>
        <w:t>rvención, deberá combinar el uso de ecotecnologías y un mejoramiento estructural a la vivienda, mismas que se detallarán en el Manual de Procedimientos y deberán contar con asistencia técnica integral del FIDE o de un especialista definido por éste.</w:t>
      </w:r>
    </w:p>
    <w:p w:rsidR="00A63476" w:rsidRDefault="00D22874">
      <w:pPr>
        <w:pStyle w:val="Prrafodelista"/>
        <w:numPr>
          <w:ilvl w:val="0"/>
          <w:numId w:val="49"/>
        </w:numPr>
        <w:tabs>
          <w:tab w:val="left" w:pos="1218"/>
        </w:tabs>
        <w:spacing w:before="103"/>
        <w:ind w:left="1218" w:hanging="418"/>
        <w:rPr>
          <w:sz w:val="18"/>
        </w:rPr>
      </w:pPr>
      <w:r>
        <w:rPr>
          <w:sz w:val="18"/>
          <w:u w:val="single"/>
        </w:rPr>
        <w:t>Autopr</w:t>
      </w:r>
      <w:r>
        <w:rPr>
          <w:sz w:val="18"/>
          <w:u w:val="single"/>
        </w:rPr>
        <w:t>oducción de vivienda (Vivienda</w:t>
      </w:r>
      <w:r>
        <w:rPr>
          <w:spacing w:val="-1"/>
          <w:sz w:val="18"/>
          <w:u w:val="single"/>
        </w:rPr>
        <w:t xml:space="preserve"> </w:t>
      </w:r>
      <w:r>
        <w:rPr>
          <w:sz w:val="18"/>
          <w:u w:val="single"/>
        </w:rPr>
        <w:t>Nueva)</w:t>
      </w:r>
    </w:p>
    <w:p w:rsidR="00A63476" w:rsidRDefault="00D22874">
      <w:pPr>
        <w:pStyle w:val="Textoindependiente"/>
        <w:spacing w:before="113" w:line="254" w:lineRule="auto"/>
      </w:pPr>
      <w:r>
        <w:t>La CONAVI podrá otorgar subsidio para la construcción de vivienda nueva por autoproducción en Espacio Edificable Rural o Urbano, con espacios habitables y complementarios que estén en correspondencia con el contexto cultural y regional, que se puede genera</w:t>
      </w:r>
      <w:r>
        <w:t>r en espacios edificables.</w:t>
      </w:r>
    </w:p>
    <w:p w:rsidR="00A63476" w:rsidRDefault="00D22874">
      <w:pPr>
        <w:pStyle w:val="Textoindependiente"/>
        <w:spacing w:before="101"/>
        <w:ind w:left="800" w:right="0" w:firstLine="0"/>
      </w:pPr>
      <w:r>
        <w:t>Condiciones y requisitos específicos:</w:t>
      </w:r>
    </w:p>
    <w:p w:rsidR="00A63476" w:rsidRDefault="00D22874">
      <w:pPr>
        <w:pStyle w:val="Prrafodelista"/>
        <w:numPr>
          <w:ilvl w:val="0"/>
          <w:numId w:val="46"/>
        </w:numPr>
        <w:tabs>
          <w:tab w:val="left" w:pos="1232"/>
        </w:tabs>
        <w:spacing w:before="113" w:line="242" w:lineRule="auto"/>
        <w:ind w:right="655" w:hanging="440"/>
        <w:rPr>
          <w:sz w:val="18"/>
        </w:rPr>
      </w:pPr>
      <w:r>
        <w:rPr>
          <w:sz w:val="18"/>
        </w:rPr>
        <w:t>El valor de la intervención podrá ser de hasta 140 veces el valor de la UMA, y la persona beneficiaria tendrá derecho a un monto máximo de subsidio federal de acuerdo con el siguiente cuadro, siempre y cuando el valor de la intervención sea mayor a 40 vece</w:t>
      </w:r>
      <w:r>
        <w:rPr>
          <w:sz w:val="18"/>
        </w:rPr>
        <w:t>s el valor de la UMA:</w:t>
      </w:r>
    </w:p>
    <w:p w:rsidR="00A63476" w:rsidRDefault="00A63476">
      <w:pPr>
        <w:pStyle w:val="Textoindependiente"/>
        <w:spacing w:before="6" w:after="1"/>
        <w:ind w:left="0" w:right="0" w:firstLine="0"/>
        <w:jc w:val="left"/>
        <w:rPr>
          <w:sz w:val="11"/>
        </w:rPr>
      </w:pPr>
    </w:p>
    <w:tbl>
      <w:tblPr>
        <w:tblStyle w:val="TableNormal"/>
        <w:tblW w:w="0" w:type="auto"/>
        <w:tblInd w:w="2153" w:type="dxa"/>
        <w:tblBorders>
          <w:top w:val="single" w:sz="6" w:space="0" w:color="404040"/>
          <w:left w:val="single" w:sz="6" w:space="0" w:color="404040"/>
          <w:bottom w:val="single" w:sz="6" w:space="0" w:color="404040"/>
          <w:right w:val="single" w:sz="6" w:space="0" w:color="404040"/>
          <w:insideH w:val="single" w:sz="6" w:space="0" w:color="404040"/>
          <w:insideV w:val="single" w:sz="6" w:space="0" w:color="404040"/>
        </w:tblBorders>
        <w:tblLayout w:type="fixed"/>
        <w:tblLook w:val="01E0" w:firstRow="1" w:lastRow="1" w:firstColumn="1" w:lastColumn="1" w:noHBand="0" w:noVBand="0"/>
      </w:tblPr>
      <w:tblGrid>
        <w:gridCol w:w="1421"/>
        <w:gridCol w:w="2088"/>
        <w:gridCol w:w="2078"/>
      </w:tblGrid>
      <w:tr w:rsidR="00A63476">
        <w:trPr>
          <w:trHeight w:val="798"/>
        </w:trPr>
        <w:tc>
          <w:tcPr>
            <w:tcW w:w="1421" w:type="dxa"/>
          </w:tcPr>
          <w:p w:rsidR="00A63476" w:rsidRDefault="00D22874">
            <w:pPr>
              <w:pStyle w:val="TableParagraph"/>
              <w:spacing w:before="104" w:line="288" w:lineRule="auto"/>
              <w:ind w:left="93" w:right="564"/>
              <w:rPr>
                <w:b/>
                <w:sz w:val="16"/>
              </w:rPr>
            </w:pPr>
            <w:r>
              <w:rPr>
                <w:b/>
                <w:sz w:val="16"/>
              </w:rPr>
              <w:t>Rango de puntaje</w:t>
            </w:r>
          </w:p>
        </w:tc>
        <w:tc>
          <w:tcPr>
            <w:tcW w:w="2088" w:type="dxa"/>
          </w:tcPr>
          <w:p w:rsidR="00A63476" w:rsidRDefault="00D22874">
            <w:pPr>
              <w:pStyle w:val="TableParagraph"/>
              <w:spacing w:before="104" w:line="288" w:lineRule="auto"/>
              <w:ind w:left="92" w:right="36"/>
              <w:jc w:val="both"/>
              <w:rPr>
                <w:b/>
                <w:sz w:val="16"/>
              </w:rPr>
            </w:pPr>
            <w:r>
              <w:rPr>
                <w:b/>
                <w:spacing w:val="23"/>
                <w:sz w:val="16"/>
              </w:rPr>
              <w:t xml:space="preserve">Monto </w:t>
            </w:r>
            <w:r>
              <w:rPr>
                <w:b/>
                <w:spacing w:val="24"/>
                <w:sz w:val="16"/>
              </w:rPr>
              <w:t xml:space="preserve">máximo </w:t>
            </w:r>
            <w:r>
              <w:rPr>
                <w:b/>
                <w:spacing w:val="19"/>
                <w:sz w:val="16"/>
              </w:rPr>
              <w:t xml:space="preserve">del </w:t>
            </w:r>
            <w:r>
              <w:rPr>
                <w:b/>
                <w:sz w:val="16"/>
              </w:rPr>
              <w:t>subsidio federal (Veces el valor de la</w:t>
            </w:r>
            <w:r>
              <w:rPr>
                <w:b/>
                <w:spacing w:val="-1"/>
                <w:sz w:val="16"/>
              </w:rPr>
              <w:t xml:space="preserve"> </w:t>
            </w:r>
            <w:r>
              <w:rPr>
                <w:b/>
                <w:sz w:val="16"/>
              </w:rPr>
              <w:t>UMA)</w:t>
            </w:r>
          </w:p>
        </w:tc>
        <w:tc>
          <w:tcPr>
            <w:tcW w:w="2078" w:type="dxa"/>
          </w:tcPr>
          <w:p w:rsidR="00A63476" w:rsidRDefault="00D22874">
            <w:pPr>
              <w:pStyle w:val="TableParagraph"/>
              <w:spacing w:before="104" w:line="288" w:lineRule="auto"/>
              <w:ind w:left="84" w:right="71"/>
              <w:jc w:val="both"/>
              <w:rPr>
                <w:b/>
                <w:sz w:val="16"/>
              </w:rPr>
            </w:pPr>
            <w:r>
              <w:rPr>
                <w:b/>
                <w:sz w:val="16"/>
              </w:rPr>
              <w:t>Valor máximo de la Autoproducción (Veces el valor de la UMA)</w:t>
            </w:r>
          </w:p>
        </w:tc>
      </w:tr>
      <w:tr w:rsidR="00A63476">
        <w:trPr>
          <w:trHeight w:val="366"/>
        </w:trPr>
        <w:tc>
          <w:tcPr>
            <w:tcW w:w="1421" w:type="dxa"/>
          </w:tcPr>
          <w:p w:rsidR="00A63476" w:rsidRDefault="00D22874">
            <w:pPr>
              <w:pStyle w:val="TableParagraph"/>
              <w:spacing w:before="110"/>
              <w:ind w:left="93"/>
              <w:rPr>
                <w:sz w:val="16"/>
              </w:rPr>
            </w:pPr>
            <w:r>
              <w:rPr>
                <w:sz w:val="16"/>
              </w:rPr>
              <w:t>700-1000</w:t>
            </w:r>
          </w:p>
        </w:tc>
        <w:tc>
          <w:tcPr>
            <w:tcW w:w="2088" w:type="dxa"/>
          </w:tcPr>
          <w:p w:rsidR="00A63476" w:rsidRDefault="00D22874">
            <w:pPr>
              <w:pStyle w:val="TableParagraph"/>
              <w:spacing w:before="110"/>
              <w:ind w:left="92"/>
              <w:rPr>
                <w:sz w:val="16"/>
              </w:rPr>
            </w:pPr>
            <w:r>
              <w:rPr>
                <w:sz w:val="16"/>
              </w:rPr>
              <w:t>29</w:t>
            </w:r>
          </w:p>
        </w:tc>
        <w:tc>
          <w:tcPr>
            <w:tcW w:w="2078" w:type="dxa"/>
          </w:tcPr>
          <w:p w:rsidR="00A63476" w:rsidRDefault="00D22874">
            <w:pPr>
              <w:pStyle w:val="TableParagraph"/>
              <w:spacing w:before="110"/>
              <w:ind w:left="84"/>
              <w:rPr>
                <w:sz w:val="16"/>
              </w:rPr>
            </w:pPr>
            <w:r>
              <w:rPr>
                <w:sz w:val="16"/>
              </w:rPr>
              <w:t>140</w:t>
            </w:r>
          </w:p>
        </w:tc>
      </w:tr>
      <w:tr w:rsidR="00A63476">
        <w:trPr>
          <w:trHeight w:val="366"/>
        </w:trPr>
        <w:tc>
          <w:tcPr>
            <w:tcW w:w="1421" w:type="dxa"/>
          </w:tcPr>
          <w:p w:rsidR="00A63476" w:rsidRDefault="00D22874">
            <w:pPr>
              <w:pStyle w:val="TableParagraph"/>
              <w:spacing w:before="108"/>
              <w:ind w:left="93"/>
              <w:rPr>
                <w:sz w:val="16"/>
              </w:rPr>
            </w:pPr>
            <w:r>
              <w:rPr>
                <w:sz w:val="16"/>
              </w:rPr>
              <w:t>450-699</w:t>
            </w:r>
          </w:p>
        </w:tc>
        <w:tc>
          <w:tcPr>
            <w:tcW w:w="2088" w:type="dxa"/>
          </w:tcPr>
          <w:p w:rsidR="00A63476" w:rsidRDefault="00D22874">
            <w:pPr>
              <w:pStyle w:val="TableParagraph"/>
              <w:spacing w:before="108"/>
              <w:ind w:left="92"/>
              <w:rPr>
                <w:sz w:val="16"/>
              </w:rPr>
            </w:pPr>
            <w:r>
              <w:rPr>
                <w:sz w:val="16"/>
              </w:rPr>
              <w:t>26</w:t>
            </w:r>
          </w:p>
        </w:tc>
        <w:tc>
          <w:tcPr>
            <w:tcW w:w="2078" w:type="dxa"/>
          </w:tcPr>
          <w:p w:rsidR="00A63476" w:rsidRDefault="00D22874">
            <w:pPr>
              <w:pStyle w:val="TableParagraph"/>
              <w:spacing w:before="108"/>
              <w:ind w:left="84"/>
              <w:rPr>
                <w:sz w:val="16"/>
              </w:rPr>
            </w:pPr>
            <w:r>
              <w:rPr>
                <w:sz w:val="16"/>
              </w:rPr>
              <w:t>120</w:t>
            </w:r>
          </w:p>
        </w:tc>
      </w:tr>
      <w:tr w:rsidR="00A63476">
        <w:trPr>
          <w:trHeight w:val="366"/>
        </w:trPr>
        <w:tc>
          <w:tcPr>
            <w:tcW w:w="1421" w:type="dxa"/>
          </w:tcPr>
          <w:p w:rsidR="00A63476" w:rsidRDefault="00D22874">
            <w:pPr>
              <w:pStyle w:val="TableParagraph"/>
              <w:spacing w:before="107"/>
              <w:ind w:left="93"/>
              <w:rPr>
                <w:sz w:val="16"/>
              </w:rPr>
            </w:pPr>
            <w:r>
              <w:rPr>
                <w:sz w:val="16"/>
              </w:rPr>
              <w:t>200-449</w:t>
            </w:r>
          </w:p>
        </w:tc>
        <w:tc>
          <w:tcPr>
            <w:tcW w:w="2088" w:type="dxa"/>
          </w:tcPr>
          <w:p w:rsidR="00A63476" w:rsidRDefault="00D22874">
            <w:pPr>
              <w:pStyle w:val="TableParagraph"/>
              <w:spacing w:before="107"/>
              <w:ind w:left="92"/>
              <w:rPr>
                <w:sz w:val="16"/>
              </w:rPr>
            </w:pPr>
            <w:r>
              <w:rPr>
                <w:sz w:val="16"/>
              </w:rPr>
              <w:t>23</w:t>
            </w:r>
          </w:p>
        </w:tc>
        <w:tc>
          <w:tcPr>
            <w:tcW w:w="2078" w:type="dxa"/>
          </w:tcPr>
          <w:p w:rsidR="00A63476" w:rsidRDefault="00D22874">
            <w:pPr>
              <w:pStyle w:val="TableParagraph"/>
              <w:spacing w:before="107"/>
              <w:ind w:left="84"/>
              <w:rPr>
                <w:sz w:val="16"/>
              </w:rPr>
            </w:pPr>
            <w:r>
              <w:rPr>
                <w:sz w:val="16"/>
              </w:rPr>
              <w:t>100</w:t>
            </w:r>
          </w:p>
        </w:tc>
      </w:tr>
    </w:tbl>
    <w:p w:rsidR="00A63476" w:rsidRDefault="00A63476">
      <w:pPr>
        <w:pStyle w:val="Textoindependiente"/>
        <w:ind w:left="0" w:right="0" w:firstLine="0"/>
        <w:jc w:val="left"/>
        <w:rPr>
          <w:sz w:val="20"/>
        </w:rPr>
      </w:pPr>
    </w:p>
    <w:p w:rsidR="00A63476" w:rsidRDefault="00A63476">
      <w:pPr>
        <w:pStyle w:val="Textoindependiente"/>
        <w:spacing w:before="9"/>
        <w:ind w:left="0" w:right="0" w:firstLine="0"/>
        <w:jc w:val="left"/>
      </w:pPr>
    </w:p>
    <w:p w:rsidR="00A63476" w:rsidRDefault="00D22874">
      <w:pPr>
        <w:pStyle w:val="Prrafodelista"/>
        <w:numPr>
          <w:ilvl w:val="0"/>
          <w:numId w:val="46"/>
        </w:numPr>
        <w:tabs>
          <w:tab w:val="left" w:pos="1232"/>
        </w:tabs>
        <w:spacing w:before="0" w:line="242" w:lineRule="auto"/>
        <w:ind w:right="655" w:hanging="440"/>
        <w:rPr>
          <w:sz w:val="18"/>
        </w:rPr>
      </w:pPr>
      <w:r>
        <w:rPr>
          <w:sz w:val="18"/>
        </w:rPr>
        <w:t>Los montos de subsidio se presentan en montos máximos, los cuales podrán ser menores en los términos que al efecto autorice la Comisión. En ningún caso el valor del proyecto de la autoproducción de vivienda, podrá ser inferior a 40 veces el valor de la</w:t>
      </w:r>
      <w:r>
        <w:rPr>
          <w:spacing w:val="-1"/>
          <w:sz w:val="18"/>
        </w:rPr>
        <w:t xml:space="preserve"> </w:t>
      </w:r>
      <w:r>
        <w:rPr>
          <w:sz w:val="18"/>
        </w:rPr>
        <w:t>UMA</w:t>
      </w:r>
      <w:r>
        <w:rPr>
          <w:sz w:val="18"/>
        </w:rPr>
        <w:t>.</w:t>
      </w:r>
    </w:p>
    <w:p w:rsidR="00A63476" w:rsidRDefault="00D22874">
      <w:pPr>
        <w:pStyle w:val="Prrafodelista"/>
        <w:numPr>
          <w:ilvl w:val="0"/>
          <w:numId w:val="46"/>
        </w:numPr>
        <w:tabs>
          <w:tab w:val="left" w:pos="1231"/>
          <w:tab w:val="left" w:pos="1232"/>
        </w:tabs>
        <w:spacing w:before="113"/>
        <w:ind w:left="1232"/>
        <w:jc w:val="left"/>
        <w:rPr>
          <w:sz w:val="18"/>
        </w:rPr>
      </w:pPr>
      <w:r>
        <w:rPr>
          <w:sz w:val="18"/>
        </w:rPr>
        <w:t>El subsidio federal se otorgará para viviendas que estén ubicadas en y cuenten</w:t>
      </w:r>
      <w:r>
        <w:rPr>
          <w:spacing w:val="-1"/>
          <w:sz w:val="18"/>
        </w:rPr>
        <w:t xml:space="preserve"> </w:t>
      </w:r>
      <w:r>
        <w:rPr>
          <w:sz w:val="18"/>
        </w:rPr>
        <w:t>con:</w:t>
      </w:r>
    </w:p>
    <w:p w:rsidR="00A63476" w:rsidRDefault="00D22874">
      <w:pPr>
        <w:pStyle w:val="Prrafodelista"/>
        <w:numPr>
          <w:ilvl w:val="1"/>
          <w:numId w:val="46"/>
        </w:numPr>
        <w:tabs>
          <w:tab w:val="left" w:pos="1671"/>
          <w:tab w:val="left" w:pos="1672"/>
        </w:tabs>
        <w:spacing w:before="113"/>
        <w:ind w:left="1672"/>
        <w:jc w:val="left"/>
        <w:rPr>
          <w:sz w:val="18"/>
        </w:rPr>
      </w:pPr>
      <w:r>
        <w:rPr>
          <w:sz w:val="18"/>
        </w:rPr>
        <w:t>Dentro de Perímetros de Contención Urbana con: servicios de luz, agua, drenaje o</w:t>
      </w:r>
      <w:r>
        <w:rPr>
          <w:spacing w:val="-4"/>
          <w:sz w:val="18"/>
        </w:rPr>
        <w:t xml:space="preserve"> </w:t>
      </w:r>
      <w:r>
        <w:rPr>
          <w:sz w:val="18"/>
        </w:rPr>
        <w:t>equivalente.</w:t>
      </w:r>
    </w:p>
    <w:p w:rsidR="00A63476" w:rsidRDefault="00A63476">
      <w:pPr>
        <w:rPr>
          <w:sz w:val="18"/>
        </w:rPr>
        <w:sectPr w:rsidR="00A63476">
          <w:pgSz w:w="12240" w:h="15840"/>
          <w:pgMar w:top="920" w:right="1040" w:bottom="280" w:left="1180" w:header="700" w:footer="0" w:gutter="0"/>
          <w:cols w:space="720"/>
        </w:sectPr>
      </w:pPr>
    </w:p>
    <w:p w:rsidR="00A63476" w:rsidRDefault="00A63476">
      <w:pPr>
        <w:pStyle w:val="Textoindependiente"/>
        <w:spacing w:before="8"/>
        <w:ind w:left="0" w:right="0" w:firstLine="0"/>
        <w:jc w:val="left"/>
        <w:rPr>
          <w:sz w:val="10"/>
        </w:rPr>
      </w:pPr>
    </w:p>
    <w:p w:rsidR="00A63476" w:rsidRDefault="00D22874">
      <w:pPr>
        <w:pStyle w:val="Prrafodelista"/>
        <w:numPr>
          <w:ilvl w:val="1"/>
          <w:numId w:val="46"/>
        </w:numPr>
        <w:tabs>
          <w:tab w:val="left" w:pos="1672"/>
        </w:tabs>
        <w:spacing w:before="95" w:line="254" w:lineRule="auto"/>
        <w:ind w:right="655" w:hanging="440"/>
        <w:rPr>
          <w:sz w:val="18"/>
        </w:rPr>
      </w:pPr>
      <w:r>
        <w:rPr>
          <w:sz w:val="18"/>
        </w:rPr>
        <w:t>Fuera de Perímetros de Contención Urbana con: sistemas de disposición de residuos sólidos asequibles en el sitio y de preferencia, con servicios de luz y</w:t>
      </w:r>
      <w:r>
        <w:rPr>
          <w:spacing w:val="-1"/>
          <w:sz w:val="18"/>
        </w:rPr>
        <w:t xml:space="preserve"> </w:t>
      </w:r>
      <w:r>
        <w:rPr>
          <w:sz w:val="18"/>
        </w:rPr>
        <w:t>agua.</w:t>
      </w:r>
    </w:p>
    <w:p w:rsidR="00A63476" w:rsidRDefault="00D22874">
      <w:pPr>
        <w:pStyle w:val="Prrafodelista"/>
        <w:numPr>
          <w:ilvl w:val="0"/>
          <w:numId w:val="46"/>
        </w:numPr>
        <w:tabs>
          <w:tab w:val="left" w:pos="1232"/>
        </w:tabs>
        <w:spacing w:line="242" w:lineRule="auto"/>
        <w:ind w:right="655" w:hanging="440"/>
        <w:rPr>
          <w:sz w:val="18"/>
        </w:rPr>
      </w:pPr>
      <w:r>
        <w:rPr>
          <w:sz w:val="18"/>
        </w:rPr>
        <w:t>Para el otorgamiento del subsidio federal para la Autoproducción, se debe comprobar posesión legal, en ubicaciones fuera de Perímetros de Contención, así como posesión legal o titulación del espacio edificable dentro de Perímetros de Contención</w:t>
      </w:r>
      <w:r>
        <w:rPr>
          <w:spacing w:val="-1"/>
          <w:sz w:val="18"/>
        </w:rPr>
        <w:t xml:space="preserve"> </w:t>
      </w:r>
      <w:r>
        <w:rPr>
          <w:sz w:val="18"/>
        </w:rPr>
        <w:t>Urbana.</w:t>
      </w:r>
    </w:p>
    <w:p w:rsidR="00A63476" w:rsidRDefault="00D22874">
      <w:pPr>
        <w:pStyle w:val="Prrafodelista"/>
        <w:numPr>
          <w:ilvl w:val="0"/>
          <w:numId w:val="46"/>
        </w:numPr>
        <w:tabs>
          <w:tab w:val="left" w:pos="1232"/>
        </w:tabs>
        <w:spacing w:before="113" w:line="254" w:lineRule="auto"/>
        <w:ind w:right="655" w:hanging="440"/>
        <w:rPr>
          <w:sz w:val="18"/>
        </w:rPr>
      </w:pPr>
      <w:r>
        <w:rPr>
          <w:sz w:val="18"/>
        </w:rPr>
        <w:t xml:space="preserve">La </w:t>
      </w:r>
      <w:r>
        <w:rPr>
          <w:sz w:val="18"/>
        </w:rPr>
        <w:t>vivienda que se construya deberá llevarse a cabo por un Organismo Ejecutor de Obra o por un Desarrollador Social de Vivienda y en ambos casos deberá estar inscrita en el RUV según lo determine La Comisión y la información se utilizará con fines</w:t>
      </w:r>
      <w:r>
        <w:rPr>
          <w:spacing w:val="-1"/>
          <w:sz w:val="18"/>
        </w:rPr>
        <w:t xml:space="preserve"> </w:t>
      </w:r>
      <w:r>
        <w:rPr>
          <w:sz w:val="18"/>
        </w:rPr>
        <w:t>estadístico</w:t>
      </w:r>
      <w:r>
        <w:rPr>
          <w:sz w:val="18"/>
        </w:rPr>
        <w:t>s.</w:t>
      </w:r>
    </w:p>
    <w:p w:rsidR="00A63476" w:rsidRDefault="00D22874">
      <w:pPr>
        <w:pStyle w:val="Prrafodelista"/>
        <w:numPr>
          <w:ilvl w:val="0"/>
          <w:numId w:val="46"/>
        </w:numPr>
        <w:tabs>
          <w:tab w:val="left" w:pos="1232"/>
        </w:tabs>
        <w:spacing w:line="249" w:lineRule="auto"/>
        <w:ind w:right="655" w:hanging="440"/>
        <w:rPr>
          <w:sz w:val="18"/>
        </w:rPr>
      </w:pPr>
      <w:r>
        <w:rPr>
          <w:sz w:val="18"/>
        </w:rPr>
        <w:t>Quien haya sido persona beneficiaria de otro programa de vivienda, otorgado por cualquier Organismo Público de Vivienda, también podrá solicitar un subsidio federal en la modalidad de Autoproducción; en este caso el segundo subsidio federal será complem</w:t>
      </w:r>
      <w:r>
        <w:rPr>
          <w:sz w:val="18"/>
        </w:rPr>
        <w:t xml:space="preserve">entario al primero, condicionado a que se respeten los límites establecidos en el cuadro anterior, y a que la suma </w:t>
      </w:r>
      <w:r>
        <w:rPr>
          <w:spacing w:val="-8"/>
          <w:sz w:val="18"/>
        </w:rPr>
        <w:t xml:space="preserve">de </w:t>
      </w:r>
      <w:r>
        <w:rPr>
          <w:sz w:val="18"/>
        </w:rPr>
        <w:t>ambos subsidios federales no rebase en ningún caso 35 veces el valor de la UMA.</w:t>
      </w:r>
    </w:p>
    <w:p w:rsidR="00A63476" w:rsidRDefault="00D22874">
      <w:pPr>
        <w:pStyle w:val="Textoindependiente"/>
        <w:spacing w:before="104"/>
        <w:ind w:left="800" w:right="0" w:firstLine="0"/>
      </w:pPr>
      <w:r>
        <w:t>La Comisión asignará los subsidios federales de conformida</w:t>
      </w:r>
      <w:r>
        <w:t>d a los siguientes criterios:</w:t>
      </w:r>
    </w:p>
    <w:p w:rsidR="00A63476" w:rsidRDefault="00D22874">
      <w:pPr>
        <w:pStyle w:val="Prrafodelista"/>
        <w:numPr>
          <w:ilvl w:val="0"/>
          <w:numId w:val="38"/>
        </w:numPr>
        <w:tabs>
          <w:tab w:val="left" w:pos="1599"/>
          <w:tab w:val="left" w:pos="1600"/>
        </w:tabs>
        <w:spacing w:before="118" w:line="232" w:lineRule="auto"/>
        <w:ind w:right="655"/>
        <w:rPr>
          <w:sz w:val="18"/>
        </w:rPr>
      </w:pPr>
      <w:r>
        <w:rPr>
          <w:sz w:val="18"/>
        </w:rPr>
        <w:t xml:space="preserve">Asignación por entidad federativa, Organismos Nacionales de Vivienda, Organismos Estatales </w:t>
      </w:r>
      <w:r>
        <w:rPr>
          <w:spacing w:val="-14"/>
          <w:sz w:val="18"/>
        </w:rPr>
        <w:t xml:space="preserve">y </w:t>
      </w:r>
      <w:r>
        <w:rPr>
          <w:sz w:val="18"/>
        </w:rPr>
        <w:t>Municipales de vivienda y por Entidad Ejecutora</w:t>
      </w:r>
    </w:p>
    <w:p w:rsidR="00A63476" w:rsidRDefault="00D22874">
      <w:pPr>
        <w:pStyle w:val="Textoindependiente"/>
        <w:spacing w:before="114" w:line="252" w:lineRule="auto"/>
      </w:pPr>
      <w:r>
        <w:t>Conforme a lo previsto en estas Reglas, la Comisión priorizará la asignación de subsidios dirigidos a las personas que habiten en zonas de población mayoritariamente indígena, zonas con mayor grado de marginación o zonas con altos índices de violencia, seg</w:t>
      </w:r>
      <w:r>
        <w:t>ún los mecanismos establecidos por la Secretaría de Bienestar, así como a la información relacionada con el rezago habitacional y a la prevalencia de las necesidades de vivienda de la población en pobreza, según la definición de pobreza multidimensional pu</w:t>
      </w:r>
      <w:r>
        <w:t xml:space="preserve">blicada por el CONEVAL en la página </w:t>
      </w:r>
      <w:hyperlink r:id="rId31">
        <w:r>
          <w:t>www.coneval.org.mx,</w:t>
        </w:r>
      </w:hyperlink>
      <w:r>
        <w:t xml:space="preserve"> sujeto a la cobertura de las Entidades Ejecutoras participantes.</w:t>
      </w:r>
    </w:p>
    <w:p w:rsidR="00A63476" w:rsidRDefault="00D22874">
      <w:pPr>
        <w:pStyle w:val="Textoindependiente"/>
        <w:spacing w:before="98" w:line="254" w:lineRule="auto"/>
        <w:ind w:right="663"/>
      </w:pPr>
      <w:r>
        <w:t>En caso que se requiera realizar reasignaciones, éstas deberán ser analizadas y justifica</w:t>
      </w:r>
      <w:r>
        <w:t>das plenamente ante el Comité de Financiamiento a efecto de que dicho Comité proceda conforme a la normatividad aplicable.</w:t>
      </w:r>
    </w:p>
    <w:p w:rsidR="00A63476" w:rsidRDefault="00D22874">
      <w:pPr>
        <w:pStyle w:val="Prrafodelista"/>
        <w:numPr>
          <w:ilvl w:val="0"/>
          <w:numId w:val="38"/>
        </w:numPr>
        <w:tabs>
          <w:tab w:val="left" w:pos="1600"/>
        </w:tabs>
        <w:jc w:val="both"/>
        <w:rPr>
          <w:sz w:val="18"/>
        </w:rPr>
      </w:pPr>
      <w:r>
        <w:rPr>
          <w:sz w:val="18"/>
        </w:rPr>
        <w:t>Asignación por modalidades</w:t>
      </w:r>
    </w:p>
    <w:p w:rsidR="00A63476" w:rsidRDefault="00D22874">
      <w:pPr>
        <w:pStyle w:val="Textoindependiente"/>
        <w:spacing w:before="93" w:line="254" w:lineRule="auto"/>
        <w:ind w:right="663"/>
      </w:pPr>
      <w:r>
        <w:t xml:space="preserve">La Comisión asignará un monto anual a cada modalidad pudiéndose llevar a cabo durante el ejercicio fiscal </w:t>
      </w:r>
      <w:r>
        <w:t>reasignaciones periódicas para evitar subejercicios derivados de la operación.</w:t>
      </w:r>
    </w:p>
    <w:p w:rsidR="00A63476" w:rsidRDefault="00D22874">
      <w:pPr>
        <w:pStyle w:val="Prrafodelista"/>
        <w:numPr>
          <w:ilvl w:val="0"/>
          <w:numId w:val="38"/>
        </w:numPr>
        <w:tabs>
          <w:tab w:val="left" w:pos="1600"/>
        </w:tabs>
        <w:spacing w:before="102"/>
        <w:ind w:left="1599"/>
        <w:jc w:val="both"/>
        <w:rPr>
          <w:sz w:val="18"/>
        </w:rPr>
      </w:pPr>
      <w:r>
        <w:rPr>
          <w:sz w:val="18"/>
        </w:rPr>
        <w:t>Esquema de coparticipación con gobiernos estatales y</w:t>
      </w:r>
      <w:r>
        <w:rPr>
          <w:spacing w:val="-1"/>
          <w:sz w:val="18"/>
        </w:rPr>
        <w:t xml:space="preserve"> </w:t>
      </w:r>
      <w:r>
        <w:rPr>
          <w:sz w:val="18"/>
        </w:rPr>
        <w:t>municipales</w:t>
      </w:r>
    </w:p>
    <w:p w:rsidR="00A63476" w:rsidRDefault="00D22874">
      <w:pPr>
        <w:pStyle w:val="Textoindependiente"/>
        <w:spacing w:before="113" w:line="249" w:lineRule="auto"/>
      </w:pPr>
      <w:r>
        <w:t>La Comisión, por su cuenta o de manera conjunta con otras instituciones de la Administración Pública Federal, po</w:t>
      </w:r>
      <w:r>
        <w:t>drá celebrar convenios de colaboración con las entidades federativas o con los ayuntamientos con el fin de establecer compromisos para sumar recursos destinados a vivienda. En estos convenios de colaboración se establecerá la asignación de las entidades fe</w:t>
      </w:r>
      <w:r>
        <w:t>derativas o de los ayuntamientos, así como los recursos que deriven del Programa. En todo caso los gobiernos estatales o municipales deberán acreditar que sus respectivas aportaciones cuentan con un soporte programático o presupuestal.</w:t>
      </w:r>
    </w:p>
    <w:p w:rsidR="00A63476" w:rsidRDefault="00D22874">
      <w:pPr>
        <w:pStyle w:val="Textoindependiente"/>
        <w:spacing w:before="108" w:line="249" w:lineRule="auto"/>
        <w:ind w:right="654"/>
      </w:pPr>
      <w:r>
        <w:t>Se podrá optar por u</w:t>
      </w:r>
      <w:r>
        <w:t xml:space="preserve">n mayor alcance en la vivienda, con el acompañamiento de un financiamiento por la </w:t>
      </w:r>
      <w:r>
        <w:rPr>
          <w:spacing w:val="-3"/>
        </w:rPr>
        <w:t xml:space="preserve">CONAVI, </w:t>
      </w:r>
      <w:r>
        <w:t>debiendo asegurar la entidad federativa y el municipio la aportación programada en su presupuesto para la intervención habitacional, en el que la persona beneficiaria</w:t>
      </w:r>
      <w:r>
        <w:t xml:space="preserve"> debe cumplir con un ahorro previo. </w:t>
      </w:r>
      <w:r>
        <w:rPr>
          <w:spacing w:val="-6"/>
        </w:rPr>
        <w:t xml:space="preserve">El </w:t>
      </w:r>
      <w:r>
        <w:t xml:space="preserve">alcance en la vivienda se determinará en función de criterios de diseño y asistencia técnica que para tal </w:t>
      </w:r>
      <w:r>
        <w:rPr>
          <w:spacing w:val="-4"/>
        </w:rPr>
        <w:t xml:space="preserve">fin </w:t>
      </w:r>
      <w:r>
        <w:t>establezca la</w:t>
      </w:r>
      <w:r>
        <w:rPr>
          <w:spacing w:val="-1"/>
        </w:rPr>
        <w:t xml:space="preserve"> </w:t>
      </w:r>
      <w:r>
        <w:t>Comisión.</w:t>
      </w:r>
    </w:p>
    <w:p w:rsidR="00A63476" w:rsidRDefault="00D22874">
      <w:pPr>
        <w:pStyle w:val="Textoindependiente"/>
        <w:spacing w:before="124" w:line="266" w:lineRule="auto"/>
      </w:pPr>
      <w:r>
        <w:t xml:space="preserve">Para el caso del esquema de no derechohabientes al </w:t>
      </w:r>
      <w:r>
        <w:rPr>
          <w:spacing w:val="-4"/>
        </w:rPr>
        <w:t xml:space="preserve">INFONAVIT, </w:t>
      </w:r>
      <w:r>
        <w:t xml:space="preserve">FOVISSSTE o miembros </w:t>
      </w:r>
      <w:r>
        <w:t>de  las Fuerzas Armadas, la distribución estatal se realizará en función de la demanda y de acuerdo con los ahorradores existentes.</w:t>
      </w:r>
    </w:p>
    <w:p w:rsidR="00A63476" w:rsidRDefault="00D22874">
      <w:pPr>
        <w:pStyle w:val="Prrafodelista"/>
        <w:numPr>
          <w:ilvl w:val="0"/>
          <w:numId w:val="38"/>
        </w:numPr>
        <w:tabs>
          <w:tab w:val="left" w:pos="1600"/>
        </w:tabs>
        <w:spacing w:before="110"/>
        <w:jc w:val="both"/>
        <w:rPr>
          <w:sz w:val="18"/>
        </w:rPr>
      </w:pPr>
      <w:r>
        <w:rPr>
          <w:sz w:val="18"/>
        </w:rPr>
        <w:t>Priorización de los recursos del Programa para las distintas</w:t>
      </w:r>
      <w:r>
        <w:rPr>
          <w:spacing w:val="-1"/>
          <w:sz w:val="18"/>
        </w:rPr>
        <w:t xml:space="preserve"> </w:t>
      </w:r>
      <w:r>
        <w:rPr>
          <w:sz w:val="18"/>
        </w:rPr>
        <w:t>modalidades.</w:t>
      </w:r>
    </w:p>
    <w:p w:rsidR="00A63476" w:rsidRDefault="00D22874">
      <w:pPr>
        <w:pStyle w:val="Textoindependiente"/>
        <w:spacing w:before="134"/>
        <w:ind w:left="800" w:right="0" w:firstLine="0"/>
      </w:pPr>
      <w:r>
        <w:t xml:space="preserve">La Comisión asignará los recursos preferentemente </w:t>
      </w:r>
      <w:r>
        <w:t>de acuerdo al siguiente orden de priorización:</w:t>
      </w:r>
    </w:p>
    <w:p w:rsidR="00A63476" w:rsidRDefault="00D22874">
      <w:pPr>
        <w:pStyle w:val="Prrafodelista"/>
        <w:numPr>
          <w:ilvl w:val="0"/>
          <w:numId w:val="37"/>
        </w:numPr>
        <w:tabs>
          <w:tab w:val="left" w:pos="1323"/>
        </w:tabs>
        <w:spacing w:before="133" w:line="278" w:lineRule="auto"/>
        <w:ind w:right="653" w:hanging="8"/>
        <w:rPr>
          <w:sz w:val="18"/>
        </w:rPr>
      </w:pPr>
      <w:r>
        <w:rPr>
          <w:sz w:val="18"/>
        </w:rPr>
        <w:t>Intervenciones ubicadas en Polígonos de Mejoramiento Urbano, Proyectos Estratégicos y NAMA Urbana.</w:t>
      </w:r>
    </w:p>
    <w:p w:rsidR="00A63476" w:rsidRDefault="00D22874">
      <w:pPr>
        <w:pStyle w:val="Prrafodelista"/>
        <w:numPr>
          <w:ilvl w:val="0"/>
          <w:numId w:val="37"/>
        </w:numPr>
        <w:tabs>
          <w:tab w:val="left" w:pos="1363"/>
        </w:tabs>
        <w:spacing w:before="79" w:line="278" w:lineRule="auto"/>
        <w:ind w:right="663" w:hanging="8"/>
        <w:rPr>
          <w:sz w:val="18"/>
        </w:rPr>
      </w:pPr>
      <w:r>
        <w:rPr>
          <w:sz w:val="18"/>
        </w:rPr>
        <w:t xml:space="preserve">Vivienda que cumpla 150 puntos de la dimensión de Sustentabilidad Ambiental, como se define </w:t>
      </w:r>
      <w:r>
        <w:rPr>
          <w:spacing w:val="-6"/>
          <w:sz w:val="18"/>
        </w:rPr>
        <w:t xml:space="preserve">en </w:t>
      </w:r>
      <w:r>
        <w:rPr>
          <w:sz w:val="18"/>
        </w:rPr>
        <w:t>el Anexo 2 “Criterios para la evaluación de la intervención y la diferenciación del subsidio</w:t>
      </w:r>
      <w:r>
        <w:rPr>
          <w:spacing w:val="-10"/>
          <w:sz w:val="18"/>
        </w:rPr>
        <w:t xml:space="preserve"> </w:t>
      </w:r>
      <w:r>
        <w:rPr>
          <w:sz w:val="18"/>
        </w:rPr>
        <w:t>federal”.</w:t>
      </w:r>
    </w:p>
    <w:p w:rsidR="00A63476" w:rsidRDefault="00D22874">
      <w:pPr>
        <w:pStyle w:val="Prrafodelista"/>
        <w:numPr>
          <w:ilvl w:val="0"/>
          <w:numId w:val="37"/>
        </w:numPr>
        <w:tabs>
          <w:tab w:val="left" w:pos="1403"/>
        </w:tabs>
        <w:spacing w:before="100" w:line="278" w:lineRule="auto"/>
        <w:ind w:right="663" w:hanging="8"/>
        <w:rPr>
          <w:sz w:val="18"/>
        </w:rPr>
      </w:pPr>
      <w:r>
        <w:rPr>
          <w:sz w:val="18"/>
        </w:rPr>
        <w:t>Vivienda que cumpla 125 puntos de la dimensión de Sustenta</w:t>
      </w:r>
      <w:r>
        <w:rPr>
          <w:sz w:val="18"/>
        </w:rPr>
        <w:t>bilidad Ambiental, como se define en el Anexo 2 “Criterios para la evaluación de las intervenciones y la diferenciación del subsidio</w:t>
      </w:r>
      <w:r>
        <w:rPr>
          <w:spacing w:val="-10"/>
          <w:sz w:val="18"/>
        </w:rPr>
        <w:t xml:space="preserve"> </w:t>
      </w:r>
      <w:r>
        <w:rPr>
          <w:sz w:val="18"/>
        </w:rPr>
        <w:t>federal”.</w:t>
      </w:r>
    </w:p>
    <w:p w:rsidR="00A63476" w:rsidRDefault="00D22874">
      <w:pPr>
        <w:pStyle w:val="Prrafodelista"/>
        <w:numPr>
          <w:ilvl w:val="0"/>
          <w:numId w:val="37"/>
        </w:numPr>
        <w:tabs>
          <w:tab w:val="left" w:pos="1400"/>
        </w:tabs>
        <w:spacing w:before="100"/>
        <w:ind w:left="1399" w:hanging="168"/>
        <w:rPr>
          <w:sz w:val="18"/>
        </w:rPr>
      </w:pPr>
      <w:r>
        <w:rPr>
          <w:sz w:val="18"/>
        </w:rPr>
        <w:t>Vivienda vertical ubicada en los Perímetros de Contención Urbana U1 y</w:t>
      </w:r>
      <w:r>
        <w:rPr>
          <w:spacing w:val="-2"/>
          <w:sz w:val="18"/>
        </w:rPr>
        <w:t xml:space="preserve"> </w:t>
      </w:r>
      <w:r>
        <w:rPr>
          <w:sz w:val="18"/>
        </w:rPr>
        <w:t>U2.</w:t>
      </w:r>
    </w:p>
    <w:p w:rsidR="00A63476" w:rsidRDefault="00A63476">
      <w:pPr>
        <w:rPr>
          <w:sz w:val="18"/>
        </w:rPr>
        <w:sectPr w:rsidR="00A63476">
          <w:pgSz w:w="12240" w:h="15840"/>
          <w:pgMar w:top="920" w:right="1040" w:bottom="280" w:left="1180" w:header="700" w:footer="0" w:gutter="0"/>
          <w:cols w:space="720"/>
        </w:sectPr>
      </w:pPr>
    </w:p>
    <w:p w:rsidR="00A63476" w:rsidRDefault="00A63476">
      <w:pPr>
        <w:pStyle w:val="Textoindependiente"/>
        <w:spacing w:before="5"/>
        <w:ind w:left="0" w:right="0" w:firstLine="0"/>
        <w:jc w:val="left"/>
        <w:rPr>
          <w:sz w:val="12"/>
        </w:rPr>
      </w:pPr>
    </w:p>
    <w:p w:rsidR="00A63476" w:rsidRDefault="00D22874">
      <w:pPr>
        <w:pStyle w:val="Textoindependiente"/>
        <w:spacing w:before="95" w:line="271" w:lineRule="auto"/>
      </w:pPr>
      <w:r>
        <w:t xml:space="preserve">Para implementar dichas </w:t>
      </w:r>
      <w:r>
        <w:t>acciones, el Programa podrá realizar los ajustes necesarios en su planeación y operación, estableciendo los acuerdos, la coordinación y vinculación interinstitucional correspondiente, sin menoscabo de lo establecido en las presentes Reglas de Operación y d</w:t>
      </w:r>
      <w:r>
        <w:t>e las metas establecidas, así como en función de la capacidad operativa y disponibilidad presupuestal.</w:t>
      </w:r>
    </w:p>
    <w:p w:rsidR="00A63476" w:rsidRDefault="00D22874">
      <w:pPr>
        <w:spacing w:before="104"/>
        <w:ind w:left="800"/>
        <w:rPr>
          <w:sz w:val="14"/>
        </w:rPr>
      </w:pPr>
      <w:r>
        <w:rPr>
          <w:w w:val="105"/>
          <w:sz w:val="18"/>
        </w:rPr>
        <w:t>P</w:t>
      </w:r>
      <w:r>
        <w:rPr>
          <w:w w:val="105"/>
          <w:sz w:val="14"/>
        </w:rPr>
        <w:t>ARTICIPANTES</w:t>
      </w:r>
    </w:p>
    <w:p w:rsidR="00A63476" w:rsidRDefault="00D22874">
      <w:pPr>
        <w:pStyle w:val="Prrafodelista"/>
        <w:numPr>
          <w:ilvl w:val="0"/>
          <w:numId w:val="49"/>
        </w:numPr>
        <w:tabs>
          <w:tab w:val="left" w:pos="1232"/>
        </w:tabs>
        <w:spacing w:before="133"/>
        <w:ind w:left="1232"/>
        <w:rPr>
          <w:sz w:val="18"/>
        </w:rPr>
      </w:pPr>
      <w:r>
        <w:rPr>
          <w:sz w:val="18"/>
        </w:rPr>
        <w:t>Entidades ejecutoras</w:t>
      </w:r>
    </w:p>
    <w:p w:rsidR="00A63476" w:rsidRDefault="00D22874">
      <w:pPr>
        <w:pStyle w:val="Textoindependiente"/>
        <w:spacing w:before="133" w:line="278" w:lineRule="auto"/>
        <w:ind w:right="663"/>
      </w:pPr>
      <w:r>
        <w:t>Para efectos de lo establecido en el numeral “Glosario de Términos” de estas Reglas, se entenderá de manera enunciativa más no limitativa por Entidades Ejecutoras a:</w:t>
      </w:r>
    </w:p>
    <w:p w:rsidR="00A63476" w:rsidRDefault="00D22874">
      <w:pPr>
        <w:pStyle w:val="Prrafodelista"/>
        <w:numPr>
          <w:ilvl w:val="0"/>
          <w:numId w:val="46"/>
        </w:numPr>
        <w:tabs>
          <w:tab w:val="left" w:pos="1231"/>
          <w:tab w:val="left" w:pos="1232"/>
        </w:tabs>
        <w:spacing w:before="100"/>
        <w:ind w:left="1232"/>
        <w:jc w:val="left"/>
        <w:rPr>
          <w:sz w:val="18"/>
        </w:rPr>
      </w:pPr>
      <w:r>
        <w:rPr>
          <w:sz w:val="18"/>
        </w:rPr>
        <w:t xml:space="preserve">Organismos Nacionales de Vivienda: </w:t>
      </w:r>
      <w:r>
        <w:rPr>
          <w:spacing w:val="-4"/>
          <w:sz w:val="18"/>
        </w:rPr>
        <w:t xml:space="preserve">INFONAVIT, </w:t>
      </w:r>
      <w:r>
        <w:rPr>
          <w:sz w:val="18"/>
        </w:rPr>
        <w:t>FOVISSSTE, ISSFAM.</w:t>
      </w:r>
    </w:p>
    <w:p w:rsidR="00A63476" w:rsidRDefault="00D22874">
      <w:pPr>
        <w:pStyle w:val="Prrafodelista"/>
        <w:numPr>
          <w:ilvl w:val="0"/>
          <w:numId w:val="46"/>
        </w:numPr>
        <w:tabs>
          <w:tab w:val="left" w:pos="1231"/>
          <w:tab w:val="left" w:pos="1232"/>
        </w:tabs>
        <w:spacing w:before="113"/>
        <w:ind w:left="1232"/>
        <w:jc w:val="left"/>
        <w:rPr>
          <w:sz w:val="18"/>
        </w:rPr>
      </w:pPr>
      <w:r>
        <w:rPr>
          <w:sz w:val="18"/>
        </w:rPr>
        <w:t>Intermediarios financieros privados regulados.</w:t>
      </w:r>
    </w:p>
    <w:p w:rsidR="00A63476" w:rsidRDefault="00D22874">
      <w:pPr>
        <w:pStyle w:val="Prrafodelista"/>
        <w:numPr>
          <w:ilvl w:val="0"/>
          <w:numId w:val="46"/>
        </w:numPr>
        <w:tabs>
          <w:tab w:val="left" w:pos="1231"/>
          <w:tab w:val="left" w:pos="1232"/>
        </w:tabs>
        <w:spacing w:before="133"/>
        <w:ind w:left="1232"/>
        <w:jc w:val="left"/>
        <w:rPr>
          <w:sz w:val="18"/>
        </w:rPr>
      </w:pPr>
      <w:r>
        <w:rPr>
          <w:sz w:val="18"/>
        </w:rPr>
        <w:t>Intermediarios financieros que operen con Sociedades Nacionales de Crédito.</w:t>
      </w:r>
    </w:p>
    <w:p w:rsidR="00A63476" w:rsidRDefault="00D22874">
      <w:pPr>
        <w:pStyle w:val="Prrafodelista"/>
        <w:numPr>
          <w:ilvl w:val="0"/>
          <w:numId w:val="46"/>
        </w:numPr>
        <w:tabs>
          <w:tab w:val="left" w:pos="1231"/>
          <w:tab w:val="left" w:pos="1232"/>
        </w:tabs>
        <w:spacing w:before="133"/>
        <w:ind w:left="1232"/>
        <w:jc w:val="left"/>
        <w:rPr>
          <w:sz w:val="18"/>
        </w:rPr>
      </w:pPr>
      <w:r>
        <w:rPr>
          <w:sz w:val="18"/>
        </w:rPr>
        <w:t>Organismos Estatales y Municipales de</w:t>
      </w:r>
      <w:r>
        <w:rPr>
          <w:spacing w:val="-1"/>
          <w:sz w:val="18"/>
        </w:rPr>
        <w:t xml:space="preserve"> </w:t>
      </w:r>
      <w:r>
        <w:rPr>
          <w:sz w:val="18"/>
        </w:rPr>
        <w:t>vivienda.</w:t>
      </w:r>
    </w:p>
    <w:p w:rsidR="00A63476" w:rsidRDefault="00D22874">
      <w:pPr>
        <w:pStyle w:val="Prrafodelista"/>
        <w:numPr>
          <w:ilvl w:val="0"/>
          <w:numId w:val="46"/>
        </w:numPr>
        <w:tabs>
          <w:tab w:val="left" w:pos="1231"/>
          <w:tab w:val="left" w:pos="1232"/>
        </w:tabs>
        <w:spacing w:before="133"/>
        <w:ind w:left="1232"/>
        <w:jc w:val="left"/>
        <w:rPr>
          <w:sz w:val="18"/>
        </w:rPr>
      </w:pPr>
      <w:r>
        <w:rPr>
          <w:sz w:val="18"/>
        </w:rPr>
        <w:t>Otras instancias que otorguen</w:t>
      </w:r>
      <w:r>
        <w:rPr>
          <w:spacing w:val="-1"/>
          <w:sz w:val="18"/>
        </w:rPr>
        <w:t xml:space="preserve"> </w:t>
      </w:r>
      <w:r>
        <w:rPr>
          <w:sz w:val="18"/>
        </w:rPr>
        <w:t>financiamiento</w:t>
      </w:r>
    </w:p>
    <w:p w:rsidR="00A63476" w:rsidRDefault="00D22874">
      <w:pPr>
        <w:pStyle w:val="Textoindependiente"/>
        <w:spacing w:before="133" w:line="266" w:lineRule="auto"/>
      </w:pPr>
      <w:r>
        <w:t>Quienes estén interesados en ser Entidad</w:t>
      </w:r>
      <w:r>
        <w:t>es Ejecutoras deberán suscribir con la Comisión un Convenio de Adhesión. Para tal efecto, la Entidad Ejecutora debe cumplir con los siguientes criterios mínimos de elegibilidad:</w:t>
      </w:r>
    </w:p>
    <w:p w:rsidR="00A63476" w:rsidRDefault="00D22874">
      <w:pPr>
        <w:pStyle w:val="Prrafodelista"/>
        <w:numPr>
          <w:ilvl w:val="0"/>
          <w:numId w:val="46"/>
        </w:numPr>
        <w:tabs>
          <w:tab w:val="left" w:pos="1232"/>
        </w:tabs>
        <w:spacing w:before="111"/>
        <w:ind w:left="1232"/>
        <w:rPr>
          <w:sz w:val="18"/>
        </w:rPr>
      </w:pPr>
      <w:r>
        <w:rPr>
          <w:sz w:val="18"/>
        </w:rPr>
        <w:t>Acreditar su legal constitución y personalidad de sus representantes o</w:t>
      </w:r>
      <w:r>
        <w:rPr>
          <w:spacing w:val="-1"/>
          <w:sz w:val="18"/>
        </w:rPr>
        <w:t xml:space="preserve"> </w:t>
      </w:r>
      <w:r>
        <w:rPr>
          <w:sz w:val="18"/>
        </w:rPr>
        <w:t>apodera</w:t>
      </w:r>
      <w:r>
        <w:rPr>
          <w:sz w:val="18"/>
        </w:rPr>
        <w:t>dos.</w:t>
      </w:r>
    </w:p>
    <w:p w:rsidR="00A63476" w:rsidRDefault="00D22874">
      <w:pPr>
        <w:pStyle w:val="Prrafodelista"/>
        <w:numPr>
          <w:ilvl w:val="0"/>
          <w:numId w:val="46"/>
        </w:numPr>
        <w:tabs>
          <w:tab w:val="left" w:pos="1232"/>
        </w:tabs>
        <w:spacing w:before="133"/>
        <w:ind w:left="1232"/>
        <w:rPr>
          <w:sz w:val="18"/>
        </w:rPr>
      </w:pPr>
      <w:r>
        <w:rPr>
          <w:sz w:val="18"/>
        </w:rPr>
        <w:t>Demostrar su solvencia moral y</w:t>
      </w:r>
      <w:r>
        <w:rPr>
          <w:spacing w:val="-1"/>
          <w:sz w:val="18"/>
        </w:rPr>
        <w:t xml:space="preserve"> </w:t>
      </w:r>
      <w:r>
        <w:rPr>
          <w:sz w:val="18"/>
        </w:rPr>
        <w:t>financiera.</w:t>
      </w:r>
    </w:p>
    <w:p w:rsidR="00A63476" w:rsidRDefault="00D22874">
      <w:pPr>
        <w:pStyle w:val="Prrafodelista"/>
        <w:numPr>
          <w:ilvl w:val="0"/>
          <w:numId w:val="46"/>
        </w:numPr>
        <w:tabs>
          <w:tab w:val="left" w:pos="1231"/>
          <w:tab w:val="left" w:pos="1232"/>
        </w:tabs>
        <w:spacing w:before="133"/>
        <w:ind w:left="1232"/>
        <w:jc w:val="left"/>
        <w:rPr>
          <w:sz w:val="18"/>
        </w:rPr>
      </w:pPr>
      <w:r>
        <w:rPr>
          <w:sz w:val="18"/>
        </w:rPr>
        <w:t>Comprobar mecanismos formales de operación, tales como conciliación contable y</w:t>
      </w:r>
      <w:r>
        <w:rPr>
          <w:spacing w:val="-2"/>
          <w:sz w:val="18"/>
        </w:rPr>
        <w:t xml:space="preserve"> </w:t>
      </w:r>
      <w:r>
        <w:rPr>
          <w:sz w:val="18"/>
        </w:rPr>
        <w:t>administración.</w:t>
      </w:r>
    </w:p>
    <w:p w:rsidR="00A63476" w:rsidRDefault="00D22874">
      <w:pPr>
        <w:pStyle w:val="Prrafodelista"/>
        <w:numPr>
          <w:ilvl w:val="0"/>
          <w:numId w:val="46"/>
        </w:numPr>
        <w:tabs>
          <w:tab w:val="left" w:pos="1232"/>
        </w:tabs>
        <w:spacing w:before="133"/>
        <w:ind w:left="1232"/>
        <w:rPr>
          <w:sz w:val="18"/>
        </w:rPr>
      </w:pPr>
      <w:r>
        <w:rPr>
          <w:sz w:val="18"/>
        </w:rPr>
        <w:t>Demostrar su población</w:t>
      </w:r>
      <w:r>
        <w:rPr>
          <w:spacing w:val="-1"/>
          <w:sz w:val="18"/>
        </w:rPr>
        <w:t xml:space="preserve"> </w:t>
      </w:r>
      <w:r>
        <w:rPr>
          <w:sz w:val="18"/>
        </w:rPr>
        <w:t>objetivo.</w:t>
      </w:r>
    </w:p>
    <w:p w:rsidR="00A63476" w:rsidRDefault="00D22874">
      <w:pPr>
        <w:pStyle w:val="Prrafodelista"/>
        <w:numPr>
          <w:ilvl w:val="0"/>
          <w:numId w:val="46"/>
        </w:numPr>
        <w:tabs>
          <w:tab w:val="left" w:pos="1232"/>
        </w:tabs>
        <w:spacing w:before="133" w:line="266" w:lineRule="auto"/>
        <w:ind w:right="655" w:hanging="440"/>
        <w:rPr>
          <w:sz w:val="18"/>
        </w:rPr>
      </w:pPr>
      <w:r>
        <w:rPr>
          <w:sz w:val="18"/>
        </w:rPr>
        <w:t xml:space="preserve">Ofrecer condiciones de financiamiento, tales como tasas de interés, costo anual </w:t>
      </w:r>
      <w:r>
        <w:rPr>
          <w:sz w:val="18"/>
        </w:rPr>
        <w:t>total, comisiones y plazos, que a juicio de la Comisión sean apropiadas para la ejecución del presente Programa y acordes a su naturaleza</w:t>
      </w:r>
      <w:r>
        <w:rPr>
          <w:spacing w:val="-1"/>
          <w:sz w:val="18"/>
        </w:rPr>
        <w:t xml:space="preserve"> </w:t>
      </w:r>
      <w:r>
        <w:rPr>
          <w:sz w:val="18"/>
        </w:rPr>
        <w:t>jurídica.</w:t>
      </w:r>
    </w:p>
    <w:p w:rsidR="00A63476" w:rsidRDefault="00D22874">
      <w:pPr>
        <w:pStyle w:val="Prrafodelista"/>
        <w:numPr>
          <w:ilvl w:val="0"/>
          <w:numId w:val="49"/>
        </w:numPr>
        <w:tabs>
          <w:tab w:val="left" w:pos="1232"/>
        </w:tabs>
        <w:spacing w:before="110"/>
        <w:ind w:left="1232"/>
        <w:rPr>
          <w:sz w:val="18"/>
        </w:rPr>
      </w:pPr>
      <w:r>
        <w:rPr>
          <w:sz w:val="18"/>
        </w:rPr>
        <w:t>Comisión Nacional De</w:t>
      </w:r>
      <w:r>
        <w:rPr>
          <w:spacing w:val="-1"/>
          <w:sz w:val="18"/>
        </w:rPr>
        <w:t xml:space="preserve"> </w:t>
      </w:r>
      <w:r>
        <w:rPr>
          <w:sz w:val="18"/>
        </w:rPr>
        <w:t>Vivienda</w:t>
      </w:r>
    </w:p>
    <w:p w:rsidR="00A63476" w:rsidRDefault="00D22874">
      <w:pPr>
        <w:pStyle w:val="Textoindependiente"/>
        <w:spacing w:before="133" w:line="271" w:lineRule="auto"/>
      </w:pPr>
      <w:r>
        <w:t xml:space="preserve">La Comisión, por sí o a través de terceros, podrá realizar evaluaciones a las </w:t>
      </w:r>
      <w:r>
        <w:t>Entidades Ejecutoras, a fin de que acrediten el cumplimiento a las Reglas, al Convenio de Adhesión y a los compromisos que adquieran. La Comisión, en su caso, podrá otorgar periodos de gracia para que las Entidades Ejecutoras acrediten las acciones de regu</w:t>
      </w:r>
      <w:r>
        <w:t>larización que deriven de las acciones de evaluación y seguimiento.</w:t>
      </w:r>
    </w:p>
    <w:p w:rsidR="00A63476" w:rsidRDefault="00D22874">
      <w:pPr>
        <w:pStyle w:val="Prrafodelista"/>
        <w:numPr>
          <w:ilvl w:val="0"/>
          <w:numId w:val="49"/>
        </w:numPr>
        <w:tabs>
          <w:tab w:val="left" w:pos="1232"/>
        </w:tabs>
        <w:spacing w:before="105"/>
        <w:ind w:left="1232"/>
        <w:rPr>
          <w:sz w:val="18"/>
        </w:rPr>
      </w:pPr>
      <w:r>
        <w:rPr>
          <w:sz w:val="18"/>
        </w:rPr>
        <w:t>Entidades federativas y municipios</w:t>
      </w:r>
    </w:p>
    <w:p w:rsidR="00A63476" w:rsidRDefault="00D22874">
      <w:pPr>
        <w:pStyle w:val="Textoindependiente"/>
        <w:spacing w:before="133" w:line="273" w:lineRule="auto"/>
      </w:pPr>
      <w:r>
        <w:t>Para apoyar a este sector de la población, las entidades federativas y municipios, a través de sus organismos de vivienda o de la instancia administrativa que para ese efecto asignen, podrán participar aplicando los subsidios en favor de las personas benef</w:t>
      </w:r>
      <w:r>
        <w:t xml:space="preserve">iciarias del programa, en una proporción igual o menor a la aplicada por el gobierno federal a través de la </w:t>
      </w:r>
      <w:r>
        <w:rPr>
          <w:spacing w:val="-3"/>
        </w:rPr>
        <w:t xml:space="preserve">CONAVI, </w:t>
      </w:r>
      <w:r>
        <w:t>suscribiendo para tal fin los instrumentos jurídicos que correspondan.</w:t>
      </w:r>
    </w:p>
    <w:p w:rsidR="00A63476" w:rsidRDefault="00D22874">
      <w:pPr>
        <w:pStyle w:val="Textoindependiente"/>
        <w:spacing w:before="100" w:line="259" w:lineRule="auto"/>
        <w:ind w:right="654"/>
      </w:pPr>
      <w:r>
        <w:t>Para tales efectos, la Comisión, por su cuenta o de manera conjunta c</w:t>
      </w:r>
      <w:r>
        <w:t>on otras instituciones de la Administración Pública Federal, podrá celebrar convenios de colaboración con las entidades federativas o con los ayuntamientos con el fin de establecer compromisos para sumar recursos destinados a vivienda. En estos convenios d</w:t>
      </w:r>
      <w:r>
        <w:t>e colaboración se establecerá la asignación de las entidades federativas o de los ayuntamientos, así como los recursos que deriven del Programa. En todo caso los gobiernos estatales o municipales deberán acreditar que sus respectivas aportaciones cuentan c</w:t>
      </w:r>
      <w:r>
        <w:t>on un soporte programático o presupuestal.</w:t>
      </w:r>
    </w:p>
    <w:p w:rsidR="00A63476" w:rsidRDefault="00D22874">
      <w:pPr>
        <w:pStyle w:val="Textoindependiente"/>
        <w:spacing w:before="99" w:line="261" w:lineRule="auto"/>
        <w:ind w:right="654"/>
      </w:pPr>
      <w:r>
        <w:t xml:space="preserve">Se podrá optar por un mayor alcance en la vivienda, con el acompañamiento de un financiamiento por la CONAVI, debiendo asegurar la entidad federativa y el municipio la aportación programada en su presupuesto para </w:t>
      </w:r>
      <w:r>
        <w:t>la intervención habitacional, en el que la persona beneficiaria debe cumplir con un ahorro previo. El alcance en la vivienda se determinará en función de criterios de diseño y asistencia técnica que para tal fin establezca la Comisión.</w:t>
      </w:r>
    </w:p>
    <w:p w:rsidR="00A63476" w:rsidRDefault="00D22874">
      <w:pPr>
        <w:pStyle w:val="Textoindependiente"/>
        <w:spacing w:before="112" w:line="254" w:lineRule="auto"/>
        <w:ind w:right="663"/>
      </w:pPr>
      <w:r>
        <w:t>Podrán participar co</w:t>
      </w:r>
      <w:r>
        <w:t xml:space="preserve">nforme a sus facultades y atribuciones en todas aquellas acciones que contribuyan </w:t>
      </w:r>
      <w:r>
        <w:rPr>
          <w:spacing w:val="-16"/>
        </w:rPr>
        <w:t>a</w:t>
      </w:r>
      <w:r>
        <w:rPr>
          <w:spacing w:val="18"/>
        </w:rPr>
        <w:t xml:space="preserve"> </w:t>
      </w:r>
      <w:r>
        <w:t>la materialización y agilización del programa, en favor de la población y las localidades</w:t>
      </w:r>
      <w:r>
        <w:rPr>
          <w:spacing w:val="-1"/>
        </w:rPr>
        <w:t xml:space="preserve"> </w:t>
      </w:r>
      <w:r>
        <w:t>inscritas.</w:t>
      </w:r>
    </w:p>
    <w:p w:rsidR="00A63476" w:rsidRDefault="00D22874">
      <w:pPr>
        <w:pStyle w:val="Prrafodelista"/>
        <w:numPr>
          <w:ilvl w:val="0"/>
          <w:numId w:val="49"/>
        </w:numPr>
        <w:tabs>
          <w:tab w:val="left" w:pos="1232"/>
        </w:tabs>
        <w:ind w:left="1232"/>
        <w:rPr>
          <w:sz w:val="18"/>
        </w:rPr>
      </w:pPr>
      <w:r>
        <w:rPr>
          <w:sz w:val="18"/>
        </w:rPr>
        <w:t>Organismo Ejecutor De Obra</w:t>
      </w:r>
      <w:r>
        <w:rPr>
          <w:spacing w:val="-1"/>
          <w:sz w:val="18"/>
        </w:rPr>
        <w:t xml:space="preserve"> </w:t>
      </w:r>
      <w:r>
        <w:rPr>
          <w:sz w:val="18"/>
        </w:rPr>
        <w:t>(Oeo)</w:t>
      </w:r>
    </w:p>
    <w:p w:rsidR="00A63476" w:rsidRDefault="00A63476">
      <w:pPr>
        <w:jc w:val="both"/>
        <w:rPr>
          <w:sz w:val="18"/>
        </w:rPr>
        <w:sectPr w:rsidR="00A63476">
          <w:pgSz w:w="12240" w:h="15840"/>
          <w:pgMar w:top="920" w:right="1040" w:bottom="280" w:left="1180" w:header="700" w:footer="0" w:gutter="0"/>
          <w:cols w:space="720"/>
        </w:sectPr>
      </w:pPr>
    </w:p>
    <w:p w:rsidR="00A63476" w:rsidRDefault="00A63476">
      <w:pPr>
        <w:pStyle w:val="Textoindependiente"/>
        <w:spacing w:before="5"/>
        <w:ind w:left="0" w:right="0" w:firstLine="0"/>
        <w:jc w:val="left"/>
        <w:rPr>
          <w:sz w:val="12"/>
        </w:rPr>
      </w:pPr>
    </w:p>
    <w:p w:rsidR="00A63476" w:rsidRDefault="00D22874">
      <w:pPr>
        <w:pStyle w:val="Textoindependiente"/>
        <w:spacing w:before="95" w:line="254" w:lineRule="auto"/>
        <w:ind w:right="663"/>
      </w:pPr>
      <w:r>
        <w:t>En cuanto a la particip</w:t>
      </w:r>
      <w:r>
        <w:t xml:space="preserve">ación de los Organismos Ejecutores de Obra, se considerarán de </w:t>
      </w:r>
      <w:r>
        <w:rPr>
          <w:spacing w:val="-3"/>
        </w:rPr>
        <w:t xml:space="preserve">manera </w:t>
      </w:r>
      <w:r>
        <w:t>enunciativa más no limitativa:</w:t>
      </w:r>
    </w:p>
    <w:p w:rsidR="00A63476" w:rsidRDefault="00D22874">
      <w:pPr>
        <w:pStyle w:val="Prrafodelista"/>
        <w:numPr>
          <w:ilvl w:val="0"/>
          <w:numId w:val="46"/>
        </w:numPr>
        <w:tabs>
          <w:tab w:val="left" w:pos="1231"/>
          <w:tab w:val="left" w:pos="1232"/>
        </w:tabs>
        <w:ind w:left="1232"/>
        <w:jc w:val="left"/>
        <w:rPr>
          <w:sz w:val="18"/>
        </w:rPr>
      </w:pPr>
      <w:r>
        <w:rPr>
          <w:sz w:val="18"/>
        </w:rPr>
        <w:t>Desarrolladores sociales de vivienda.</w:t>
      </w:r>
    </w:p>
    <w:p w:rsidR="00A63476" w:rsidRDefault="00D22874">
      <w:pPr>
        <w:pStyle w:val="Prrafodelista"/>
        <w:numPr>
          <w:ilvl w:val="0"/>
          <w:numId w:val="46"/>
        </w:numPr>
        <w:tabs>
          <w:tab w:val="left" w:pos="1231"/>
          <w:tab w:val="left" w:pos="1232"/>
        </w:tabs>
        <w:spacing w:before="113"/>
        <w:ind w:left="1232"/>
        <w:jc w:val="left"/>
        <w:rPr>
          <w:sz w:val="18"/>
        </w:rPr>
      </w:pPr>
      <w:r>
        <w:rPr>
          <w:sz w:val="18"/>
        </w:rPr>
        <w:t>Personas morales acreditadas.</w:t>
      </w:r>
    </w:p>
    <w:p w:rsidR="00A63476" w:rsidRDefault="00D22874">
      <w:pPr>
        <w:pStyle w:val="Prrafodelista"/>
        <w:numPr>
          <w:ilvl w:val="0"/>
          <w:numId w:val="46"/>
        </w:numPr>
        <w:tabs>
          <w:tab w:val="left" w:pos="1231"/>
          <w:tab w:val="left" w:pos="1232"/>
        </w:tabs>
        <w:spacing w:before="133"/>
        <w:ind w:left="1232"/>
        <w:jc w:val="left"/>
        <w:rPr>
          <w:sz w:val="18"/>
        </w:rPr>
      </w:pPr>
      <w:r>
        <w:rPr>
          <w:sz w:val="18"/>
        </w:rPr>
        <w:t>Organismos Estatales y Municipales de</w:t>
      </w:r>
      <w:r>
        <w:rPr>
          <w:spacing w:val="-1"/>
          <w:sz w:val="18"/>
        </w:rPr>
        <w:t xml:space="preserve"> </w:t>
      </w:r>
      <w:r>
        <w:rPr>
          <w:sz w:val="18"/>
        </w:rPr>
        <w:t>vivienda.</w:t>
      </w:r>
    </w:p>
    <w:p w:rsidR="00A63476" w:rsidRDefault="00D22874">
      <w:pPr>
        <w:pStyle w:val="Prrafodelista"/>
        <w:numPr>
          <w:ilvl w:val="0"/>
          <w:numId w:val="46"/>
        </w:numPr>
        <w:tabs>
          <w:tab w:val="left" w:pos="1232"/>
        </w:tabs>
        <w:spacing w:before="113"/>
        <w:ind w:left="1232"/>
        <w:rPr>
          <w:sz w:val="18"/>
        </w:rPr>
      </w:pPr>
      <w:r>
        <w:rPr>
          <w:sz w:val="18"/>
        </w:rPr>
        <w:t>Agencias Productoras de</w:t>
      </w:r>
      <w:r>
        <w:rPr>
          <w:spacing w:val="-1"/>
          <w:sz w:val="18"/>
        </w:rPr>
        <w:t xml:space="preserve"> </w:t>
      </w:r>
      <w:r>
        <w:rPr>
          <w:sz w:val="18"/>
        </w:rPr>
        <w:t>Vivienda.</w:t>
      </w:r>
    </w:p>
    <w:p w:rsidR="00A63476" w:rsidRDefault="00D22874">
      <w:pPr>
        <w:pStyle w:val="Textoindependiente"/>
        <w:spacing w:before="113" w:line="278" w:lineRule="auto"/>
        <w:ind w:right="663"/>
      </w:pPr>
      <w:r>
        <w:t xml:space="preserve">Los lineamientos para el proceso de registro como Organismos Ejecutores de Obra se podrán consultar en </w:t>
      </w:r>
      <w:hyperlink r:id="rId32">
        <w:r>
          <w:t>la página www.gob.mx/conavi</w:t>
        </w:r>
      </w:hyperlink>
    </w:p>
    <w:p w:rsidR="00A63476" w:rsidRDefault="00D22874">
      <w:pPr>
        <w:pStyle w:val="Prrafodelista"/>
        <w:numPr>
          <w:ilvl w:val="0"/>
          <w:numId w:val="49"/>
        </w:numPr>
        <w:tabs>
          <w:tab w:val="left" w:pos="1232"/>
        </w:tabs>
        <w:spacing w:before="80"/>
        <w:ind w:left="1232"/>
        <w:rPr>
          <w:sz w:val="18"/>
        </w:rPr>
      </w:pPr>
      <w:r>
        <w:rPr>
          <w:sz w:val="18"/>
        </w:rPr>
        <w:t>Verificadores</w:t>
      </w:r>
    </w:p>
    <w:p w:rsidR="00A63476" w:rsidRDefault="00D22874">
      <w:pPr>
        <w:pStyle w:val="Textoindependiente"/>
        <w:spacing w:before="113" w:line="266" w:lineRule="auto"/>
      </w:pPr>
      <w:r>
        <w:t>La CONAVI podrá optar por la cont</w:t>
      </w:r>
      <w:r>
        <w:t>ratación de personas físicas o morales previamente inscritas ante la misma Comisión, para verificar el cumplimiento del acompañamiento técnico, así como de la correcta aplicación de los subsidios otorgados para el desarrollo del Programa.</w:t>
      </w:r>
    </w:p>
    <w:p w:rsidR="00A63476" w:rsidRDefault="00D22874">
      <w:pPr>
        <w:pStyle w:val="Ttulo1"/>
        <w:numPr>
          <w:ilvl w:val="1"/>
          <w:numId w:val="55"/>
        </w:numPr>
        <w:tabs>
          <w:tab w:val="left" w:pos="1151"/>
        </w:tabs>
        <w:spacing w:before="90"/>
        <w:jc w:val="both"/>
      </w:pPr>
      <w:r>
        <w:t>Criterios de sele</w:t>
      </w:r>
      <w:r>
        <w:t>cción de los</w:t>
      </w:r>
      <w:r>
        <w:rPr>
          <w:spacing w:val="-2"/>
        </w:rPr>
        <w:t xml:space="preserve"> </w:t>
      </w:r>
      <w:r>
        <w:t>beneficiarios</w:t>
      </w:r>
    </w:p>
    <w:p w:rsidR="00A63476" w:rsidRDefault="00D22874">
      <w:pPr>
        <w:pStyle w:val="Textoindependiente"/>
        <w:spacing w:before="113" w:line="393" w:lineRule="auto"/>
        <w:ind w:left="800" w:right="2873" w:firstLine="0"/>
      </w:pPr>
      <w:r>
        <w:t>Podrán ser beneficiarios del programa quienes cubran los siguientes requisitos: Población no derechohabiente:</w:t>
      </w:r>
    </w:p>
    <w:p w:rsidR="00A63476" w:rsidRDefault="00D22874">
      <w:pPr>
        <w:pStyle w:val="Prrafodelista"/>
        <w:numPr>
          <w:ilvl w:val="1"/>
          <w:numId w:val="58"/>
        </w:numPr>
        <w:tabs>
          <w:tab w:val="left" w:pos="1220"/>
        </w:tabs>
        <w:spacing w:before="0" w:line="188" w:lineRule="exact"/>
        <w:rPr>
          <w:sz w:val="18"/>
        </w:rPr>
      </w:pPr>
      <w:r>
        <w:rPr>
          <w:spacing w:val="-4"/>
          <w:sz w:val="18"/>
        </w:rPr>
        <w:t xml:space="preserve">Tener </w:t>
      </w:r>
      <w:r>
        <w:rPr>
          <w:sz w:val="18"/>
        </w:rPr>
        <w:t>18 años o más de edad, con o sin dependientes</w:t>
      </w:r>
      <w:r>
        <w:rPr>
          <w:spacing w:val="3"/>
          <w:sz w:val="18"/>
        </w:rPr>
        <w:t xml:space="preserve"> </w:t>
      </w:r>
      <w:r>
        <w:rPr>
          <w:sz w:val="18"/>
        </w:rPr>
        <w:t>económicos.</w:t>
      </w:r>
    </w:p>
    <w:p w:rsidR="00A63476" w:rsidRDefault="00D22874">
      <w:pPr>
        <w:pStyle w:val="Prrafodelista"/>
        <w:numPr>
          <w:ilvl w:val="1"/>
          <w:numId w:val="58"/>
        </w:numPr>
        <w:tabs>
          <w:tab w:val="left" w:pos="1220"/>
        </w:tabs>
        <w:spacing w:before="81" w:line="254" w:lineRule="auto"/>
        <w:ind w:left="1240" w:right="661" w:hanging="440"/>
        <w:rPr>
          <w:sz w:val="18"/>
        </w:rPr>
      </w:pPr>
      <w:r>
        <w:rPr>
          <w:sz w:val="18"/>
        </w:rPr>
        <w:t>Ser población no derechohabiente con ingreso individual</w:t>
      </w:r>
      <w:r>
        <w:rPr>
          <w:sz w:val="18"/>
        </w:rPr>
        <w:t xml:space="preserve"> o familiar de hasta 2.8 veces el valor de la UMA, que no cuenta con acceso a un crédito para adquirir o mejorar su</w:t>
      </w:r>
      <w:r>
        <w:rPr>
          <w:spacing w:val="-1"/>
          <w:sz w:val="18"/>
        </w:rPr>
        <w:t xml:space="preserve"> </w:t>
      </w:r>
      <w:r>
        <w:rPr>
          <w:sz w:val="18"/>
        </w:rPr>
        <w:t>vivienda.</w:t>
      </w:r>
    </w:p>
    <w:p w:rsidR="00A63476" w:rsidRDefault="00D22874">
      <w:pPr>
        <w:pStyle w:val="Prrafodelista"/>
        <w:numPr>
          <w:ilvl w:val="1"/>
          <w:numId w:val="58"/>
        </w:numPr>
        <w:tabs>
          <w:tab w:val="left" w:pos="1220"/>
        </w:tabs>
        <w:spacing w:before="89" w:line="254" w:lineRule="auto"/>
        <w:ind w:left="1240" w:right="661" w:hanging="440"/>
        <w:rPr>
          <w:sz w:val="18"/>
        </w:rPr>
      </w:pPr>
      <w:r>
        <w:rPr>
          <w:sz w:val="18"/>
        </w:rPr>
        <w:t xml:space="preserve">Ser población no derechohabiente con crédito para construir o mejorar su vivienda, con </w:t>
      </w:r>
      <w:r>
        <w:rPr>
          <w:spacing w:val="-3"/>
          <w:sz w:val="18"/>
        </w:rPr>
        <w:t xml:space="preserve">ingreso </w:t>
      </w:r>
      <w:r>
        <w:rPr>
          <w:sz w:val="18"/>
        </w:rPr>
        <w:t>individual de hasta cinco (5) veces</w:t>
      </w:r>
      <w:r>
        <w:rPr>
          <w:sz w:val="18"/>
        </w:rPr>
        <w:t xml:space="preserve"> el valor de la</w:t>
      </w:r>
      <w:r>
        <w:rPr>
          <w:spacing w:val="-1"/>
          <w:sz w:val="18"/>
        </w:rPr>
        <w:t xml:space="preserve"> </w:t>
      </w:r>
      <w:r>
        <w:rPr>
          <w:sz w:val="18"/>
        </w:rPr>
        <w:t>UMA.</w:t>
      </w:r>
    </w:p>
    <w:p w:rsidR="00A63476" w:rsidRDefault="00D22874">
      <w:pPr>
        <w:pStyle w:val="Textoindependiente"/>
        <w:spacing w:before="100"/>
        <w:ind w:left="800" w:right="0" w:firstLine="0"/>
      </w:pPr>
      <w:r>
        <w:t>Población derechohabiente:</w:t>
      </w:r>
    </w:p>
    <w:p w:rsidR="00A63476" w:rsidRDefault="00D22874">
      <w:pPr>
        <w:pStyle w:val="Prrafodelista"/>
        <w:numPr>
          <w:ilvl w:val="1"/>
          <w:numId w:val="58"/>
        </w:numPr>
        <w:tabs>
          <w:tab w:val="left" w:pos="1220"/>
        </w:tabs>
        <w:spacing w:before="81"/>
        <w:rPr>
          <w:sz w:val="18"/>
        </w:rPr>
      </w:pPr>
      <w:r>
        <w:rPr>
          <w:spacing w:val="-4"/>
          <w:sz w:val="18"/>
        </w:rPr>
        <w:t xml:space="preserve">Tener </w:t>
      </w:r>
      <w:r>
        <w:rPr>
          <w:sz w:val="18"/>
        </w:rPr>
        <w:t>18 años o más de edad, con o sin dependientes</w:t>
      </w:r>
      <w:r>
        <w:rPr>
          <w:spacing w:val="3"/>
          <w:sz w:val="18"/>
        </w:rPr>
        <w:t xml:space="preserve"> </w:t>
      </w:r>
      <w:r>
        <w:rPr>
          <w:sz w:val="18"/>
        </w:rPr>
        <w:t>económicos.</w:t>
      </w:r>
    </w:p>
    <w:p w:rsidR="00A63476" w:rsidRDefault="00D22874">
      <w:pPr>
        <w:pStyle w:val="Prrafodelista"/>
        <w:numPr>
          <w:ilvl w:val="1"/>
          <w:numId w:val="58"/>
        </w:numPr>
        <w:tabs>
          <w:tab w:val="left" w:pos="1220"/>
        </w:tabs>
        <w:spacing w:before="81" w:line="261" w:lineRule="auto"/>
        <w:ind w:left="1240" w:right="655" w:hanging="440"/>
        <w:rPr>
          <w:sz w:val="18"/>
        </w:rPr>
      </w:pPr>
      <w:r>
        <w:rPr>
          <w:sz w:val="18"/>
        </w:rPr>
        <w:t>Población derechohabiente de FOVISSSTE, INFONAVIT u otro organismo de seguridad social municipal, estatal o federal, con ingreso individual de hasta dos punto ocho (2.8) veces el valor de la UMA, que cuenta con aportaciones al Fondo de Ahorro para el Retir</w:t>
      </w:r>
      <w:r>
        <w:rPr>
          <w:sz w:val="18"/>
        </w:rPr>
        <w:t>o y a la Subcuenta Vivienda y con crédito para vivienda que puede provenir tanto de la Entidades Ejecutoras como de otra unidad administrativa.</w:t>
      </w:r>
    </w:p>
    <w:p w:rsidR="00A63476" w:rsidRDefault="00D22874">
      <w:pPr>
        <w:pStyle w:val="Ttulo1"/>
        <w:numPr>
          <w:ilvl w:val="1"/>
          <w:numId w:val="36"/>
        </w:numPr>
        <w:tabs>
          <w:tab w:val="left" w:pos="1101"/>
        </w:tabs>
        <w:spacing w:before="90"/>
        <w:jc w:val="both"/>
      </w:pPr>
      <w:r>
        <w:t>Consideraciones</w:t>
      </w:r>
      <w:r>
        <w:rPr>
          <w:spacing w:val="-1"/>
        </w:rPr>
        <w:t xml:space="preserve"> </w:t>
      </w:r>
      <w:r>
        <w:t>generales</w:t>
      </w:r>
    </w:p>
    <w:p w:rsidR="00A63476" w:rsidRDefault="00D22874">
      <w:pPr>
        <w:pStyle w:val="Textoindependiente"/>
        <w:spacing w:before="133" w:line="261" w:lineRule="auto"/>
        <w:ind w:right="654"/>
      </w:pPr>
      <w:r>
        <w:t>La intervención del programa podrá llevarse a cabo, siempre que se acredite la titular</w:t>
      </w:r>
      <w:r>
        <w:t>idad o posesión, o en su caso con la anuencia expresa del propietario o poseedor. Así mismo, el uso del suelo para vivienda deberá estar permitido por la normatividad local y no encontrarse en zonas de riesgo, de tal forma que se acredite la viabilidad jur</w:t>
      </w:r>
      <w:r>
        <w:t>ídica y técnica de la solicitud. En los casos donde se financiará la reubicación, el suelo destinado para la producción de vivienda deberá contar con las mismas condiciones señaladas.</w:t>
      </w:r>
    </w:p>
    <w:p w:rsidR="00A63476" w:rsidRDefault="00D22874">
      <w:pPr>
        <w:pStyle w:val="Textoindependiente"/>
        <w:spacing w:before="92" w:line="254" w:lineRule="auto"/>
        <w:ind w:right="663"/>
      </w:pPr>
      <w:r>
        <w:t>Los requisitos, así como el procedimiento para las diversas fases de ate</w:t>
      </w:r>
      <w:r>
        <w:t>nción del financiamiento, se est</w:t>
      </w:r>
      <w:hyperlink r:id="rId33">
        <w:r>
          <w:t>ablecen en el Manual de Procedimientos que se encuentra disponible en la página www.gob.mx/conavi.</w:t>
        </w:r>
      </w:hyperlink>
    </w:p>
    <w:p w:rsidR="00A63476" w:rsidRDefault="00D22874">
      <w:pPr>
        <w:pStyle w:val="Ttulo1"/>
        <w:numPr>
          <w:ilvl w:val="1"/>
          <w:numId w:val="36"/>
        </w:numPr>
        <w:tabs>
          <w:tab w:val="left" w:pos="1101"/>
        </w:tabs>
        <w:spacing w:before="142"/>
        <w:jc w:val="both"/>
      </w:pPr>
      <w:r>
        <w:t>Procedimiento de</w:t>
      </w:r>
      <w:r>
        <w:rPr>
          <w:spacing w:val="-1"/>
        </w:rPr>
        <w:t xml:space="preserve"> </w:t>
      </w:r>
      <w:r>
        <w:t>selección</w:t>
      </w:r>
    </w:p>
    <w:p w:rsidR="00A63476" w:rsidRDefault="00D22874">
      <w:pPr>
        <w:pStyle w:val="Textoindependiente"/>
        <w:spacing w:before="153" w:line="290" w:lineRule="auto"/>
      </w:pPr>
      <w:r>
        <w:t>El financiamiento para vivienda se asignará a todas aq</w:t>
      </w:r>
      <w:r>
        <w:t xml:space="preserve">uellas personas que lo soliciten y cumplan con los requisitos señalados en estas Reglas, en los términos de la disponibilidad programática y presupuestaria para cada vertiente de intervención y para cada entidad federativa según los criterios establecidos </w:t>
      </w:r>
      <w:r>
        <w:t>por la Comisión.</w:t>
      </w:r>
    </w:p>
    <w:p w:rsidR="00A63476" w:rsidRDefault="00D22874">
      <w:pPr>
        <w:pStyle w:val="Ttulo1"/>
        <w:numPr>
          <w:ilvl w:val="1"/>
          <w:numId w:val="36"/>
        </w:numPr>
        <w:tabs>
          <w:tab w:val="left" w:pos="1101"/>
        </w:tabs>
        <w:spacing w:before="108" w:line="417" w:lineRule="auto"/>
        <w:ind w:left="800" w:right="7697" w:firstLine="0"/>
        <w:jc w:val="both"/>
      </w:pPr>
      <w:r>
        <w:rPr>
          <w:spacing w:val="-1"/>
        </w:rPr>
        <w:t xml:space="preserve">Transparencia </w:t>
      </w:r>
      <w:r>
        <w:t>Difusión</w:t>
      </w:r>
    </w:p>
    <w:p w:rsidR="00A63476" w:rsidRDefault="00D22874">
      <w:pPr>
        <w:pStyle w:val="Textoindependiente"/>
        <w:spacing w:line="302" w:lineRule="auto"/>
      </w:pPr>
      <w:r>
        <w:t>Para garantizar la transparencia en el ejercicio de los recursos, la Comisión deberá dar amplia difusión al Programa a nivel nacional, promoviendo las acciones institucionales a nivel central y con las autoridades es</w:t>
      </w:r>
      <w:r>
        <w:t xml:space="preserve">tatales y municipales, a través de la página de internet </w:t>
      </w:r>
      <w:hyperlink r:id="rId34">
        <w:r>
          <w:t>http://www.gob.mx/conavi</w:t>
        </w:r>
      </w:hyperlink>
    </w:p>
    <w:p w:rsidR="00A63476" w:rsidRDefault="00D22874">
      <w:pPr>
        <w:pStyle w:val="Textoindependiente"/>
        <w:spacing w:before="98" w:line="302" w:lineRule="auto"/>
        <w:ind w:right="663"/>
      </w:pPr>
      <w:r>
        <w:t>Asimismo, se protegerán los datos personales en estricto cumplimiento a las normas de Transparencia y Acceso a la Información Pública.</w:t>
      </w:r>
    </w:p>
    <w:p w:rsidR="00A63476" w:rsidRDefault="00A63476">
      <w:pPr>
        <w:spacing w:line="302" w:lineRule="auto"/>
        <w:sectPr w:rsidR="00A63476">
          <w:pgSz w:w="12240" w:h="15840"/>
          <w:pgMar w:top="920" w:right="1040" w:bottom="280" w:left="1180" w:header="700" w:footer="0" w:gutter="0"/>
          <w:cols w:space="720"/>
        </w:sectPr>
      </w:pPr>
    </w:p>
    <w:p w:rsidR="00A63476" w:rsidRDefault="00A63476">
      <w:pPr>
        <w:pStyle w:val="Textoindependiente"/>
        <w:spacing w:before="2"/>
        <w:ind w:left="0" w:right="0" w:firstLine="0"/>
        <w:jc w:val="left"/>
        <w:rPr>
          <w:sz w:val="14"/>
        </w:rPr>
      </w:pPr>
    </w:p>
    <w:p w:rsidR="00A63476" w:rsidRDefault="00D22874">
      <w:pPr>
        <w:pStyle w:val="Textoindependiente"/>
        <w:spacing w:before="95" w:line="302" w:lineRule="auto"/>
      </w:pPr>
      <w:r>
        <w:t>La papelería, documentación oficial, así como la publicidad y promoción deberán incluir la siguiente leyenda: "Este programa es público, ajeno a cualquier partido político. Queda prohibido el uso para fines distintos al desarrollo social".</w:t>
      </w:r>
    </w:p>
    <w:p w:rsidR="00A63476" w:rsidRDefault="00D22874">
      <w:pPr>
        <w:pStyle w:val="Ttulo1"/>
        <w:spacing w:before="97"/>
        <w:ind w:left="800"/>
      </w:pPr>
      <w:r>
        <w:t>Contraloría Soci</w:t>
      </w:r>
      <w:r>
        <w:t>al</w:t>
      </w:r>
    </w:p>
    <w:p w:rsidR="00A63476" w:rsidRDefault="00D22874">
      <w:pPr>
        <w:pStyle w:val="Textoindependiente"/>
        <w:spacing w:before="153" w:line="300" w:lineRule="auto"/>
        <w:ind w:right="656"/>
      </w:pPr>
      <w:r>
        <w:t>Para el seguimiento, supervisión y vigilancia del cumplimiento de las metas y acciones comprometidas en el Programa, así como de la correcta aplicación de los recursos públicos asignados al mismo, La Comisión promoverá la participación de los beneficiar</w:t>
      </w:r>
      <w:r>
        <w:t xml:space="preserve">ios a través de la integración de comités de contraloría social, </w:t>
      </w:r>
      <w:r>
        <w:rPr>
          <w:spacing w:val="-6"/>
        </w:rPr>
        <w:t xml:space="preserve">en </w:t>
      </w:r>
      <w:r>
        <w:t>apego a los “Lineamientos para la Promoción y Operación de la Contraloría Social en los Programas Federales de Desarrollo Social”, publicados por la SFP en el Diario Oficial de la Federaci</w:t>
      </w:r>
      <w:r>
        <w:t xml:space="preserve">ón el 28 de </w:t>
      </w:r>
      <w:r>
        <w:rPr>
          <w:spacing w:val="-3"/>
        </w:rPr>
        <w:t xml:space="preserve">octubre </w:t>
      </w:r>
      <w:r>
        <w:t xml:space="preserve">de 2016, a efecto de promover y realizar las acciones necesarias para la operación de la Contraloría Social, bajo el Esquema y el Programa Anual de Trabajo </w:t>
      </w:r>
      <w:r>
        <w:rPr>
          <w:spacing w:val="-4"/>
        </w:rPr>
        <w:t xml:space="preserve">(PATCS) </w:t>
      </w:r>
      <w:r>
        <w:t xml:space="preserve">validados por la Secretaría de la Función Pública, que se dan a conocer </w:t>
      </w:r>
      <w:r>
        <w:t>en https:</w:t>
      </w:r>
      <w:hyperlink r:id="rId35">
        <w:r>
          <w:t xml:space="preserve">//www.gob.mx/conavi </w:t>
        </w:r>
      </w:hyperlink>
      <w:r>
        <w:t xml:space="preserve">y que serán de observancia obligatoria para la </w:t>
      </w:r>
      <w:r>
        <w:rPr>
          <w:spacing w:val="-3"/>
        </w:rPr>
        <w:t xml:space="preserve">CONAVI </w:t>
      </w:r>
      <w:r>
        <w:t>y las Entidades Ejecutoras y siguiendo los procedimientos establecidos en la Guía Operativa de Contraloría Social del Programa.</w:t>
      </w:r>
    </w:p>
    <w:p w:rsidR="00A63476" w:rsidRDefault="00D22874">
      <w:pPr>
        <w:pStyle w:val="Ttulo1"/>
        <w:spacing w:before="93"/>
        <w:ind w:left="800"/>
      </w:pPr>
      <w:r>
        <w:t>P</w:t>
      </w:r>
      <w:r>
        <w:t>rotección de recursos en época electoral y combate a la corrupción</w:t>
      </w:r>
    </w:p>
    <w:p w:rsidR="00A63476" w:rsidRDefault="00D22874">
      <w:pPr>
        <w:pStyle w:val="Textoindependiente"/>
        <w:spacing w:before="153" w:line="297" w:lineRule="auto"/>
      </w:pPr>
      <w:r>
        <w:t>En la operación y ejecución de los recursos federales y proyectos sujetos a las presentes Reglas de Operación, se deberán observar y atender las disposiciones establecidas en la normativida</w:t>
      </w:r>
      <w:r>
        <w:t xml:space="preserve">d vigente en materia de combate a la corrupción y protección de recursos en época electoral. Asimismo, durante los procesos electorales federales, estatales o municipales, deberá cumplirse con las determinaciones de la Estrategia de Protección de Recursos </w:t>
      </w:r>
      <w:r>
        <w:t>en Época Electoral, que emita el Comité Preventivo Central, con la finalidad de evitar el uso de recursos públicos y programas sociales con fines particulares, partidistas y/o político-electorales.</w:t>
      </w:r>
    </w:p>
    <w:p w:rsidR="00A63476" w:rsidRDefault="00D22874">
      <w:pPr>
        <w:pStyle w:val="Ttulo1"/>
        <w:numPr>
          <w:ilvl w:val="1"/>
          <w:numId w:val="36"/>
        </w:numPr>
        <w:tabs>
          <w:tab w:val="left" w:pos="1101"/>
        </w:tabs>
        <w:spacing w:before="103"/>
        <w:jc w:val="both"/>
      </w:pPr>
      <w:r>
        <w:t>Obligaciones de los</w:t>
      </w:r>
      <w:r>
        <w:rPr>
          <w:spacing w:val="-1"/>
        </w:rPr>
        <w:t xml:space="preserve"> </w:t>
      </w:r>
      <w:r>
        <w:t>beneficiarios</w:t>
      </w:r>
    </w:p>
    <w:p w:rsidR="00A63476" w:rsidRDefault="00D22874">
      <w:pPr>
        <w:pStyle w:val="Prrafodelista"/>
        <w:numPr>
          <w:ilvl w:val="0"/>
          <w:numId w:val="35"/>
        </w:numPr>
        <w:tabs>
          <w:tab w:val="left" w:pos="1231"/>
          <w:tab w:val="left" w:pos="1232"/>
        </w:tabs>
        <w:spacing w:before="153" w:line="302" w:lineRule="auto"/>
        <w:ind w:right="663" w:hanging="440"/>
        <w:rPr>
          <w:sz w:val="18"/>
        </w:rPr>
      </w:pPr>
      <w:r>
        <w:rPr>
          <w:sz w:val="18"/>
        </w:rPr>
        <w:t>Proporcionar información</w:t>
      </w:r>
      <w:r>
        <w:rPr>
          <w:sz w:val="18"/>
        </w:rPr>
        <w:t xml:space="preserve"> veraz y bajo protesta de decir verdad relativa a los datos personales e información que se le requiera.</w:t>
      </w:r>
    </w:p>
    <w:p w:rsidR="00A63476" w:rsidRDefault="00D22874">
      <w:pPr>
        <w:pStyle w:val="Prrafodelista"/>
        <w:numPr>
          <w:ilvl w:val="0"/>
          <w:numId w:val="35"/>
        </w:numPr>
        <w:tabs>
          <w:tab w:val="left" w:pos="1231"/>
          <w:tab w:val="left" w:pos="1232"/>
        </w:tabs>
        <w:spacing w:before="99" w:line="302" w:lineRule="auto"/>
        <w:ind w:right="663" w:hanging="440"/>
        <w:rPr>
          <w:sz w:val="18"/>
        </w:rPr>
      </w:pPr>
      <w:r>
        <w:rPr>
          <w:sz w:val="18"/>
        </w:rPr>
        <w:t xml:space="preserve">Destinar el financiamiento proporcionado por la </w:t>
      </w:r>
      <w:r>
        <w:rPr>
          <w:spacing w:val="-3"/>
          <w:sz w:val="18"/>
        </w:rPr>
        <w:t xml:space="preserve">CONAVI </w:t>
      </w:r>
      <w:r>
        <w:rPr>
          <w:sz w:val="18"/>
        </w:rPr>
        <w:t xml:space="preserve">a la intervención habitacional para la que </w:t>
      </w:r>
      <w:r>
        <w:rPr>
          <w:spacing w:val="-5"/>
          <w:sz w:val="18"/>
        </w:rPr>
        <w:t xml:space="preserve">fue </w:t>
      </w:r>
      <w:r>
        <w:rPr>
          <w:sz w:val="18"/>
        </w:rPr>
        <w:t>solicitado.</w:t>
      </w:r>
    </w:p>
    <w:p w:rsidR="00A63476" w:rsidRDefault="00D22874">
      <w:pPr>
        <w:pStyle w:val="Prrafodelista"/>
        <w:numPr>
          <w:ilvl w:val="0"/>
          <w:numId w:val="35"/>
        </w:numPr>
        <w:tabs>
          <w:tab w:val="left" w:pos="1231"/>
          <w:tab w:val="left" w:pos="1232"/>
        </w:tabs>
        <w:spacing w:before="98"/>
        <w:ind w:left="1231"/>
        <w:rPr>
          <w:sz w:val="18"/>
        </w:rPr>
      </w:pPr>
      <w:r>
        <w:rPr>
          <w:sz w:val="18"/>
        </w:rPr>
        <w:t xml:space="preserve">Permitir las acciones de supervisión </w:t>
      </w:r>
      <w:r>
        <w:rPr>
          <w:sz w:val="18"/>
        </w:rPr>
        <w:t>y seguimiento que requiera la Entidad Financiera o La Comisión.</w:t>
      </w:r>
    </w:p>
    <w:p w:rsidR="00A63476" w:rsidRDefault="00D22874">
      <w:pPr>
        <w:pStyle w:val="Prrafodelista"/>
        <w:numPr>
          <w:ilvl w:val="0"/>
          <w:numId w:val="35"/>
        </w:numPr>
        <w:tabs>
          <w:tab w:val="left" w:pos="1231"/>
          <w:tab w:val="left" w:pos="1232"/>
        </w:tabs>
        <w:spacing w:before="153"/>
        <w:ind w:left="1232"/>
        <w:rPr>
          <w:sz w:val="18"/>
        </w:rPr>
      </w:pPr>
      <w:r>
        <w:rPr>
          <w:sz w:val="18"/>
        </w:rPr>
        <w:t>Cumplir con los requisitos previstos en estas</w:t>
      </w:r>
      <w:r>
        <w:rPr>
          <w:spacing w:val="-1"/>
          <w:sz w:val="18"/>
        </w:rPr>
        <w:t xml:space="preserve"> </w:t>
      </w:r>
      <w:r>
        <w:rPr>
          <w:sz w:val="18"/>
        </w:rPr>
        <w:t>Reglas.</w:t>
      </w:r>
    </w:p>
    <w:p w:rsidR="00A63476" w:rsidRDefault="00D22874">
      <w:pPr>
        <w:pStyle w:val="Ttulo1"/>
        <w:numPr>
          <w:ilvl w:val="1"/>
          <w:numId w:val="36"/>
        </w:numPr>
        <w:tabs>
          <w:tab w:val="left" w:pos="1101"/>
        </w:tabs>
        <w:spacing w:before="153"/>
      </w:pPr>
      <w:r>
        <w:t>Incumplimiento de los</w:t>
      </w:r>
      <w:r>
        <w:rPr>
          <w:spacing w:val="-2"/>
        </w:rPr>
        <w:t xml:space="preserve"> </w:t>
      </w:r>
      <w:r>
        <w:t>beneficiarios</w:t>
      </w:r>
    </w:p>
    <w:p w:rsidR="00A63476" w:rsidRDefault="00D22874">
      <w:pPr>
        <w:pStyle w:val="Textoindependiente"/>
        <w:spacing w:before="133" w:line="302" w:lineRule="auto"/>
      </w:pPr>
      <w:r>
        <w:t>Los beneficiarios del programa que incumplan las obligaciones, condiciones y requisitos establecidos en estas Reglas, quedarán obligados a reembolsar el monto del subsidio recibido a través de la CONAVI o bajo los mecanismos que determine la Comisión, inde</w:t>
      </w:r>
      <w:r>
        <w:t>pendientemente de las responsabilidades civiles, penales o de cualquier otra índole en que incurrieren.</w:t>
      </w:r>
    </w:p>
    <w:p w:rsidR="00A63476" w:rsidRDefault="00D22874">
      <w:pPr>
        <w:pStyle w:val="Ttulo1"/>
        <w:numPr>
          <w:ilvl w:val="0"/>
          <w:numId w:val="34"/>
        </w:numPr>
        <w:tabs>
          <w:tab w:val="left" w:pos="1232"/>
        </w:tabs>
        <w:spacing w:before="77" w:after="14"/>
        <w:jc w:val="both"/>
      </w:pPr>
      <w:r>
        <w:t>Mecánica de operación del</w:t>
      </w:r>
      <w:r>
        <w:rPr>
          <w:spacing w:val="-2"/>
        </w:rPr>
        <w:t xml:space="preserve"> </w:t>
      </w:r>
      <w:r>
        <w:t>Programa</w:t>
      </w:r>
    </w:p>
    <w:p w:rsidR="00A63476" w:rsidRDefault="00FF0FB3">
      <w:pPr>
        <w:pStyle w:val="Textoindependiente"/>
        <w:spacing w:line="20" w:lineRule="exact"/>
        <w:ind w:left="802" w:right="0" w:firstLine="0"/>
        <w:jc w:val="left"/>
        <w:rPr>
          <w:sz w:val="2"/>
        </w:rPr>
      </w:pPr>
      <w:r>
        <w:rPr>
          <w:noProof/>
          <w:sz w:val="2"/>
        </w:rPr>
        <mc:AlternateContent>
          <mc:Choice Requires="wpg">
            <w:drawing>
              <wp:inline distT="0" distB="0" distL="0" distR="0">
                <wp:extent cx="5431790" cy="6350"/>
                <wp:effectExtent l="10795" t="7620" r="5715" b="5080"/>
                <wp:docPr id="76" name="Group 53"/>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5431790" cy="6350"/>
                          <a:chOff x="0" y="0"/>
                          <a:chExt cx="8554" cy="10"/>
                        </a:xfrm>
                      </wpg:grpSpPr>
                      <wps:wsp>
                        <wps:cNvPr id="77" name="Line 54"/>
                        <wps:cNvCnPr>
                          <a:cxnSpLocks noChangeShapeType="1"/>
                        </wps:cNvCnPr>
                        <wps:spPr bwMode="auto">
                          <a:xfrm>
                            <a:off x="0" y="5"/>
                            <a:ext cx="8554" cy="0"/>
                          </a:xfrm>
                          <a:prstGeom prst="line">
                            <a:avLst/>
                          </a:prstGeom>
                          <a:noFill/>
                          <a:ln w="6350">
                            <a:solidFill>
                              <a:srgbClr val="000000"/>
                            </a:solidFill>
                            <a:prstDash val="solid"/>
                            <a:round/>
                            <a:headEnd/>
                            <a:tailEnd/>
                          </a:ln>
                          <a:extLst>
                            <a:ext uri="{909E8E84-426E-40DD-AFC4-6F175D3DCCD1}">
                              <a14:hiddenFill xmlns:a14="http://schemas.microsoft.com/office/drawing/2010/main">
                                <a:noFill/>
                              </a14:hiddenFill>
                            </a:ext>
                          </a:extLst>
                        </wps:spPr>
                        <wps:bodyPr/>
                      </wps:wsp>
                    </wpg:wgp>
                  </a:graphicData>
                </a:graphic>
              </wp:inline>
            </w:drawing>
          </mc:Choice>
          <mc:Fallback>
            <w:pict>
              <v:group w14:anchorId="3FAC1EAC" id="Group 53" o:spid="_x0000_s1026" style="width:427.7pt;height:.5pt;mso-position-horizontal-relative:char;mso-position-vertical-relative:line" coordsize="8554,1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">
                <v:line id="Line 54" o:spid="_x0000_s1027" style="position:absolute;visibility:visible;mso-wrap-style:square" from="0,5" to="8554,5"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" strokeweight=".5pt"/>
                <w10:anchorlock/>
              </v:group>
            </w:pict>
          </mc:Fallback>
        </mc:AlternateContent>
      </w:r>
    </w:p>
    <w:p w:rsidR="00A63476" w:rsidRDefault="00D22874">
      <w:pPr>
        <w:pStyle w:val="Textoindependiente"/>
        <w:spacing w:before="99" w:line="254" w:lineRule="auto"/>
        <w:ind w:right="663"/>
      </w:pPr>
      <w:r>
        <w:t xml:space="preserve">La operación del Programa quedará establecida en el </w:t>
      </w:r>
      <w:r>
        <w:t>Convenio de Adhesión y en el Manual de Procedimientos correspondiente, de acuerdo con lo señalado en las presentes Reglas.</w:t>
      </w:r>
    </w:p>
    <w:p w:rsidR="00A63476" w:rsidRDefault="00D22874">
      <w:pPr>
        <w:pStyle w:val="Textoindependiente"/>
        <w:spacing w:before="101" w:line="254" w:lineRule="auto"/>
      </w:pPr>
      <w:r>
        <w:t>La Comisión dispersará directamente o a través de una entidad financiera, en los términos que al efecto autorice La Comisión, los rec</w:t>
      </w:r>
      <w:r>
        <w:t>ursos destinados al financiamiento federal y se asignarán, en los términos de la disponibilidad programática y presupuestaria, de la siguiente forma:</w:t>
      </w:r>
    </w:p>
    <w:p w:rsidR="00A63476" w:rsidRDefault="00D22874">
      <w:pPr>
        <w:pStyle w:val="Prrafodelista"/>
        <w:numPr>
          <w:ilvl w:val="0"/>
          <w:numId w:val="33"/>
        </w:numPr>
        <w:tabs>
          <w:tab w:val="left" w:pos="1232"/>
        </w:tabs>
        <w:spacing w:before="82" w:line="254" w:lineRule="auto"/>
        <w:ind w:right="663" w:hanging="440"/>
        <w:jc w:val="both"/>
        <w:rPr>
          <w:sz w:val="18"/>
        </w:rPr>
      </w:pPr>
      <w:r>
        <w:rPr>
          <w:sz w:val="18"/>
        </w:rPr>
        <w:t>La interesada o el interesado en beneficiarse del subsidio federal realizará personalmente la solicitud ante la Comisión o Entidad Ejecutora correspondiente.</w:t>
      </w:r>
    </w:p>
    <w:p w:rsidR="00A63476" w:rsidRDefault="00D22874">
      <w:pPr>
        <w:pStyle w:val="Prrafodelista"/>
        <w:numPr>
          <w:ilvl w:val="0"/>
          <w:numId w:val="33"/>
        </w:numPr>
        <w:tabs>
          <w:tab w:val="left" w:pos="1232"/>
        </w:tabs>
        <w:spacing w:before="81" w:line="249" w:lineRule="auto"/>
        <w:ind w:right="655" w:hanging="440"/>
        <w:jc w:val="both"/>
        <w:rPr>
          <w:sz w:val="18"/>
        </w:rPr>
      </w:pPr>
      <w:r>
        <w:rPr>
          <w:sz w:val="18"/>
        </w:rPr>
        <w:t>La Comisión y/o las Entidades Ejecutoras otorgarán el financiamiento conforme a la información pro</w:t>
      </w:r>
      <w:r>
        <w:rPr>
          <w:sz w:val="18"/>
        </w:rPr>
        <w:t xml:space="preserve">porcionada por la (el) solicitante de subsidio federal, en forma directa o mediante convenio </w:t>
      </w:r>
      <w:r>
        <w:rPr>
          <w:spacing w:val="-5"/>
          <w:sz w:val="18"/>
        </w:rPr>
        <w:t xml:space="preserve">con </w:t>
      </w:r>
      <w:r>
        <w:rPr>
          <w:sz w:val="18"/>
        </w:rPr>
        <w:t>entidades financieras que al efecto autorice la Comisión. Los solicitantes del subsidio federal y los beneficiarios podrán consultar las Entidades Ejecutoras a</w:t>
      </w:r>
      <w:r>
        <w:rPr>
          <w:sz w:val="18"/>
        </w:rPr>
        <w:t xml:space="preserve">dheridas al Programa en la </w:t>
      </w:r>
      <w:r>
        <w:rPr>
          <w:spacing w:val="-3"/>
          <w:sz w:val="18"/>
        </w:rPr>
        <w:t>página:</w:t>
      </w:r>
      <w:hyperlink r:id="rId36">
        <w:r>
          <w:rPr>
            <w:spacing w:val="-3"/>
            <w:sz w:val="18"/>
            <w:u w:val="single"/>
          </w:rPr>
          <w:t xml:space="preserve"> </w:t>
        </w:r>
        <w:r>
          <w:rPr>
            <w:sz w:val="18"/>
            <w:u w:val="single"/>
          </w:rPr>
          <w:t>www.gob.mx/conav</w:t>
        </w:r>
        <w:r>
          <w:rPr>
            <w:sz w:val="18"/>
          </w:rPr>
          <w:t>i</w:t>
        </w:r>
      </w:hyperlink>
    </w:p>
    <w:p w:rsidR="00A63476" w:rsidRDefault="00A63476">
      <w:pPr>
        <w:spacing w:line="249" w:lineRule="auto"/>
        <w:jc w:val="both"/>
        <w:rPr>
          <w:sz w:val="18"/>
        </w:rPr>
        <w:sectPr w:rsidR="00A63476">
          <w:pgSz w:w="12240" w:h="15840"/>
          <w:pgMar w:top="920" w:right="1040" w:bottom="280" w:left="1180" w:header="700" w:footer="0" w:gutter="0"/>
          <w:cols w:space="720"/>
        </w:sectPr>
      </w:pPr>
    </w:p>
    <w:p w:rsidR="00A63476" w:rsidRDefault="00A63476">
      <w:pPr>
        <w:pStyle w:val="Textoindependiente"/>
        <w:spacing w:before="8"/>
        <w:ind w:left="0" w:right="0" w:firstLine="0"/>
        <w:jc w:val="left"/>
        <w:rPr>
          <w:sz w:val="10"/>
        </w:rPr>
      </w:pPr>
    </w:p>
    <w:p w:rsidR="00A63476" w:rsidRDefault="00D22874">
      <w:pPr>
        <w:pStyle w:val="Prrafodelista"/>
        <w:numPr>
          <w:ilvl w:val="0"/>
          <w:numId w:val="33"/>
        </w:numPr>
        <w:tabs>
          <w:tab w:val="left" w:pos="1232"/>
        </w:tabs>
        <w:spacing w:before="95" w:line="254" w:lineRule="auto"/>
        <w:ind w:right="655" w:hanging="440"/>
        <w:jc w:val="both"/>
        <w:rPr>
          <w:sz w:val="18"/>
        </w:rPr>
      </w:pPr>
      <w:r>
        <w:rPr>
          <w:sz w:val="18"/>
        </w:rPr>
        <w:t>La Comisión enviará directamente o a través de una entidad financiera, los recursos procedentes al beneficiario o a la Entidad Ejecutora en su caso, para su dispersión, salvo en los casos de INFONAVIT y FOVISSSTE, que será a través del procedimiento operat</w:t>
      </w:r>
      <w:r>
        <w:rPr>
          <w:sz w:val="18"/>
        </w:rPr>
        <w:t>ivo que, en su caso, acuerde con las mismas.</w:t>
      </w:r>
    </w:p>
    <w:p w:rsidR="00A63476" w:rsidRDefault="00D22874">
      <w:pPr>
        <w:pStyle w:val="Prrafodelista"/>
        <w:numPr>
          <w:ilvl w:val="0"/>
          <w:numId w:val="33"/>
        </w:numPr>
        <w:tabs>
          <w:tab w:val="left" w:pos="1232"/>
        </w:tabs>
        <w:spacing w:before="82" w:line="249" w:lineRule="auto"/>
        <w:ind w:right="655" w:hanging="440"/>
        <w:jc w:val="both"/>
        <w:rPr>
          <w:sz w:val="18"/>
        </w:rPr>
      </w:pPr>
      <w:r>
        <w:rPr>
          <w:sz w:val="18"/>
        </w:rPr>
        <w:t>Las Entidades Ejecutoras presentarán a la Comisión la solicitud y el certificado de recepción de cada una de las aplicaciones del financiamiento federal y un reporte mensual de comprobación, entre otros. La Comi</w:t>
      </w:r>
      <w:r>
        <w:rPr>
          <w:sz w:val="18"/>
        </w:rPr>
        <w:t>sión validará los documentos citados y la información recibida. En caso de atención directa por parte de la Comisión, ésta recabará la solicitud y el contrato o certificado por la entrega del financiamiento correspondiente.</w:t>
      </w:r>
    </w:p>
    <w:p w:rsidR="00A63476" w:rsidRDefault="00D22874">
      <w:pPr>
        <w:pStyle w:val="Prrafodelista"/>
        <w:numPr>
          <w:ilvl w:val="0"/>
          <w:numId w:val="33"/>
        </w:numPr>
        <w:tabs>
          <w:tab w:val="left" w:pos="1232"/>
        </w:tabs>
        <w:spacing w:before="84" w:line="249" w:lineRule="auto"/>
        <w:ind w:right="655" w:hanging="440"/>
        <w:jc w:val="both"/>
        <w:rPr>
          <w:sz w:val="18"/>
        </w:rPr>
      </w:pPr>
      <w:r>
        <w:rPr>
          <w:sz w:val="18"/>
        </w:rPr>
        <w:t>La Comisión entregará en los ant</w:t>
      </w:r>
      <w:r>
        <w:rPr>
          <w:sz w:val="18"/>
        </w:rPr>
        <w:t xml:space="preserve">eriores términos los recursos al beneficiario y a las Entidades Ejecutoras correspondientes, considerando para ello los días y horas hábiles bancarios. En caso </w:t>
      </w:r>
      <w:r>
        <w:rPr>
          <w:spacing w:val="-8"/>
          <w:sz w:val="18"/>
        </w:rPr>
        <w:t xml:space="preserve">de </w:t>
      </w:r>
      <w:r>
        <w:rPr>
          <w:sz w:val="18"/>
        </w:rPr>
        <w:t>que no se formalice el otorgamiento del subsidio federal, la Entidad Ejecutora devolverá a la</w:t>
      </w:r>
      <w:r>
        <w:rPr>
          <w:sz w:val="18"/>
        </w:rPr>
        <w:t xml:space="preserve"> Comisión, el monto del mismo en términos de lo que al efecto establecen la Ley de Ingresos de la Federación y el Presupuesto de Egresos de la Federación al tener la naturaleza de  recursos públicos. Ambos eventos deberán realizarse conforme a lo previsto </w:t>
      </w:r>
      <w:r>
        <w:rPr>
          <w:sz w:val="18"/>
        </w:rPr>
        <w:t>en el Convenio de Adhesión respectivo, en todo caso deberá considerarse lo previsto en el artículo 54 de la Ley Federal de Presupuesto y Responsabilidad Hacendaria y en el artículo 85 de su Reglamento o los que resulten aplicables en caso de posteriores re</w:t>
      </w:r>
      <w:r>
        <w:rPr>
          <w:sz w:val="18"/>
        </w:rPr>
        <w:t>formas, respecto a los rendimientos y cargas financieras de las cantidades devueltas. El Manual de Procedimientos del Programa puede consultarse en la siguiente dirección electrónica</w:t>
      </w:r>
      <w:r>
        <w:rPr>
          <w:spacing w:val="-2"/>
          <w:sz w:val="18"/>
        </w:rPr>
        <w:t xml:space="preserve"> </w:t>
      </w:r>
      <w:hyperlink r:id="rId37">
        <w:r>
          <w:rPr>
            <w:sz w:val="18"/>
            <w:u w:val="single"/>
          </w:rPr>
          <w:t>www.gob.mx/conav</w:t>
        </w:r>
        <w:r>
          <w:rPr>
            <w:sz w:val="18"/>
          </w:rPr>
          <w:t>i</w:t>
        </w:r>
      </w:hyperlink>
    </w:p>
    <w:p w:rsidR="00A63476" w:rsidRDefault="00D22874">
      <w:pPr>
        <w:pStyle w:val="Prrafodelista"/>
        <w:numPr>
          <w:ilvl w:val="0"/>
          <w:numId w:val="33"/>
        </w:numPr>
        <w:tabs>
          <w:tab w:val="left" w:pos="1232"/>
        </w:tabs>
        <w:spacing w:before="92" w:line="254" w:lineRule="auto"/>
        <w:ind w:right="663" w:hanging="440"/>
        <w:jc w:val="both"/>
        <w:rPr>
          <w:sz w:val="18"/>
        </w:rPr>
      </w:pPr>
      <w:r>
        <w:rPr>
          <w:sz w:val="18"/>
        </w:rPr>
        <w:t>La Comisión</w:t>
      </w:r>
      <w:r>
        <w:rPr>
          <w:sz w:val="18"/>
        </w:rPr>
        <w:t xml:space="preserve"> incorporará la información recibida y la integrará en el padrón de personas beneficiarias en materia de vivienda del programa que</w:t>
      </w:r>
      <w:r>
        <w:rPr>
          <w:spacing w:val="-1"/>
          <w:sz w:val="18"/>
        </w:rPr>
        <w:t xml:space="preserve"> </w:t>
      </w:r>
      <w:r>
        <w:rPr>
          <w:sz w:val="18"/>
        </w:rPr>
        <w:t>administra.</w:t>
      </w:r>
    </w:p>
    <w:p w:rsidR="00A63476" w:rsidRDefault="00D22874">
      <w:pPr>
        <w:pStyle w:val="Prrafodelista"/>
        <w:numPr>
          <w:ilvl w:val="0"/>
          <w:numId w:val="33"/>
        </w:numPr>
        <w:tabs>
          <w:tab w:val="left" w:pos="1232"/>
        </w:tabs>
        <w:spacing w:before="81" w:line="249" w:lineRule="auto"/>
        <w:ind w:right="655" w:hanging="440"/>
        <w:jc w:val="both"/>
        <w:rPr>
          <w:sz w:val="18"/>
        </w:rPr>
      </w:pPr>
      <w:r>
        <w:rPr>
          <w:sz w:val="18"/>
        </w:rPr>
        <w:t>La Entidad Ejecutora vigilará el cumplimiento de los requisitos y de la aplicación del subsidio federal de este P</w:t>
      </w:r>
      <w:r>
        <w:rPr>
          <w:sz w:val="18"/>
        </w:rPr>
        <w:t>rograma para los fines solicitados y coadyuvará con lo que al efecto establecen</w:t>
      </w:r>
      <w:r>
        <w:rPr>
          <w:spacing w:val="32"/>
          <w:sz w:val="18"/>
        </w:rPr>
        <w:t xml:space="preserve"> </w:t>
      </w:r>
      <w:r>
        <w:rPr>
          <w:sz w:val="18"/>
        </w:rPr>
        <w:t>las presentes Reglas para el caso de incumplimiento de las obligaciones de la persona beneficiaria, asumiendo en su caso las responsabilidades civiles, administrativas y/o pena</w:t>
      </w:r>
      <w:r>
        <w:rPr>
          <w:sz w:val="18"/>
        </w:rPr>
        <w:t>les que resultaren derivadas de sus acciones u omisiones.</w:t>
      </w:r>
    </w:p>
    <w:p w:rsidR="00A63476" w:rsidRDefault="00D22874">
      <w:pPr>
        <w:pStyle w:val="Prrafodelista"/>
        <w:numPr>
          <w:ilvl w:val="0"/>
          <w:numId w:val="33"/>
        </w:numPr>
        <w:tabs>
          <w:tab w:val="left" w:pos="1232"/>
        </w:tabs>
        <w:spacing w:before="84" w:line="242" w:lineRule="auto"/>
        <w:ind w:right="655" w:hanging="440"/>
        <w:jc w:val="both"/>
        <w:rPr>
          <w:sz w:val="18"/>
        </w:rPr>
      </w:pPr>
      <w:r>
        <w:rPr>
          <w:sz w:val="18"/>
        </w:rPr>
        <w:t xml:space="preserve">La Comisión es la instancia facultada para interpretar las presentes Reglas, así como para resolver los aspectos no considerados en ellas. Será la encargada de desarrollar, coordinar, </w:t>
      </w:r>
      <w:r>
        <w:rPr>
          <w:spacing w:val="-4"/>
          <w:sz w:val="18"/>
        </w:rPr>
        <w:t xml:space="preserve">promover, </w:t>
      </w:r>
      <w:r>
        <w:rPr>
          <w:sz w:val="18"/>
        </w:rPr>
        <w:t>ejec</w:t>
      </w:r>
      <w:r>
        <w:rPr>
          <w:sz w:val="18"/>
        </w:rPr>
        <w:t>utar y dar seguimiento al Programa.</w:t>
      </w:r>
    </w:p>
    <w:p w:rsidR="00A63476" w:rsidRDefault="00D22874">
      <w:pPr>
        <w:pStyle w:val="Textoindependiente"/>
        <w:spacing w:before="92" w:line="254" w:lineRule="auto"/>
        <w:ind w:right="663"/>
      </w:pPr>
      <w:r>
        <w:t>Todo el intercambio de información a que se refiere este numeral, se realizará bajo los formatos y procedimientos que La Comisión establezca.</w:t>
      </w:r>
    </w:p>
    <w:p w:rsidR="00A63476" w:rsidRDefault="00D22874">
      <w:pPr>
        <w:pStyle w:val="Ttulo1"/>
        <w:numPr>
          <w:ilvl w:val="1"/>
          <w:numId w:val="34"/>
        </w:numPr>
        <w:tabs>
          <w:tab w:val="left" w:pos="1101"/>
        </w:tabs>
        <w:jc w:val="both"/>
      </w:pPr>
      <w:r>
        <w:t>Ejecución</w:t>
      </w:r>
    </w:p>
    <w:p w:rsidR="00A63476" w:rsidRDefault="00D22874">
      <w:pPr>
        <w:pStyle w:val="Textoindependiente"/>
        <w:spacing w:before="93" w:line="249" w:lineRule="auto"/>
      </w:pPr>
      <w:r>
        <w:t>Se deberán respetar los tiempos que marque el Presupuesto de Egresos de la Federación, sin interrupción, en el otorgamiento del subsidio federal y del financiamiento recuperable, mediante la aplicación de esquemas que permitan hacer frente a los compromiso</w:t>
      </w:r>
      <w:r>
        <w:t>s asumidos respecto del otorgamiento de éstos, en atención a la solicitud del mismo y la conclusión del trámite, con su otorgamiento y entrega de los recursos, hasta contar con la evidencia de recepción del financiamiento por la persona beneficiaria. El ot</w:t>
      </w:r>
      <w:r>
        <w:t xml:space="preserve">orgamiento </w:t>
      </w:r>
      <w:r>
        <w:rPr>
          <w:spacing w:val="-5"/>
        </w:rPr>
        <w:t xml:space="preserve">del </w:t>
      </w:r>
      <w:r>
        <w:t>financiamiento estará sujeto a la disponibilidad presupuestaria para el ejercicio fiscal</w:t>
      </w:r>
      <w:r>
        <w:rPr>
          <w:spacing w:val="-1"/>
        </w:rPr>
        <w:t xml:space="preserve"> </w:t>
      </w:r>
      <w:r>
        <w:t>correspondiente.</w:t>
      </w:r>
    </w:p>
    <w:p w:rsidR="00A63476" w:rsidRDefault="00D22874">
      <w:pPr>
        <w:pStyle w:val="Textoindependiente"/>
        <w:spacing w:before="88" w:line="254" w:lineRule="auto"/>
      </w:pPr>
      <w:r>
        <w:t>La Comisión instruirá que el depósito del subsidio se realice de forma electrónica de conformidad a lo establecido en el Artículo Vigés</w:t>
      </w:r>
      <w:r>
        <w:t xml:space="preserve">imo, párrafo segundo, fracción I del “Decreto que establece las medidas para </w:t>
      </w:r>
      <w:r>
        <w:rPr>
          <w:spacing w:val="-7"/>
        </w:rPr>
        <w:t xml:space="preserve">el </w:t>
      </w:r>
      <w:r>
        <w:t xml:space="preserve">uso eficiente, transparente y eficaz de los recursos públicos, y las acciones de disciplina presupuestaria en el ejercicio del gasto público, así como para la modernización de </w:t>
      </w:r>
      <w:r>
        <w:t>la Administración Pública Federal.”</w:t>
      </w:r>
    </w:p>
    <w:p w:rsidR="00A63476" w:rsidRDefault="00D22874">
      <w:pPr>
        <w:pStyle w:val="Ttulo1"/>
        <w:numPr>
          <w:ilvl w:val="2"/>
          <w:numId w:val="34"/>
        </w:numPr>
        <w:tabs>
          <w:tab w:val="left" w:pos="1251"/>
        </w:tabs>
        <w:jc w:val="both"/>
      </w:pPr>
      <w:r>
        <w:t>Gastos de</w:t>
      </w:r>
      <w:r>
        <w:rPr>
          <w:spacing w:val="-1"/>
        </w:rPr>
        <w:t xml:space="preserve"> </w:t>
      </w:r>
      <w:r>
        <w:t>Operación</w:t>
      </w:r>
    </w:p>
    <w:p w:rsidR="00A63476" w:rsidRDefault="00D22874">
      <w:pPr>
        <w:pStyle w:val="Textoindependiente"/>
        <w:spacing w:before="94" w:line="252" w:lineRule="auto"/>
        <w:ind w:right="656"/>
      </w:pPr>
      <w:r>
        <w:t>De los recursos aprobados al Programa en el Presupuesto de Egresos de la Federación para el ejercicio fiscal 2019, se distribuirá de la siguiente manera: 97% (noventa y siete por ciento) para financia</w:t>
      </w:r>
      <w:r>
        <w:t xml:space="preserve">miento del programa en sus distintas vertientes y 3% (tres por ciento), para gastos de operación, entre los que se encuentran el desarrollo de diversas acciones asociadas con la planeación, operación, </w:t>
      </w:r>
      <w:r>
        <w:rPr>
          <w:spacing w:val="-2"/>
        </w:rPr>
        <w:t xml:space="preserve">supervisión, </w:t>
      </w:r>
      <w:r>
        <w:t>seguimiento y evaluación externa, incluyen</w:t>
      </w:r>
      <w:r>
        <w:t>do capacitación técnica. Dichas erogaciones serán congruentes con las partidas presupuestales dispuestas en el Clasificador por Objeto del Gasto para la Administración Pública Federal en vigor, principalmente, entre otros conceptos que coadyuven a la opera</w:t>
      </w:r>
      <w:r>
        <w:t xml:space="preserve">ción del Programa: remuneraciones al personal eventual; material de apoyo informativo; servicios integrales de infraestructura </w:t>
      </w:r>
      <w:r>
        <w:rPr>
          <w:spacing w:val="-8"/>
        </w:rPr>
        <w:t xml:space="preserve">de </w:t>
      </w:r>
      <w:r>
        <w:t xml:space="preserve">cómputo; arrendamiento de equipo y bienes informáticos; arrendamientos de vehículos terrestres; </w:t>
      </w:r>
      <w:r>
        <w:rPr>
          <w:spacing w:val="-3"/>
        </w:rPr>
        <w:t xml:space="preserve">otras </w:t>
      </w:r>
      <w:r>
        <w:t>asistencias para la operación; servicios de desarrollo de aplicaciones informáticas; servicios estadísticos y geográficos; estudios e investigaciones; servicios de vigilancia; congresos y convenciones, y subcontratación de servicios con terceros.</w:t>
      </w:r>
    </w:p>
    <w:p w:rsidR="00A63476" w:rsidRDefault="00A63476">
      <w:pPr>
        <w:spacing w:line="252" w:lineRule="auto"/>
        <w:sectPr w:rsidR="00A63476">
          <w:pgSz w:w="12240" w:h="15840"/>
          <w:pgMar w:top="920" w:right="1040" w:bottom="280" w:left="1180" w:header="700" w:footer="0" w:gutter="0"/>
          <w:cols w:space="720"/>
        </w:sectPr>
      </w:pPr>
    </w:p>
    <w:p w:rsidR="00A63476" w:rsidRDefault="00A63476">
      <w:pPr>
        <w:pStyle w:val="Textoindependiente"/>
        <w:spacing w:before="8"/>
        <w:ind w:left="0" w:right="0" w:firstLine="0"/>
        <w:jc w:val="left"/>
        <w:rPr>
          <w:sz w:val="10"/>
        </w:rPr>
      </w:pPr>
    </w:p>
    <w:p w:rsidR="00A63476" w:rsidRDefault="00D22874">
      <w:pPr>
        <w:pStyle w:val="Textoindependiente"/>
        <w:spacing w:before="95" w:line="254" w:lineRule="auto"/>
      </w:pPr>
      <w:r>
        <w:t>Lo anterior, atendiendo las disposiciones de austeridad y disciplina presupuestaria establecidas en el artículo 13 del Presupuesto de Egresos de la Federación para el Ejercicio Fiscal 2019, y demás normatividad aplicable.</w:t>
      </w:r>
    </w:p>
    <w:p w:rsidR="00A63476" w:rsidRDefault="00D22874">
      <w:pPr>
        <w:pStyle w:val="Textoindependiente"/>
        <w:spacing w:before="61" w:line="254" w:lineRule="auto"/>
        <w:ind w:right="663"/>
      </w:pPr>
      <w:r>
        <w:t>La Comisión en cua</w:t>
      </w:r>
      <w:r>
        <w:t>lquier momento podrá revisar las asignaciones de los subsidios, para determinar las ampliaciones o reasignaciones de recursos para la operación del Programa.</w:t>
      </w:r>
    </w:p>
    <w:p w:rsidR="00A63476" w:rsidRDefault="00D22874">
      <w:pPr>
        <w:pStyle w:val="Ttulo1"/>
        <w:numPr>
          <w:ilvl w:val="2"/>
          <w:numId w:val="34"/>
        </w:numPr>
        <w:tabs>
          <w:tab w:val="left" w:pos="1251"/>
        </w:tabs>
        <w:jc w:val="both"/>
      </w:pPr>
      <w:r>
        <w:t>Proyectos Institucionales y</w:t>
      </w:r>
      <w:r>
        <w:rPr>
          <w:spacing w:val="-1"/>
        </w:rPr>
        <w:t xml:space="preserve"> </w:t>
      </w:r>
      <w:r>
        <w:t>Extraordinarios</w:t>
      </w:r>
    </w:p>
    <w:p w:rsidR="00A63476" w:rsidRDefault="00D22874">
      <w:pPr>
        <w:pStyle w:val="Textoindependiente"/>
        <w:spacing w:before="73"/>
        <w:ind w:left="800" w:right="0" w:firstLine="0"/>
      </w:pPr>
      <w:r>
        <w:t xml:space="preserve">La Comisión podrá autorizar, por conducto de su Junta </w:t>
      </w:r>
      <w:r>
        <w:t>de Gobierno:</w:t>
      </w:r>
    </w:p>
    <w:p w:rsidR="00A63476" w:rsidRDefault="00D22874">
      <w:pPr>
        <w:pStyle w:val="Prrafodelista"/>
        <w:numPr>
          <w:ilvl w:val="0"/>
          <w:numId w:val="32"/>
        </w:numPr>
        <w:tabs>
          <w:tab w:val="left" w:pos="1232"/>
        </w:tabs>
        <w:spacing w:before="93" w:line="242" w:lineRule="auto"/>
        <w:ind w:right="655" w:hanging="440"/>
        <w:jc w:val="both"/>
        <w:rPr>
          <w:sz w:val="18"/>
        </w:rPr>
      </w:pPr>
      <w:r>
        <w:rPr>
          <w:sz w:val="18"/>
        </w:rPr>
        <w:t xml:space="preserve">Proyectos Institucionales que promuevan política pública para el desarrollo de acciones y proyectos que cubran las necesidades de nichos no atendidos o no suficientemente atendidos, para el acceso </w:t>
      </w:r>
      <w:r>
        <w:rPr>
          <w:spacing w:val="-16"/>
          <w:sz w:val="18"/>
        </w:rPr>
        <w:t xml:space="preserve">a </w:t>
      </w:r>
      <w:r>
        <w:rPr>
          <w:sz w:val="18"/>
        </w:rPr>
        <w:t xml:space="preserve">intervenciones relacionadas con la vivienda </w:t>
      </w:r>
      <w:r>
        <w:rPr>
          <w:sz w:val="18"/>
        </w:rPr>
        <w:t>y su entorno.</w:t>
      </w:r>
    </w:p>
    <w:p w:rsidR="00A63476" w:rsidRDefault="00D22874">
      <w:pPr>
        <w:pStyle w:val="Prrafodelista"/>
        <w:numPr>
          <w:ilvl w:val="0"/>
          <w:numId w:val="32"/>
        </w:numPr>
        <w:tabs>
          <w:tab w:val="left" w:pos="1232"/>
        </w:tabs>
        <w:spacing w:before="92" w:line="242" w:lineRule="auto"/>
        <w:ind w:right="655" w:hanging="440"/>
        <w:jc w:val="both"/>
        <w:rPr>
          <w:sz w:val="18"/>
        </w:rPr>
      </w:pPr>
      <w:r>
        <w:rPr>
          <w:sz w:val="18"/>
        </w:rPr>
        <w:t>Proyectos Institucionales para promover y ejecutar programas de interés del gobierno federal con la participación de los sectores públicos y privado, encaminados a brindar atención a aspectos relacionados con la vivienda y su entorno.</w:t>
      </w:r>
    </w:p>
    <w:p w:rsidR="00A63476" w:rsidRDefault="00D22874">
      <w:pPr>
        <w:pStyle w:val="Prrafodelista"/>
        <w:numPr>
          <w:ilvl w:val="0"/>
          <w:numId w:val="32"/>
        </w:numPr>
        <w:tabs>
          <w:tab w:val="left" w:pos="1232"/>
        </w:tabs>
        <w:spacing w:before="93" w:line="242" w:lineRule="auto"/>
        <w:ind w:right="655" w:hanging="440"/>
        <w:jc w:val="both"/>
        <w:rPr>
          <w:sz w:val="18"/>
        </w:rPr>
      </w:pPr>
      <w:r>
        <w:rPr>
          <w:sz w:val="18"/>
        </w:rPr>
        <w:t>Proyectos Extraordina</w:t>
      </w:r>
      <w:r>
        <w:rPr>
          <w:sz w:val="18"/>
        </w:rPr>
        <w:t xml:space="preserve">rios que atiendan una problemática específica, que por su relevancia requieran un tratamiento especial, con la condicionante que la misma se encuentre en el ámbito </w:t>
      </w:r>
      <w:r>
        <w:rPr>
          <w:spacing w:val="-6"/>
          <w:sz w:val="18"/>
        </w:rPr>
        <w:t xml:space="preserve">de </w:t>
      </w:r>
      <w:r>
        <w:rPr>
          <w:sz w:val="18"/>
        </w:rPr>
        <w:t>competencia de la Comisión conforme a las disposiciones que le sean aplicables.</w:t>
      </w:r>
    </w:p>
    <w:p w:rsidR="00A63476" w:rsidRDefault="00D22874">
      <w:pPr>
        <w:pStyle w:val="Prrafodelista"/>
        <w:numPr>
          <w:ilvl w:val="0"/>
          <w:numId w:val="32"/>
        </w:numPr>
        <w:tabs>
          <w:tab w:val="left" w:pos="1232"/>
        </w:tabs>
        <w:spacing w:before="93" w:line="254" w:lineRule="auto"/>
        <w:ind w:right="663" w:hanging="440"/>
        <w:jc w:val="both"/>
        <w:rPr>
          <w:sz w:val="18"/>
        </w:rPr>
      </w:pPr>
      <w:r>
        <w:rPr>
          <w:sz w:val="18"/>
        </w:rPr>
        <w:t>Cualquier</w:t>
      </w:r>
      <w:r>
        <w:rPr>
          <w:sz w:val="18"/>
        </w:rPr>
        <w:t xml:space="preserve"> otro proyecto que sea de acuerdo a su objeto y para el desarrollo del sector relacionado con la vivienda.</w:t>
      </w:r>
    </w:p>
    <w:p w:rsidR="00A63476" w:rsidRDefault="00D22874">
      <w:pPr>
        <w:pStyle w:val="Textoindependiente"/>
        <w:spacing w:before="61" w:line="254" w:lineRule="auto"/>
      </w:pPr>
      <w:r>
        <w:t>Los Proyectos Institucionales y Extraordinarios deberán atender necesidades que, por su propia naturaleza, contingente o excepcional, no se encuentre</w:t>
      </w:r>
      <w:r>
        <w:t>n consideradas en las presentes Reglas y que promuevan el acceso a intervenciones relacionadas con la vivienda y su entorno.</w:t>
      </w:r>
    </w:p>
    <w:p w:rsidR="00A63476" w:rsidRDefault="00D22874">
      <w:pPr>
        <w:pStyle w:val="Textoindependiente"/>
        <w:spacing w:before="62" w:line="254" w:lineRule="auto"/>
      </w:pPr>
      <w:r>
        <w:t>Los Proyectos Institucionales y Extraordinarios serán presentados a la Junta de Gobierno con la recomendación, análisis técnico y n</w:t>
      </w:r>
      <w:r>
        <w:t>ormativo, del Grupo de Trabajo que para el efecto establezca La Comisión, con la participación de la SEDATU.</w:t>
      </w:r>
    </w:p>
    <w:p w:rsidR="00A63476" w:rsidRDefault="00D22874">
      <w:pPr>
        <w:pStyle w:val="Textoindependiente"/>
        <w:spacing w:before="62" w:line="254" w:lineRule="auto"/>
      </w:pPr>
      <w:r>
        <w:t>Este tipo de proyectos se regirán por los lineamientos y características básicas de operación que al efecto apruebe la Junta de Gobierno y en lo no</w:t>
      </w:r>
      <w:r>
        <w:t xml:space="preserve"> previsto, se regirán por lo señalado en estas Reglas. Los mencionados Proyectos podrán sumar en su conjunto hasta 20% del presupuesto total del Programa.</w:t>
      </w:r>
    </w:p>
    <w:p w:rsidR="00A63476" w:rsidRDefault="00D22874">
      <w:pPr>
        <w:pStyle w:val="Textoindependiente"/>
        <w:spacing w:before="82" w:line="242" w:lineRule="auto"/>
      </w:pPr>
      <w:r>
        <w:t>Los Proyectos Institucionales y Extraordinarios que sean autorizados por la Junta de Gobierno de La C</w:t>
      </w:r>
      <w:r>
        <w:t>omisión deberán sujetarse a los criterios de objetividad, equidad, transparencia, publicidad, selectividad y temporalidad, para estos efectos, La Comisión deberá:</w:t>
      </w:r>
    </w:p>
    <w:p w:rsidR="00A63476" w:rsidRDefault="00D22874">
      <w:pPr>
        <w:pStyle w:val="Prrafodelista"/>
        <w:numPr>
          <w:ilvl w:val="0"/>
          <w:numId w:val="31"/>
        </w:numPr>
        <w:tabs>
          <w:tab w:val="left" w:pos="1232"/>
        </w:tabs>
        <w:spacing w:before="98" w:line="232" w:lineRule="auto"/>
        <w:ind w:right="663" w:hanging="440"/>
        <w:jc w:val="both"/>
        <w:rPr>
          <w:sz w:val="18"/>
        </w:rPr>
      </w:pPr>
      <w:r>
        <w:rPr>
          <w:sz w:val="18"/>
        </w:rPr>
        <w:t>Identificar con precisión a la población objetivo por grupo específico, como por región del p</w:t>
      </w:r>
      <w:r>
        <w:rPr>
          <w:sz w:val="18"/>
        </w:rPr>
        <w:t>aís, entidad federativa y/o</w:t>
      </w:r>
      <w:r>
        <w:rPr>
          <w:spacing w:val="-1"/>
          <w:sz w:val="18"/>
        </w:rPr>
        <w:t xml:space="preserve"> </w:t>
      </w:r>
      <w:r>
        <w:rPr>
          <w:sz w:val="18"/>
        </w:rPr>
        <w:t>municipio;</w:t>
      </w:r>
    </w:p>
    <w:p w:rsidR="00A63476" w:rsidRDefault="00D22874">
      <w:pPr>
        <w:pStyle w:val="Prrafodelista"/>
        <w:numPr>
          <w:ilvl w:val="0"/>
          <w:numId w:val="31"/>
        </w:numPr>
        <w:tabs>
          <w:tab w:val="left" w:pos="1232"/>
        </w:tabs>
        <w:spacing w:before="93" w:line="249" w:lineRule="auto"/>
        <w:ind w:right="655" w:hanging="440"/>
        <w:jc w:val="both"/>
        <w:rPr>
          <w:sz w:val="18"/>
        </w:rPr>
      </w:pPr>
      <w:r>
        <w:rPr>
          <w:sz w:val="18"/>
        </w:rPr>
        <w:t>En su caso, prever montos máximos por beneficiario y modalidad, así como por porcentaje del costo total del programa. En los programas de beneficio directo a individuos o grupos sociales, los montos y porcentajes pref</w:t>
      </w:r>
      <w:r>
        <w:rPr>
          <w:sz w:val="18"/>
        </w:rPr>
        <w:t>erentemente se establecerán con base en criterios redistributivos que deberán privilegiar a la población de menos ingresos y procurar la equidad entre regiones y entidades federativas, sin demérito de la eficiencia en el logro de los</w:t>
      </w:r>
      <w:r>
        <w:rPr>
          <w:spacing w:val="-1"/>
          <w:sz w:val="18"/>
        </w:rPr>
        <w:t xml:space="preserve"> </w:t>
      </w:r>
      <w:r>
        <w:rPr>
          <w:sz w:val="18"/>
        </w:rPr>
        <w:t>objetivos;</w:t>
      </w:r>
    </w:p>
    <w:p w:rsidR="00A63476" w:rsidRDefault="00D22874">
      <w:pPr>
        <w:pStyle w:val="Prrafodelista"/>
        <w:numPr>
          <w:ilvl w:val="0"/>
          <w:numId w:val="31"/>
        </w:numPr>
        <w:tabs>
          <w:tab w:val="left" w:pos="1232"/>
        </w:tabs>
        <w:spacing w:before="89" w:line="232" w:lineRule="auto"/>
        <w:ind w:right="663" w:hanging="440"/>
        <w:jc w:val="both"/>
        <w:rPr>
          <w:sz w:val="18"/>
        </w:rPr>
      </w:pPr>
      <w:r>
        <w:rPr>
          <w:sz w:val="18"/>
        </w:rPr>
        <w:t xml:space="preserve">Procurar que el mecanismo de distribución, operación y administración otorgue acceso equitativo </w:t>
      </w:r>
      <w:r>
        <w:rPr>
          <w:spacing w:val="-13"/>
          <w:sz w:val="18"/>
        </w:rPr>
        <w:t xml:space="preserve">a </w:t>
      </w:r>
      <w:r>
        <w:rPr>
          <w:sz w:val="18"/>
        </w:rPr>
        <w:t>todos los grupos sociales y géneros, a todo beneficiario del Proyecto Institucional o</w:t>
      </w:r>
      <w:r>
        <w:rPr>
          <w:spacing w:val="-4"/>
          <w:sz w:val="18"/>
        </w:rPr>
        <w:t xml:space="preserve"> </w:t>
      </w:r>
      <w:r>
        <w:rPr>
          <w:sz w:val="18"/>
        </w:rPr>
        <w:t>Extraordinario;</w:t>
      </w:r>
    </w:p>
    <w:p w:rsidR="00A63476" w:rsidRDefault="00D22874">
      <w:pPr>
        <w:pStyle w:val="Prrafodelista"/>
        <w:numPr>
          <w:ilvl w:val="0"/>
          <w:numId w:val="31"/>
        </w:numPr>
        <w:tabs>
          <w:tab w:val="left" w:pos="1232"/>
        </w:tabs>
        <w:spacing w:before="93" w:line="247" w:lineRule="auto"/>
        <w:ind w:right="655" w:hanging="440"/>
        <w:jc w:val="both"/>
        <w:rPr>
          <w:sz w:val="18"/>
        </w:rPr>
      </w:pPr>
      <w:r>
        <w:rPr>
          <w:sz w:val="18"/>
        </w:rPr>
        <w:t xml:space="preserve">Procurar que los recursos se canalicen exclusivamente a </w:t>
      </w:r>
      <w:r>
        <w:rPr>
          <w:sz w:val="18"/>
        </w:rPr>
        <w:t>la población objetivo y cuidar que el mecanismo de distribución, operación y administración facilite la obtención de información y la evaluación de los beneficios económicos y sociales de su asignación y aplicación; así como evitar que se destinen recursos</w:t>
      </w:r>
      <w:r>
        <w:rPr>
          <w:sz w:val="18"/>
        </w:rPr>
        <w:t xml:space="preserve"> a una administración costosa y</w:t>
      </w:r>
      <w:r>
        <w:rPr>
          <w:spacing w:val="-1"/>
          <w:sz w:val="18"/>
        </w:rPr>
        <w:t xml:space="preserve"> </w:t>
      </w:r>
      <w:r>
        <w:rPr>
          <w:sz w:val="18"/>
        </w:rPr>
        <w:t>excesiva;</w:t>
      </w:r>
    </w:p>
    <w:p w:rsidR="00A63476" w:rsidRDefault="00D22874">
      <w:pPr>
        <w:pStyle w:val="Prrafodelista"/>
        <w:numPr>
          <w:ilvl w:val="0"/>
          <w:numId w:val="31"/>
        </w:numPr>
        <w:tabs>
          <w:tab w:val="left" w:pos="1231"/>
          <w:tab w:val="left" w:pos="1232"/>
        </w:tabs>
        <w:spacing w:before="127" w:line="254" w:lineRule="auto"/>
        <w:ind w:right="663" w:hanging="440"/>
        <w:rPr>
          <w:sz w:val="18"/>
        </w:rPr>
      </w:pPr>
      <w:r>
        <w:rPr>
          <w:sz w:val="18"/>
        </w:rPr>
        <w:t xml:space="preserve">Incorporar mecanismos periódicos de seguimiento, supervisión y evaluación que permitan ajustar </w:t>
      </w:r>
      <w:r>
        <w:rPr>
          <w:spacing w:val="-5"/>
          <w:sz w:val="18"/>
        </w:rPr>
        <w:t xml:space="preserve">las </w:t>
      </w:r>
      <w:r>
        <w:rPr>
          <w:sz w:val="18"/>
        </w:rPr>
        <w:t>modalidades de su operación o decidir sobre su cancelación;</w:t>
      </w:r>
    </w:p>
    <w:p w:rsidR="00A63476" w:rsidRDefault="00D22874">
      <w:pPr>
        <w:pStyle w:val="Prrafodelista"/>
        <w:numPr>
          <w:ilvl w:val="0"/>
          <w:numId w:val="31"/>
        </w:numPr>
        <w:tabs>
          <w:tab w:val="left" w:pos="1231"/>
          <w:tab w:val="left" w:pos="1232"/>
        </w:tabs>
        <w:spacing w:before="102" w:line="278" w:lineRule="auto"/>
        <w:ind w:right="663" w:hanging="440"/>
        <w:rPr>
          <w:sz w:val="18"/>
        </w:rPr>
      </w:pPr>
      <w:r>
        <w:rPr>
          <w:sz w:val="18"/>
        </w:rPr>
        <w:t>En su caso, buscar fuentes alternativas de ingresos par</w:t>
      </w:r>
      <w:r>
        <w:rPr>
          <w:sz w:val="18"/>
        </w:rPr>
        <w:t>a lograr una mayor autosuficiencia y una disminución o cancelación de los apoyos con cargo a recursos</w:t>
      </w:r>
      <w:r>
        <w:rPr>
          <w:spacing w:val="-1"/>
          <w:sz w:val="18"/>
        </w:rPr>
        <w:t xml:space="preserve"> </w:t>
      </w:r>
      <w:r>
        <w:rPr>
          <w:sz w:val="18"/>
        </w:rPr>
        <w:t>presupuestarios;</w:t>
      </w:r>
    </w:p>
    <w:p w:rsidR="00A63476" w:rsidRDefault="00D22874">
      <w:pPr>
        <w:pStyle w:val="Prrafodelista"/>
        <w:numPr>
          <w:ilvl w:val="0"/>
          <w:numId w:val="31"/>
        </w:numPr>
        <w:tabs>
          <w:tab w:val="left" w:pos="1232"/>
        </w:tabs>
        <w:spacing w:before="79" w:line="254" w:lineRule="auto"/>
        <w:ind w:right="663" w:hanging="440"/>
        <w:rPr>
          <w:sz w:val="18"/>
        </w:rPr>
      </w:pPr>
      <w:r>
        <w:rPr>
          <w:sz w:val="18"/>
        </w:rPr>
        <w:t>Asegurar la coordinación de acciones entre dependencias y entidades, para evitar duplicidad en el ejercicio de los recursos y reducir gas</w:t>
      </w:r>
      <w:r>
        <w:rPr>
          <w:sz w:val="18"/>
        </w:rPr>
        <w:t>tos</w:t>
      </w:r>
      <w:r>
        <w:rPr>
          <w:spacing w:val="-1"/>
          <w:sz w:val="18"/>
        </w:rPr>
        <w:t xml:space="preserve"> </w:t>
      </w:r>
      <w:r>
        <w:rPr>
          <w:sz w:val="18"/>
        </w:rPr>
        <w:t>administrativos;</w:t>
      </w:r>
    </w:p>
    <w:p w:rsidR="00A63476" w:rsidRDefault="00D22874">
      <w:pPr>
        <w:pStyle w:val="Prrafodelista"/>
        <w:numPr>
          <w:ilvl w:val="0"/>
          <w:numId w:val="31"/>
        </w:numPr>
        <w:tabs>
          <w:tab w:val="left" w:pos="1232"/>
        </w:tabs>
        <w:spacing w:before="122"/>
        <w:ind w:left="1231"/>
        <w:jc w:val="both"/>
        <w:rPr>
          <w:sz w:val="18"/>
        </w:rPr>
      </w:pPr>
      <w:r>
        <w:rPr>
          <w:sz w:val="18"/>
        </w:rPr>
        <w:t>Prever la temporalidad en su otorgamiento,</w:t>
      </w:r>
      <w:r>
        <w:rPr>
          <w:spacing w:val="-1"/>
          <w:sz w:val="18"/>
        </w:rPr>
        <w:t xml:space="preserve"> </w:t>
      </w:r>
      <w:r>
        <w:rPr>
          <w:sz w:val="18"/>
        </w:rPr>
        <w:t>y</w:t>
      </w:r>
    </w:p>
    <w:p w:rsidR="00A63476" w:rsidRDefault="00D22874">
      <w:pPr>
        <w:pStyle w:val="Prrafodelista"/>
        <w:numPr>
          <w:ilvl w:val="0"/>
          <w:numId w:val="31"/>
        </w:numPr>
        <w:tabs>
          <w:tab w:val="left" w:pos="1231"/>
          <w:tab w:val="left" w:pos="1232"/>
        </w:tabs>
        <w:spacing w:before="113" w:line="254" w:lineRule="auto"/>
        <w:ind w:right="663" w:hanging="440"/>
        <w:rPr>
          <w:sz w:val="18"/>
        </w:rPr>
      </w:pPr>
      <w:r>
        <w:rPr>
          <w:sz w:val="18"/>
        </w:rPr>
        <w:t xml:space="preserve">Procurar que sea el medio más eficaz y eficiente para alcanzar los objetivos y metas que </w:t>
      </w:r>
      <w:r>
        <w:rPr>
          <w:spacing w:val="-6"/>
          <w:sz w:val="18"/>
        </w:rPr>
        <w:t xml:space="preserve">se </w:t>
      </w:r>
      <w:r>
        <w:rPr>
          <w:sz w:val="18"/>
        </w:rPr>
        <w:t>pretenden</w:t>
      </w:r>
    </w:p>
    <w:p w:rsidR="00A63476" w:rsidRDefault="00D22874">
      <w:pPr>
        <w:pStyle w:val="Prrafodelista"/>
        <w:numPr>
          <w:ilvl w:val="0"/>
          <w:numId w:val="34"/>
        </w:numPr>
        <w:tabs>
          <w:tab w:val="left" w:pos="1232"/>
          <w:tab w:val="left" w:pos="9360"/>
        </w:tabs>
        <w:spacing w:before="121"/>
        <w:jc w:val="both"/>
        <w:rPr>
          <w:b/>
          <w:sz w:val="18"/>
        </w:rPr>
      </w:pPr>
      <w:r>
        <w:rPr>
          <w:b/>
          <w:sz w:val="18"/>
          <w:u w:val="single"/>
        </w:rPr>
        <w:t>Registro de</w:t>
      </w:r>
      <w:r>
        <w:rPr>
          <w:b/>
          <w:spacing w:val="-1"/>
          <w:sz w:val="18"/>
          <w:u w:val="single"/>
        </w:rPr>
        <w:t xml:space="preserve"> </w:t>
      </w:r>
      <w:r>
        <w:rPr>
          <w:b/>
          <w:sz w:val="18"/>
          <w:u w:val="single"/>
        </w:rPr>
        <w:t>Operaciones</w:t>
      </w:r>
      <w:r>
        <w:rPr>
          <w:b/>
          <w:sz w:val="18"/>
          <w:u w:val="single"/>
        </w:rPr>
        <w:tab/>
      </w:r>
    </w:p>
    <w:p w:rsidR="00A63476" w:rsidRDefault="00A63476">
      <w:pPr>
        <w:jc w:val="both"/>
        <w:rPr>
          <w:sz w:val="18"/>
        </w:rPr>
        <w:sectPr w:rsidR="00A63476">
          <w:pgSz w:w="12240" w:h="15840"/>
          <w:pgMar w:top="920" w:right="1040" w:bottom="280" w:left="1180" w:header="700" w:footer="0" w:gutter="0"/>
          <w:cols w:space="720"/>
        </w:sectPr>
      </w:pPr>
    </w:p>
    <w:p w:rsidR="00A63476" w:rsidRDefault="00A63476">
      <w:pPr>
        <w:pStyle w:val="Textoindependiente"/>
        <w:spacing w:before="5"/>
        <w:ind w:left="0" w:right="0" w:firstLine="0"/>
        <w:jc w:val="left"/>
        <w:rPr>
          <w:b/>
          <w:sz w:val="12"/>
        </w:rPr>
      </w:pPr>
    </w:p>
    <w:p w:rsidR="00A63476" w:rsidRDefault="00D22874">
      <w:pPr>
        <w:pStyle w:val="Prrafodelista"/>
        <w:numPr>
          <w:ilvl w:val="1"/>
          <w:numId w:val="34"/>
        </w:numPr>
        <w:tabs>
          <w:tab w:val="left" w:pos="1094"/>
        </w:tabs>
        <w:spacing w:before="95"/>
        <w:ind w:left="1093" w:hanging="294"/>
        <w:jc w:val="both"/>
        <w:rPr>
          <w:b/>
          <w:sz w:val="18"/>
        </w:rPr>
      </w:pPr>
      <w:r>
        <w:rPr>
          <w:b/>
          <w:sz w:val="18"/>
        </w:rPr>
        <w:t>Avances</w:t>
      </w:r>
      <w:r>
        <w:rPr>
          <w:b/>
          <w:spacing w:val="-1"/>
          <w:sz w:val="18"/>
        </w:rPr>
        <w:t xml:space="preserve"> </w:t>
      </w:r>
      <w:r>
        <w:rPr>
          <w:b/>
          <w:sz w:val="18"/>
        </w:rPr>
        <w:t>financieros</w:t>
      </w:r>
    </w:p>
    <w:p w:rsidR="00A63476" w:rsidRDefault="00D22874">
      <w:pPr>
        <w:pStyle w:val="Textoindependiente"/>
        <w:spacing w:before="113" w:line="264" w:lineRule="auto"/>
      </w:pPr>
      <w:r>
        <w:t xml:space="preserve">Las instancias financieras y entidades ejecutoras durante los primeros cinco días hábiles del mes inmediato al trimestre a reportar, deberán enviar a la </w:t>
      </w:r>
      <w:r>
        <w:rPr>
          <w:spacing w:val="-3"/>
        </w:rPr>
        <w:t xml:space="preserve">CONAVI, </w:t>
      </w:r>
      <w:r>
        <w:t xml:space="preserve">los avances físico-financieros de los </w:t>
      </w:r>
      <w:r>
        <w:rPr>
          <w:spacing w:val="-3"/>
        </w:rPr>
        <w:t xml:space="preserve">proyectos </w:t>
      </w:r>
      <w:r>
        <w:t>autorizados trimestralmente, de acuerdo con los</w:t>
      </w:r>
      <w:r>
        <w:t xml:space="preserve"> formatos y procedimientos establecidos en el Manual </w:t>
      </w:r>
      <w:r>
        <w:rPr>
          <w:spacing w:val="-7"/>
        </w:rPr>
        <w:t xml:space="preserve">de </w:t>
      </w:r>
      <w:r>
        <w:t>Procedimiento del Programa.</w:t>
      </w:r>
    </w:p>
    <w:p w:rsidR="00A63476" w:rsidRDefault="00D22874">
      <w:pPr>
        <w:pStyle w:val="Ttulo1"/>
        <w:numPr>
          <w:ilvl w:val="1"/>
          <w:numId w:val="34"/>
        </w:numPr>
        <w:tabs>
          <w:tab w:val="left" w:pos="1101"/>
        </w:tabs>
        <w:spacing w:before="89"/>
        <w:jc w:val="both"/>
      </w:pPr>
      <w:r>
        <w:t>Cierres de ejercicio y recursos no</w:t>
      </w:r>
      <w:r>
        <w:rPr>
          <w:spacing w:val="-2"/>
        </w:rPr>
        <w:t xml:space="preserve"> </w:t>
      </w:r>
      <w:r>
        <w:t>devengados</w:t>
      </w:r>
    </w:p>
    <w:p w:rsidR="00A63476" w:rsidRDefault="00D22874">
      <w:pPr>
        <w:pStyle w:val="Textoindependiente"/>
        <w:spacing w:before="133" w:line="254" w:lineRule="auto"/>
      </w:pPr>
      <w:r>
        <w:t xml:space="preserve">La Comisión reintegrará a la </w:t>
      </w:r>
      <w:r>
        <w:rPr>
          <w:spacing w:val="-3"/>
        </w:rPr>
        <w:t xml:space="preserve">Tesorería </w:t>
      </w:r>
      <w:r>
        <w:t>de la Federación, los recursos no devengados al 31 de diciembre del ejercicio fiscal co</w:t>
      </w:r>
      <w:r>
        <w:t>rrespondiente, dentro del plazo establecido en el Presupuesto de Egresos de la Federación y en la Ley Federal de Presupuesto y Responsabilidad</w:t>
      </w:r>
      <w:r>
        <w:rPr>
          <w:spacing w:val="-1"/>
        </w:rPr>
        <w:t xml:space="preserve"> </w:t>
      </w:r>
      <w:r>
        <w:t>Hacendaria.</w:t>
      </w:r>
    </w:p>
    <w:p w:rsidR="00A63476" w:rsidRDefault="00D22874">
      <w:pPr>
        <w:pStyle w:val="Textoindependiente"/>
        <w:spacing w:before="122" w:line="254" w:lineRule="auto"/>
        <w:ind w:right="662"/>
      </w:pPr>
      <w:r>
        <w:t xml:space="preserve">La Comisión integrará el cierre del ejercicio anual, elaborando comparaciones anuales entre cierre y </w:t>
      </w:r>
      <w:r>
        <w:t>metas programadas.</w:t>
      </w:r>
    </w:p>
    <w:p w:rsidR="00A63476" w:rsidRDefault="00FF0FB3">
      <w:pPr>
        <w:pStyle w:val="Ttulo1"/>
        <w:numPr>
          <w:ilvl w:val="0"/>
          <w:numId w:val="34"/>
        </w:numPr>
        <w:tabs>
          <w:tab w:val="left" w:pos="1232"/>
        </w:tabs>
        <w:spacing w:before="101"/>
        <w:jc w:val="both"/>
      </w:pPr>
      <w:r>
        <w:rPr>
          <w:noProof/>
        </w:rPr>
        <mc:AlternateContent>
          <mc:Choice Requires="wps">
            <w:drawing>
              <wp:anchor distT="0" distB="0" distL="0" distR="0" simplePos="0" relativeHeight="487596544" behindDoc="1" locked="0" layoutInCell="1" allowOverlap="1">
                <wp:simplePos x="0" y="0"/>
                <wp:positionH relativeFrom="page">
                  <wp:posOffset>1261745</wp:posOffset>
                </wp:positionH>
                <wp:positionV relativeFrom="paragraph">
                  <wp:posOffset>213995</wp:posOffset>
                </wp:positionV>
                <wp:extent cx="5431790" cy="1270"/>
                <wp:effectExtent l="0" t="0" r="0" b="0"/>
                <wp:wrapTopAndBottom/>
                <wp:docPr id="75" name="Freeform 52"/>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5431790" cy="1270"/>
                        </a:xfrm>
                        <a:custGeom>
                          <a:avLst/>
                          <a:gdLst>
                            <a:gd name="T0" fmla="+- 0 1987 1987"/>
                            <a:gd name="T1" fmla="*/ T0 w 8554"/>
                            <a:gd name="T2" fmla="+- 0 10541 1987"/>
                            <a:gd name="T3" fmla="*/ T2 w 8554"/>
                          </a:gdLst>
                          <a:ahLst/>
                          <a:cxnLst>
                            <a:cxn ang="0">
                              <a:pos x="T1" y="0"/>
                            </a:cxn>
                            <a:cxn ang="0">
                              <a:pos x="T3" y="0"/>
                            </a:cxn>
                          </a:cxnLst>
                          <a:rect l="0" t="0" r="r" b="b"/>
                          <a:pathLst>
                            <a:path w="8554">
                              <a:moveTo>
                                <a:pt x="0" y="0"/>
                              </a:moveTo>
                              <a:lnTo>
                                <a:pt x="8554" y="0"/>
                              </a:lnTo>
                            </a:path>
                          </a:pathLst>
                        </a:custGeom>
                        <a:noFill/>
                        <a:ln w="6350">
                          <a:solidFill>
                            <a:srgbClr val="000000"/>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5F290CE8" id="Freeform 52" o:spid="_x0000_s1026" style="position:absolute;margin-left:99.35pt;margin-top:16.85pt;width:427.7pt;height:.1pt;z-index:-15719936;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coordsize="8554,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" path="m,l8554,e" filled="f" strokeweight=".5pt">
                <v:path arrowok="t" o:connecttype="custom" o:connectlocs="0,0;5431790,0" o:connectangles="0,0"/>
                <w10:wrap type="topAndBottom" anchorx="page"/>
              </v:shape>
            </w:pict>
          </mc:Fallback>
        </mc:AlternateContent>
      </w:r>
      <w:r w:rsidR="00D22874">
        <w:t>Evaluación del</w:t>
      </w:r>
      <w:r w:rsidR="00D22874">
        <w:rPr>
          <w:spacing w:val="-2"/>
        </w:rPr>
        <w:t xml:space="preserve"> </w:t>
      </w:r>
      <w:r w:rsidR="00D22874">
        <w:t>programa</w:t>
      </w:r>
    </w:p>
    <w:p w:rsidR="00A63476" w:rsidRDefault="00D22874">
      <w:pPr>
        <w:pStyle w:val="Textoindependiente"/>
        <w:spacing w:before="90" w:line="266" w:lineRule="auto"/>
      </w:pPr>
      <w:r>
        <w:t>Con el objeto de enfocar la gestión del Programa al logro de resultados para mejorar las condiciones de vida de la población beneficiada, así como fortalecer la rendición de cuentas y la transparencia en el ejerc</w:t>
      </w:r>
      <w:r>
        <w:t>icio de los recursos, se evaluarán los resultados del Programa.</w:t>
      </w:r>
    </w:p>
    <w:p w:rsidR="00A63476" w:rsidRDefault="00D22874">
      <w:pPr>
        <w:pStyle w:val="Textoindependiente"/>
        <w:spacing w:before="91" w:line="254" w:lineRule="auto"/>
        <w:ind w:right="663"/>
      </w:pPr>
      <w:r>
        <w:t>La evaluación se complementará con un seguimiento periódico de los recursos ejercidos, acciones ejecutadas y metas alcanzadas.</w:t>
      </w:r>
    </w:p>
    <w:p w:rsidR="00A63476" w:rsidRDefault="00D22874">
      <w:pPr>
        <w:pStyle w:val="Ttulo1"/>
        <w:numPr>
          <w:ilvl w:val="1"/>
          <w:numId w:val="34"/>
        </w:numPr>
        <w:tabs>
          <w:tab w:val="left" w:pos="1101"/>
        </w:tabs>
        <w:spacing w:before="121"/>
        <w:jc w:val="both"/>
      </w:pPr>
      <w:r>
        <w:t>Evaluación</w:t>
      </w:r>
      <w:r>
        <w:rPr>
          <w:spacing w:val="-1"/>
        </w:rPr>
        <w:t xml:space="preserve"> </w:t>
      </w:r>
      <w:r>
        <w:t>interna</w:t>
      </w:r>
    </w:p>
    <w:p w:rsidR="00A63476" w:rsidRDefault="00D22874">
      <w:pPr>
        <w:pStyle w:val="Textoindependiente"/>
        <w:spacing w:before="113" w:line="259" w:lineRule="auto"/>
      </w:pPr>
      <w:r>
        <w:t>La Comisión dispondrá de los mecanismos de seg</w:t>
      </w:r>
      <w:r>
        <w:t>uimiento y medición de resultados que proporcionen elementos importantes para su evaluación, a fin de analizar la ejecución del Programa y sus ministraciones, identificando el cumplimiento de los objetivos y metas programados, y el ejercicio de los ingreso</w:t>
      </w:r>
      <w:r>
        <w:t>s y gastos presupuestados; así como para detectar variaciones y desviaciones programáticas y presupuestales y adoptar medidas correctivas que reorienten las acciones y el impacto de la entidad, para fortalecer la toma de decisiones y mejorar sus expectativ</w:t>
      </w:r>
      <w:r>
        <w:t>as.</w:t>
      </w:r>
    </w:p>
    <w:p w:rsidR="00A63476" w:rsidRDefault="00D22874">
      <w:pPr>
        <w:pStyle w:val="Textoindependiente"/>
        <w:spacing w:before="119" w:line="254" w:lineRule="auto"/>
      </w:pPr>
      <w:r>
        <w:t>Para ello se utilizarán herramientas metodológicas en la etapa de evaluación, que permitan una identificación adecuada de resultados, con base en indicadores tales como cobertura de accesibilidad a una intervención habitacional, congruencia programática, f</w:t>
      </w:r>
      <w:r>
        <w:t>ocalización y equidad de género.</w:t>
      </w:r>
    </w:p>
    <w:p w:rsidR="00A63476" w:rsidRDefault="00D22874">
      <w:pPr>
        <w:pStyle w:val="Textoindependiente"/>
        <w:spacing w:before="121" w:line="261" w:lineRule="auto"/>
      </w:pPr>
      <w:r>
        <w:t>Con el propósito de fortalecer y contribuir al diseño e implementación de las estrategias y políticas de la planeación sectorial, la Comisión deberá remitir a la UPPEI, la documentación referente a la metodología empleada p</w:t>
      </w:r>
      <w:r>
        <w:t>ara la determinación, verificación y evaluación de los criterios de elegibilidad, los instrumentos de recolección de información, y los espacios territoriales donde intervendrá (agregación máxima a nivel municipio).</w:t>
      </w:r>
    </w:p>
    <w:p w:rsidR="00A63476" w:rsidRDefault="00D22874">
      <w:pPr>
        <w:pStyle w:val="Textoindependiente"/>
        <w:spacing w:before="92" w:line="266" w:lineRule="auto"/>
      </w:pPr>
      <w:r>
        <w:t>La Comisión deberá remitir a la UPPEI, a</w:t>
      </w:r>
      <w:r>
        <w:t xml:space="preserve"> más tardar 30 días antes de la conclusión del año fiscal la documentación referida en el párrafo anterior, misma que se empleará para diseñar las estrategias de políticas para la planeación sectorial y evaluación de resultados para el siguiente ejercicio </w:t>
      </w:r>
      <w:r>
        <w:t>fiscal.</w:t>
      </w:r>
    </w:p>
    <w:p w:rsidR="00A63476" w:rsidRDefault="00D22874">
      <w:pPr>
        <w:pStyle w:val="Ttulo1"/>
        <w:numPr>
          <w:ilvl w:val="1"/>
          <w:numId w:val="34"/>
        </w:numPr>
        <w:tabs>
          <w:tab w:val="left" w:pos="1101"/>
        </w:tabs>
        <w:spacing w:before="91"/>
        <w:jc w:val="both"/>
      </w:pPr>
      <w:r>
        <w:t>Evaluación</w:t>
      </w:r>
      <w:r>
        <w:rPr>
          <w:spacing w:val="-1"/>
        </w:rPr>
        <w:t xml:space="preserve"> </w:t>
      </w:r>
      <w:r>
        <w:t>externa</w:t>
      </w:r>
    </w:p>
    <w:p w:rsidR="00A63476" w:rsidRDefault="00D22874">
      <w:pPr>
        <w:pStyle w:val="Textoindependiente"/>
        <w:spacing w:before="133" w:line="264" w:lineRule="auto"/>
      </w:pPr>
      <w:r>
        <w:t>Con base en lo establecido en el artículo 78 de la Ley Federal de Presupuesto y Responsabilidad Hacendaria, y con el objetivo de orientar la gestión del Programa al logro de resultados para mejorar las condiciones de vida de la p</w:t>
      </w:r>
      <w:r>
        <w:t>oblación beneficiaria, así como fortalecer la rendición de cuentas y la transparencia en el ejercicio de los recursos, se realizarán evaluaciones externas al Programa.</w:t>
      </w:r>
    </w:p>
    <w:p w:rsidR="00A63476" w:rsidRDefault="00D22874">
      <w:pPr>
        <w:pStyle w:val="Textoindependiente"/>
        <w:spacing w:before="69" w:line="252" w:lineRule="auto"/>
        <w:ind w:right="654"/>
      </w:pPr>
      <w:r>
        <w:t>El Área de Evaluación (AE) es la Coordinación General de Análisis de Vivienda y Prospect</w:t>
      </w:r>
      <w:r>
        <w:t xml:space="preserve">iva de la Comisión (o su equivalente) </w:t>
      </w:r>
      <w:r>
        <w:rPr>
          <w:spacing w:val="-7"/>
        </w:rPr>
        <w:t xml:space="preserve">y, </w:t>
      </w:r>
      <w:r>
        <w:t>será responsable de supervisar la calidad y cumplimiento normativo de las evaluaciones, así como de coordinarse con el Consejo Nacional de Evaluación de la Política de Desarrollo Social (CONEVAL) y con la Secretaría</w:t>
      </w:r>
      <w:r>
        <w:t xml:space="preserve"> de Hacienda y Crédito Público (SHCP) a través de la Unidad de Evaluación del Desempeño (UED), en el ámbito de su competencia, para el buen desarrollo de todas </w:t>
      </w:r>
      <w:r>
        <w:rPr>
          <w:spacing w:val="-5"/>
        </w:rPr>
        <w:t xml:space="preserve">las </w:t>
      </w:r>
      <w:r>
        <w:t>etapas del proceso de evaluación, conforme a lo señalado en el numeral vigésimo noveno de lo</w:t>
      </w:r>
      <w:r>
        <w:t>s “Lineamientos Generales para la evaluación de los Programas Federales de la Administración Pública Federal” (Lineamientos), publicados en el Diario Oficial de la Federación el 30 de marzo de 2007, y deberán realizarse conforme a lo establecido en el Prog</w:t>
      </w:r>
      <w:r>
        <w:t xml:space="preserve">rama Anual de Evaluación para el Ejercicio Fiscal 2019 de los Programas Federales de la Administración Pública Federal y de los Fondos de Aportaciones Federales </w:t>
      </w:r>
      <w:r>
        <w:rPr>
          <w:spacing w:val="-4"/>
        </w:rPr>
        <w:t xml:space="preserve">(PAE </w:t>
      </w:r>
      <w:r>
        <w:t xml:space="preserve">2019) que emita el CONEVAL y la </w:t>
      </w:r>
      <w:r>
        <w:rPr>
          <w:spacing w:val="-5"/>
        </w:rPr>
        <w:t xml:space="preserve">SHCP. </w:t>
      </w:r>
      <w:r>
        <w:t xml:space="preserve">Los Lineamientos y el </w:t>
      </w:r>
      <w:r>
        <w:rPr>
          <w:spacing w:val="-5"/>
        </w:rPr>
        <w:t xml:space="preserve">PAE </w:t>
      </w:r>
      <w:r>
        <w:t>pueden consultarse en la p</w:t>
      </w:r>
      <w:r>
        <w:t>ágina elect</w:t>
      </w:r>
      <w:hyperlink r:id="rId38">
        <w:r>
          <w:t>rónica</w:t>
        </w:r>
        <w:r>
          <w:rPr>
            <w:spacing w:val="-1"/>
          </w:rPr>
          <w:t xml:space="preserve"> </w:t>
        </w:r>
        <w:r>
          <w:t>www.coneval.gob.mx</w:t>
        </w:r>
      </w:hyperlink>
    </w:p>
    <w:p w:rsidR="00A63476" w:rsidRDefault="00A63476">
      <w:pPr>
        <w:spacing w:line="252" w:lineRule="auto"/>
        <w:sectPr w:rsidR="00A63476">
          <w:pgSz w:w="12240" w:h="15840"/>
          <w:pgMar w:top="920" w:right="1040" w:bottom="280" w:left="1180" w:header="700" w:footer="0" w:gutter="0"/>
          <w:cols w:space="720"/>
        </w:sectPr>
      </w:pPr>
    </w:p>
    <w:p w:rsidR="00A63476" w:rsidRDefault="00A63476">
      <w:pPr>
        <w:pStyle w:val="Textoindependiente"/>
        <w:spacing w:before="8"/>
        <w:ind w:left="0" w:right="0" w:firstLine="0"/>
        <w:jc w:val="left"/>
        <w:rPr>
          <w:sz w:val="10"/>
        </w:rPr>
      </w:pPr>
    </w:p>
    <w:p w:rsidR="00A63476" w:rsidRDefault="00D22874">
      <w:pPr>
        <w:pStyle w:val="Textoindependiente"/>
        <w:spacing w:before="95" w:line="249" w:lineRule="auto"/>
      </w:pPr>
      <w:r>
        <w:t xml:space="preserve">Adicionalmente a las evaluaciones establecidas en el </w:t>
      </w:r>
      <w:r>
        <w:rPr>
          <w:spacing w:val="-5"/>
        </w:rPr>
        <w:t xml:space="preserve">PAE </w:t>
      </w:r>
      <w:r>
        <w:t xml:space="preserve">2019, se podrán desarrollar evaluaciones complementarias de acuerdo con las necesidades e intereses de los programas presupuestarios y </w:t>
      </w:r>
      <w:r>
        <w:rPr>
          <w:spacing w:val="-5"/>
        </w:rPr>
        <w:t xml:space="preserve">los  </w:t>
      </w:r>
      <w:r>
        <w:t>recursos disponibles, para mejorar su gestión y la obtención de evidencia adicional sobre su desempeño, informando d</w:t>
      </w:r>
      <w:r>
        <w:t xml:space="preserve">e su realización y resultados al CONEVAL y a la SHCP conforme a lo establecido en el </w:t>
      </w:r>
      <w:r>
        <w:rPr>
          <w:spacing w:val="-5"/>
        </w:rPr>
        <w:t xml:space="preserve">PAE </w:t>
      </w:r>
      <w:r>
        <w:t>2019. La gestión, coordinación, supervisión y entrega de informes finales se llevará a cabo a través del</w:t>
      </w:r>
      <w:r>
        <w:rPr>
          <w:spacing w:val="-14"/>
        </w:rPr>
        <w:t xml:space="preserve"> </w:t>
      </w:r>
      <w:r>
        <w:t>AE.</w:t>
      </w:r>
    </w:p>
    <w:p w:rsidR="00A63476" w:rsidRDefault="00D22874">
      <w:pPr>
        <w:pStyle w:val="Textoindependiente"/>
        <w:spacing w:before="103" w:line="254" w:lineRule="auto"/>
        <w:ind w:right="663"/>
      </w:pPr>
      <w:r>
        <w:t>El AE presentará los resultados de las evaluaciones extern</w:t>
      </w:r>
      <w:r>
        <w:t>as de acuerdo con los plazos y términos previstos en la normatividad aplicable y los difundirá a través de la página de Internet de la SEDATU.</w:t>
      </w:r>
    </w:p>
    <w:p w:rsidR="00A63476" w:rsidRDefault="00D22874">
      <w:pPr>
        <w:pStyle w:val="Ttulo1"/>
        <w:numPr>
          <w:ilvl w:val="0"/>
          <w:numId w:val="34"/>
        </w:numPr>
        <w:tabs>
          <w:tab w:val="left" w:pos="1232"/>
        </w:tabs>
        <w:spacing w:before="81" w:after="18"/>
        <w:jc w:val="both"/>
      </w:pPr>
      <w:r>
        <w:t>Indicadores de resultados</w:t>
      </w:r>
    </w:p>
    <w:p w:rsidR="00A63476" w:rsidRDefault="00FF0FB3">
      <w:pPr>
        <w:pStyle w:val="Textoindependiente"/>
        <w:spacing w:line="20" w:lineRule="exact"/>
        <w:ind w:left="802" w:right="0" w:firstLine="0"/>
        <w:jc w:val="left"/>
        <w:rPr>
          <w:sz w:val="2"/>
        </w:rPr>
      </w:pPr>
      <w:r>
        <w:rPr>
          <w:noProof/>
          <w:sz w:val="2"/>
        </w:rPr>
        <mc:AlternateContent>
          <mc:Choice Requires="wpg">
            <w:drawing>
              <wp:inline distT="0" distB="0" distL="0" distR="0">
                <wp:extent cx="5431790" cy="6350"/>
                <wp:effectExtent l="10795" t="9525" r="5715" b="3175"/>
                <wp:docPr id="73" name="Group 50"/>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5431790" cy="6350"/>
                          <a:chOff x="0" y="0"/>
                          <a:chExt cx="8554" cy="10"/>
                        </a:xfrm>
                      </wpg:grpSpPr>
                      <wps:wsp>
                        <wps:cNvPr id="74" name="Line 51"/>
                        <wps:cNvCnPr>
                          <a:cxnSpLocks noChangeShapeType="1"/>
                        </wps:cNvCnPr>
                        <wps:spPr bwMode="auto">
                          <a:xfrm>
                            <a:off x="0" y="5"/>
                            <a:ext cx="8554" cy="0"/>
                          </a:xfrm>
                          <a:prstGeom prst="line">
                            <a:avLst/>
                          </a:prstGeom>
                          <a:noFill/>
                          <a:ln w="6350">
                            <a:solidFill>
                              <a:srgbClr val="000000"/>
                            </a:solidFill>
                            <a:prstDash val="solid"/>
                            <a:round/>
                            <a:headEnd/>
                            <a:tailEnd/>
                          </a:ln>
                          <a:extLst>
                            <a:ext uri="{909E8E84-426E-40DD-AFC4-6F175D3DCCD1}">
                              <a14:hiddenFill xmlns:a14="http://schemas.microsoft.com/office/drawing/2010/main">
                                <a:noFill/>
                              </a14:hiddenFill>
                            </a:ext>
                          </a:extLst>
                        </wps:spPr>
                        <wps:bodyPr/>
                      </wps:wsp>
                    </wpg:wgp>
                  </a:graphicData>
                </a:graphic>
              </wp:inline>
            </w:drawing>
          </mc:Choice>
          <mc:Fallback>
            <w:pict>
              <v:group w14:anchorId="4480C4FD" id="Group 50" o:spid="_x0000_s1026" style="width:427.7pt;height:.5pt;mso-position-horizontal-relative:char;mso-position-vertical-relative:line" coordsize="8554,1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">
                <v:line id="Line 51" o:spid="_x0000_s1027" style="position:absolute;visibility:visible;mso-wrap-style:square" from="0,5" to="8554,5"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" strokeweight=".5pt"/>
                <w10:anchorlock/>
              </v:group>
            </w:pict>
          </mc:Fallback>
        </mc:AlternateContent>
      </w:r>
    </w:p>
    <w:p w:rsidR="00A63476" w:rsidRDefault="00D22874">
      <w:pPr>
        <w:pStyle w:val="Textoindependiente"/>
        <w:spacing w:before="96" w:line="247" w:lineRule="auto"/>
      </w:pPr>
      <w:r>
        <w:t>Los indicadores de Pro</w:t>
      </w:r>
      <w:r>
        <w:t>pósito y Componente de la Matriz de Indicadores para Resultados (MIR) del Programa están contenidos en el Anexo 4 de las presentes Reglas de Operación. La información correspondiente a estos indicadores será reportada a la Dirección General de Atención a G</w:t>
      </w:r>
      <w:r>
        <w:t>rupos Prioritarios en el Portal Aplicativo de la Secretaría de Hacienda y Crédito Público</w:t>
      </w:r>
      <w:r>
        <w:rPr>
          <w:spacing w:val="-13"/>
        </w:rPr>
        <w:t xml:space="preserve"> </w:t>
      </w:r>
      <w:r>
        <w:t>(PASH).</w:t>
      </w:r>
    </w:p>
    <w:p w:rsidR="00A63476" w:rsidRDefault="00D22874">
      <w:pPr>
        <w:pStyle w:val="Textoindependiente"/>
        <w:spacing w:before="87" w:line="254" w:lineRule="auto"/>
        <w:ind w:right="663"/>
      </w:pPr>
      <w:r>
        <w:t>La totalidad de los indicadores de la MIR se encuentran disponibles para su consulta en la siguiente liga</w:t>
      </w:r>
      <w:hyperlink r:id="rId39">
        <w:r>
          <w:t xml:space="preserve"> http://www.gob.mx/conavi</w:t>
        </w:r>
      </w:hyperlink>
    </w:p>
    <w:p w:rsidR="00A63476" w:rsidRDefault="00FF0FB3">
      <w:pPr>
        <w:pStyle w:val="Ttulo1"/>
        <w:numPr>
          <w:ilvl w:val="0"/>
          <w:numId w:val="34"/>
        </w:numPr>
        <w:tabs>
          <w:tab w:val="left" w:pos="1232"/>
        </w:tabs>
        <w:spacing w:before="81"/>
        <w:jc w:val="both"/>
      </w:pPr>
      <w:r>
        <w:rPr>
          <w:noProof/>
        </w:rPr>
        <mc:AlternateContent>
          <mc:Choice Requires="wps">
            <w:drawing>
              <wp:anchor distT="0" distB="0" distL="0" distR="0" simplePos="0" relativeHeight="487597568" behindDoc="1" locked="0" layoutInCell="1" allowOverlap="1">
                <wp:simplePos x="0" y="0"/>
                <wp:positionH relativeFrom="page">
                  <wp:posOffset>1261745</wp:posOffset>
                </wp:positionH>
                <wp:positionV relativeFrom="paragraph">
                  <wp:posOffset>204470</wp:posOffset>
                </wp:positionV>
                <wp:extent cx="5431790" cy="1270"/>
                <wp:effectExtent l="0" t="0" r="0" b="0"/>
                <wp:wrapTopAndBottom/>
                <wp:docPr id="72" name="Freeform 49"/>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5431790" cy="1270"/>
                        </a:xfrm>
                        <a:custGeom>
                          <a:avLst/>
                          <a:gdLst>
                            <a:gd name="T0" fmla="+- 0 1987 1987"/>
                            <a:gd name="T1" fmla="*/ T0 w 8554"/>
                            <a:gd name="T2" fmla="+- 0 10541 1987"/>
                            <a:gd name="T3" fmla="*/ T2 w 8554"/>
                          </a:gdLst>
                          <a:ahLst/>
                          <a:cxnLst>
                            <a:cxn ang="0">
                              <a:pos x="T1" y="0"/>
                            </a:cxn>
                            <a:cxn ang="0">
                              <a:pos x="T3" y="0"/>
                            </a:cxn>
                          </a:cxnLst>
                          <a:rect l="0" t="0" r="r" b="b"/>
                          <a:pathLst>
                            <a:path w="8554">
                              <a:moveTo>
                                <a:pt x="0" y="0"/>
                              </a:moveTo>
                              <a:lnTo>
                                <a:pt x="8554" y="0"/>
                              </a:lnTo>
                            </a:path>
                          </a:pathLst>
                        </a:custGeom>
                        <a:noFill/>
                        <a:ln w="6350">
                          <a:solidFill>
                            <a:srgbClr val="000000"/>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40544BED" id="Freeform 49" o:spid="_x0000_s1026" style="position:absolute;margin-left:99.35pt;margin-top:16.1pt;width:427.7pt;height:.1pt;z-index:-15718912;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coordsize="8554,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" path="m,l8554,e" filled="f" strokeweight=".5pt">
                <v:path arrowok="t" o:connecttype="custom" o:connectlocs="0,0;5431790,0" o:connectangles="0,0"/>
                <w10:wrap type="topAndBottom" anchorx="page"/>
              </v:shape>
            </w:pict>
          </mc:Fallback>
        </mc:AlternateContent>
      </w:r>
      <w:r w:rsidR="00D22874">
        <w:t>Seguimiento, Control y</w:t>
      </w:r>
      <w:r w:rsidR="00D22874">
        <w:rPr>
          <w:spacing w:val="-10"/>
        </w:rPr>
        <w:t xml:space="preserve"> </w:t>
      </w:r>
      <w:r w:rsidR="00D22874">
        <w:t>Auditoría</w:t>
      </w:r>
    </w:p>
    <w:p w:rsidR="00A63476" w:rsidRDefault="00D22874">
      <w:pPr>
        <w:pStyle w:val="Textoindependiente"/>
        <w:spacing w:before="65" w:line="254" w:lineRule="auto"/>
      </w:pPr>
      <w:r>
        <w:t>El ejercicio de los recursos otorgados a través</w:t>
      </w:r>
      <w:r>
        <w:t xml:space="preserve"> del Programa, podrá ser revisado en todo momento por La Comisión o la Secretaría de la Función Pública, a través de la Unidad de Operación Regional y Contraloría Social, la Unidad de Auditoría Gubernamental y el Órgano Interno de Control en La Comisión.</w:t>
      </w:r>
    </w:p>
    <w:p w:rsidR="00A63476" w:rsidRDefault="00D22874">
      <w:pPr>
        <w:pStyle w:val="Textoindependiente"/>
        <w:spacing w:before="82"/>
        <w:ind w:left="800" w:right="0" w:firstLine="0"/>
      </w:pPr>
      <w:r>
        <w:t>L</w:t>
      </w:r>
      <w:r>
        <w:t>a CONAVI y las Entidades Ejecutoras ante la intervención de un ente auditor o de control deberán:</w:t>
      </w:r>
    </w:p>
    <w:p w:rsidR="00A63476" w:rsidRDefault="00D22874">
      <w:pPr>
        <w:pStyle w:val="Prrafodelista"/>
        <w:numPr>
          <w:ilvl w:val="0"/>
          <w:numId w:val="30"/>
        </w:numPr>
        <w:tabs>
          <w:tab w:val="left" w:pos="1232"/>
        </w:tabs>
        <w:spacing w:before="93" w:line="254" w:lineRule="auto"/>
        <w:ind w:right="663" w:hanging="440"/>
        <w:jc w:val="both"/>
        <w:rPr>
          <w:sz w:val="18"/>
        </w:rPr>
      </w:pPr>
      <w:r>
        <w:rPr>
          <w:spacing w:val="-4"/>
          <w:sz w:val="18"/>
        </w:rPr>
        <w:t xml:space="preserve">Tomar </w:t>
      </w:r>
      <w:r>
        <w:rPr>
          <w:sz w:val="18"/>
        </w:rPr>
        <w:t>medidas preventivas y correctivas en su operación o decidir sobre su terminación, así como la publicación de nuevos esquemas de financiamiento o subsidi</w:t>
      </w:r>
      <w:r>
        <w:rPr>
          <w:sz w:val="18"/>
        </w:rPr>
        <w:t>os federales.</w:t>
      </w:r>
    </w:p>
    <w:p w:rsidR="00A63476" w:rsidRDefault="00D22874">
      <w:pPr>
        <w:pStyle w:val="Prrafodelista"/>
        <w:numPr>
          <w:ilvl w:val="0"/>
          <w:numId w:val="30"/>
        </w:numPr>
        <w:tabs>
          <w:tab w:val="left" w:pos="1232"/>
        </w:tabs>
        <w:spacing w:before="106" w:line="232" w:lineRule="auto"/>
        <w:ind w:right="663" w:hanging="440"/>
        <w:jc w:val="both"/>
        <w:rPr>
          <w:sz w:val="18"/>
        </w:rPr>
      </w:pPr>
      <w:r>
        <w:rPr>
          <w:sz w:val="18"/>
        </w:rPr>
        <w:t xml:space="preserve">Atender en tiempo y forma, los requerimientos de auditoría, así como el seguimiento y </w:t>
      </w:r>
      <w:r>
        <w:rPr>
          <w:spacing w:val="-2"/>
          <w:sz w:val="18"/>
        </w:rPr>
        <w:t xml:space="preserve">solventación </w:t>
      </w:r>
      <w:r>
        <w:rPr>
          <w:sz w:val="18"/>
        </w:rPr>
        <w:t>de las observaciones planteadas por los órganos de control.</w:t>
      </w:r>
    </w:p>
    <w:p w:rsidR="00A63476" w:rsidRDefault="00D22874">
      <w:pPr>
        <w:pStyle w:val="Prrafodelista"/>
        <w:numPr>
          <w:ilvl w:val="0"/>
          <w:numId w:val="30"/>
        </w:numPr>
        <w:tabs>
          <w:tab w:val="left" w:pos="1232"/>
        </w:tabs>
        <w:spacing w:before="113" w:line="242" w:lineRule="auto"/>
        <w:ind w:right="655" w:hanging="440"/>
        <w:jc w:val="both"/>
        <w:rPr>
          <w:sz w:val="18"/>
        </w:rPr>
      </w:pPr>
      <w:r>
        <w:rPr>
          <w:sz w:val="18"/>
        </w:rPr>
        <w:t>Realizar acciones de seguimiento a las Entidades Ejecutoras, a fin de que acrediten</w:t>
      </w:r>
      <w:r>
        <w:rPr>
          <w:sz w:val="18"/>
        </w:rPr>
        <w:t xml:space="preserve"> el cumplimiento a las Reglas, al Convenio de Adhesión y a los compromisos que adquieran. De estas acciones podrán derivarse:</w:t>
      </w:r>
    </w:p>
    <w:p w:rsidR="00A63476" w:rsidRDefault="00D22874">
      <w:pPr>
        <w:pStyle w:val="Prrafodelista"/>
        <w:numPr>
          <w:ilvl w:val="1"/>
          <w:numId w:val="30"/>
        </w:numPr>
        <w:tabs>
          <w:tab w:val="left" w:pos="1672"/>
        </w:tabs>
        <w:spacing w:before="118" w:line="232" w:lineRule="auto"/>
        <w:ind w:right="655" w:hanging="440"/>
        <w:jc w:val="both"/>
        <w:rPr>
          <w:sz w:val="18"/>
        </w:rPr>
      </w:pPr>
      <w:r>
        <w:rPr>
          <w:sz w:val="18"/>
        </w:rPr>
        <w:t xml:space="preserve">Otorgar periodos de gracia para que las Entidades Ejecutoras acrediten las acciones </w:t>
      </w:r>
      <w:r>
        <w:rPr>
          <w:spacing w:val="-7"/>
          <w:sz w:val="18"/>
        </w:rPr>
        <w:t xml:space="preserve">de </w:t>
      </w:r>
      <w:r>
        <w:rPr>
          <w:sz w:val="18"/>
        </w:rPr>
        <w:t>regularización que deriven de las accione</w:t>
      </w:r>
      <w:r>
        <w:rPr>
          <w:strike/>
          <w:sz w:val="18"/>
        </w:rPr>
        <w:t>s</w:t>
      </w:r>
      <w:r>
        <w:rPr>
          <w:sz w:val="18"/>
        </w:rPr>
        <w:t xml:space="preserve"> de</w:t>
      </w:r>
      <w:r>
        <w:rPr>
          <w:spacing w:val="-1"/>
          <w:sz w:val="18"/>
        </w:rPr>
        <w:t xml:space="preserve"> </w:t>
      </w:r>
      <w:r>
        <w:rPr>
          <w:sz w:val="18"/>
        </w:rPr>
        <w:t>seguimiento.</w:t>
      </w:r>
    </w:p>
    <w:p w:rsidR="00A63476" w:rsidRDefault="00D22874">
      <w:pPr>
        <w:pStyle w:val="Prrafodelista"/>
        <w:numPr>
          <w:ilvl w:val="1"/>
          <w:numId w:val="30"/>
        </w:numPr>
        <w:tabs>
          <w:tab w:val="left" w:pos="1672"/>
        </w:tabs>
        <w:spacing w:before="119" w:line="232" w:lineRule="auto"/>
        <w:ind w:right="655" w:hanging="440"/>
        <w:jc w:val="both"/>
        <w:rPr>
          <w:sz w:val="18"/>
        </w:rPr>
      </w:pPr>
      <w:r>
        <w:rPr>
          <w:sz w:val="18"/>
        </w:rPr>
        <w:t>Formular recomendaciones a las Entidades Ejecutoras para mejorar la operación del Programa, con base en el seguimiento de las acciones.</w:t>
      </w:r>
    </w:p>
    <w:p w:rsidR="00A63476" w:rsidRDefault="00D22874">
      <w:pPr>
        <w:pStyle w:val="Prrafodelista"/>
        <w:numPr>
          <w:ilvl w:val="1"/>
          <w:numId w:val="30"/>
        </w:numPr>
        <w:tabs>
          <w:tab w:val="left" w:pos="1672"/>
        </w:tabs>
        <w:spacing w:before="113" w:line="247" w:lineRule="auto"/>
        <w:ind w:right="647" w:hanging="440"/>
        <w:jc w:val="both"/>
        <w:rPr>
          <w:sz w:val="18"/>
        </w:rPr>
      </w:pPr>
      <w:r>
        <w:rPr>
          <w:sz w:val="18"/>
        </w:rPr>
        <w:t>Sancionar a las Entidades Ejecutoras que incumplan con estas Reglas y demás obligaciones aplicables, mediante amonestación, suspensión de la participación en el Programa y terminación de la relación convencional, sin perjuicio de las otras responsabilidade</w:t>
      </w:r>
      <w:r>
        <w:rPr>
          <w:sz w:val="18"/>
        </w:rPr>
        <w:t xml:space="preserve">s </w:t>
      </w:r>
      <w:r>
        <w:rPr>
          <w:spacing w:val="-4"/>
          <w:sz w:val="18"/>
        </w:rPr>
        <w:t xml:space="preserve">que </w:t>
      </w:r>
      <w:r>
        <w:rPr>
          <w:sz w:val="18"/>
        </w:rPr>
        <w:t>correspondan conforme a las disposiciones aplicables.</w:t>
      </w:r>
    </w:p>
    <w:p w:rsidR="00A63476" w:rsidRDefault="00D22874">
      <w:pPr>
        <w:pStyle w:val="Textoindependiente"/>
        <w:spacing w:before="87" w:line="254" w:lineRule="auto"/>
      </w:pPr>
      <w:r>
        <w:t>Al concluir el ejercicio fiscal, o máximo dentro de los 30 días siguientes, la Comisión deberá contar con un expediente disponible para fiscalización e integrado por lo menos con: el padrón de ben</w:t>
      </w:r>
      <w:r>
        <w:t xml:space="preserve">eficiarias en </w:t>
      </w:r>
      <w:r>
        <w:rPr>
          <w:spacing w:val="-3"/>
        </w:rPr>
        <w:t xml:space="preserve">materia  </w:t>
      </w:r>
      <w:r>
        <w:t>de vivienda y comprobación del gasto ejercido. Dicha documentación deberá ser integrada y conservada de acuerdo con la normativa federal aplicable.</w:t>
      </w:r>
    </w:p>
    <w:p w:rsidR="00A63476" w:rsidRDefault="00D22874">
      <w:pPr>
        <w:pStyle w:val="Textoindependiente"/>
        <w:spacing w:before="83"/>
        <w:ind w:left="800" w:right="0" w:firstLine="0"/>
      </w:pPr>
      <w:r>
        <w:t>La Entidad Ejecutora ante la intervención de un ente auditor o de fiscalización deber</w:t>
      </w:r>
      <w:r>
        <w:t>á:</w:t>
      </w:r>
    </w:p>
    <w:p w:rsidR="00A63476" w:rsidRDefault="00D22874">
      <w:pPr>
        <w:pStyle w:val="Prrafodelista"/>
        <w:numPr>
          <w:ilvl w:val="0"/>
          <w:numId w:val="29"/>
        </w:numPr>
        <w:tabs>
          <w:tab w:val="left" w:pos="1232"/>
        </w:tabs>
        <w:spacing w:before="93"/>
        <w:jc w:val="both"/>
        <w:rPr>
          <w:sz w:val="18"/>
        </w:rPr>
      </w:pPr>
      <w:r>
        <w:rPr>
          <w:sz w:val="18"/>
        </w:rPr>
        <w:t>Dar todas las facilidades a dichas instancias para realizar las auditorías que considere</w:t>
      </w:r>
      <w:r>
        <w:rPr>
          <w:spacing w:val="-1"/>
          <w:sz w:val="18"/>
        </w:rPr>
        <w:t xml:space="preserve"> </w:t>
      </w:r>
      <w:r>
        <w:rPr>
          <w:sz w:val="18"/>
        </w:rPr>
        <w:t>necesarias.</w:t>
      </w:r>
    </w:p>
    <w:p w:rsidR="00A63476" w:rsidRDefault="00D22874">
      <w:pPr>
        <w:pStyle w:val="Prrafodelista"/>
        <w:numPr>
          <w:ilvl w:val="0"/>
          <w:numId w:val="29"/>
        </w:numPr>
        <w:tabs>
          <w:tab w:val="left" w:pos="1232"/>
        </w:tabs>
        <w:spacing w:before="113" w:line="254" w:lineRule="auto"/>
        <w:ind w:left="1240" w:right="663" w:hanging="440"/>
        <w:jc w:val="both"/>
        <w:rPr>
          <w:sz w:val="18"/>
        </w:rPr>
      </w:pPr>
      <w:r>
        <w:rPr>
          <w:sz w:val="18"/>
        </w:rPr>
        <w:t xml:space="preserve">Atender en tiempo y forma, los requerimientos de auditoría, así como el seguimiento y </w:t>
      </w:r>
      <w:r>
        <w:rPr>
          <w:spacing w:val="-2"/>
          <w:sz w:val="18"/>
        </w:rPr>
        <w:t xml:space="preserve">solventación </w:t>
      </w:r>
      <w:r>
        <w:rPr>
          <w:sz w:val="18"/>
        </w:rPr>
        <w:t>de las observaciones planteadas por los órganos fisca</w:t>
      </w:r>
      <w:r>
        <w:rPr>
          <w:sz w:val="18"/>
        </w:rPr>
        <w:t>lizadores.</w:t>
      </w:r>
    </w:p>
    <w:p w:rsidR="00A63476" w:rsidRDefault="00D22874">
      <w:pPr>
        <w:pStyle w:val="Ttulo1"/>
        <w:numPr>
          <w:ilvl w:val="0"/>
          <w:numId w:val="34"/>
        </w:numPr>
        <w:tabs>
          <w:tab w:val="left" w:pos="1232"/>
        </w:tabs>
        <w:spacing w:before="81" w:after="17"/>
        <w:jc w:val="both"/>
      </w:pPr>
      <w:r>
        <w:t>Derechos</w:t>
      </w:r>
      <w:r>
        <w:rPr>
          <w:spacing w:val="-1"/>
        </w:rPr>
        <w:t xml:space="preserve"> </w:t>
      </w:r>
      <w:r>
        <w:t>Humanos</w:t>
      </w:r>
    </w:p>
    <w:p w:rsidR="00A63476" w:rsidRDefault="00FF0FB3">
      <w:pPr>
        <w:pStyle w:val="Textoindependiente"/>
        <w:spacing w:line="20" w:lineRule="exact"/>
        <w:ind w:left="802" w:right="0" w:firstLine="0"/>
        <w:jc w:val="left"/>
        <w:rPr>
          <w:sz w:val="2"/>
        </w:rPr>
      </w:pPr>
      <w:r>
        <w:rPr>
          <w:noProof/>
          <w:sz w:val="2"/>
        </w:rPr>
        <mc:AlternateContent>
          <mc:Choice Requires="wpg">
            <w:drawing>
              <wp:inline distT="0" distB="0" distL="0" distR="0">
                <wp:extent cx="5431790" cy="6350"/>
                <wp:effectExtent l="10795" t="10160" r="5715" b="2540"/>
                <wp:docPr id="70" name="Group 47"/>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5431790" cy="6350"/>
                          <a:chOff x="0" y="0"/>
                          <a:chExt cx="8554" cy="10"/>
                        </a:xfrm>
                      </wpg:grpSpPr>
                      <wps:wsp>
                        <wps:cNvPr id="71" name="Line 48"/>
                        <wps:cNvCnPr>
                          <a:cxnSpLocks noChangeShapeType="1"/>
                        </wps:cNvCnPr>
                        <wps:spPr bwMode="auto">
                          <a:xfrm>
                            <a:off x="0" y="5"/>
                            <a:ext cx="8554" cy="0"/>
                          </a:xfrm>
                          <a:prstGeom prst="line">
                            <a:avLst/>
                          </a:prstGeom>
                          <a:noFill/>
                          <a:ln w="6350">
                            <a:solidFill>
                              <a:srgbClr val="000000"/>
                            </a:solidFill>
                            <a:prstDash val="solid"/>
                            <a:round/>
                            <a:headEnd/>
                            <a:tailEnd/>
                          </a:ln>
                          <a:extLst>
                            <a:ext uri="{909E8E84-426E-40DD-AFC4-6F175D3DCCD1}">
                              <a14:hiddenFill xmlns:a14="http://schemas.microsoft.com/office/drawing/2010/main">
                                <a:noFill/>
                              </a14:hiddenFill>
                            </a:ext>
                          </a:extLst>
                        </wps:spPr>
                        <wps:bodyPr/>
                      </wps:wsp>
                    </wpg:wgp>
                  </a:graphicData>
                </a:graphic>
              </wp:inline>
            </w:drawing>
          </mc:Choice>
          <mc:Fallback>
            <w:pict>
              <v:group w14:anchorId="24082C61" id="Group 47" o:spid="_x0000_s1026" style="width:427.7pt;height:.5pt;mso-position-horizontal-relative:char;mso-position-vertical-relative:line" coordsize="8554,1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">
                <v:line id="Line 48" o:spid="_x0000_s1027" style="position:absolute;visibility:visible;mso-wrap-style:square" from="0,5" to="8554,5"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" strokeweight=".5pt"/>
                <w10:anchorlock/>
              </v:group>
            </w:pict>
          </mc:Fallback>
        </mc:AlternateContent>
      </w:r>
    </w:p>
    <w:p w:rsidR="00A63476" w:rsidRDefault="00D22874">
      <w:pPr>
        <w:pStyle w:val="Textoindependiente"/>
        <w:spacing w:before="96" w:line="254" w:lineRule="auto"/>
      </w:pPr>
      <w:r>
        <w:t>Las y los servidores públicos deben promover, respetar, proteger y garantizar los derechos humanos de todas las personas relacionadas con la operación del Program</w:t>
      </w:r>
      <w:r>
        <w:t xml:space="preserve">a, especialmente de aquellas que </w:t>
      </w:r>
      <w:r>
        <w:rPr>
          <w:spacing w:val="-9"/>
        </w:rPr>
        <w:t xml:space="preserve">se </w:t>
      </w:r>
      <w:r>
        <w:rPr>
          <w:spacing w:val="3"/>
        </w:rPr>
        <w:t xml:space="preserve">encuentran </w:t>
      </w:r>
      <w:r>
        <w:t xml:space="preserve">en </w:t>
      </w:r>
      <w:r>
        <w:rPr>
          <w:spacing w:val="3"/>
        </w:rPr>
        <w:t xml:space="preserve">situación </w:t>
      </w:r>
      <w:r>
        <w:t xml:space="preserve">de </w:t>
      </w:r>
      <w:r>
        <w:rPr>
          <w:spacing w:val="3"/>
        </w:rPr>
        <w:t xml:space="preserve">vulnerabilidad, </w:t>
      </w:r>
      <w:r>
        <w:t xml:space="preserve">de </w:t>
      </w:r>
      <w:r>
        <w:rPr>
          <w:spacing w:val="3"/>
        </w:rPr>
        <w:t xml:space="preserve">conformidad </w:t>
      </w:r>
      <w:r>
        <w:rPr>
          <w:spacing w:val="2"/>
        </w:rPr>
        <w:t xml:space="preserve">con los </w:t>
      </w:r>
      <w:r>
        <w:rPr>
          <w:spacing w:val="3"/>
        </w:rPr>
        <w:t xml:space="preserve">principios </w:t>
      </w:r>
      <w:r>
        <w:t xml:space="preserve">de </w:t>
      </w:r>
      <w:r>
        <w:rPr>
          <w:spacing w:val="3"/>
        </w:rPr>
        <w:t xml:space="preserve">universalidad, </w:t>
      </w:r>
      <w:r>
        <w:t>interdependencia, indivisibilidad y</w:t>
      </w:r>
      <w:r>
        <w:rPr>
          <w:spacing w:val="-1"/>
        </w:rPr>
        <w:t xml:space="preserve"> </w:t>
      </w:r>
      <w:r>
        <w:t>progresividad.</w:t>
      </w:r>
    </w:p>
    <w:p w:rsidR="00A63476" w:rsidRDefault="00D22874">
      <w:pPr>
        <w:pStyle w:val="Textoindependiente"/>
        <w:spacing w:before="82" w:line="254" w:lineRule="auto"/>
        <w:ind w:right="663"/>
      </w:pPr>
      <w:r>
        <w:t>En cumplimiento a los derechos de igualdad y no discriminación, se brindar</w:t>
      </w:r>
      <w:r>
        <w:t>á en todo momento un trato digno y de respeto a toda la población.</w:t>
      </w:r>
    </w:p>
    <w:p w:rsidR="00A63476" w:rsidRDefault="00D22874">
      <w:pPr>
        <w:pStyle w:val="Textoindependiente"/>
        <w:spacing w:before="102" w:line="254" w:lineRule="auto"/>
      </w:pPr>
      <w:r>
        <w:t xml:space="preserve">Las Reglas de Operación deberán interpretarse de conformidad con la Constitución Política de los Estados Unidos Mexicanos y los Tratados Internacionales de la materia, favoreciendo en todo </w:t>
      </w:r>
      <w:r>
        <w:t>tiempo la perspectiva de</w:t>
      </w:r>
    </w:p>
    <w:p w:rsidR="00A63476" w:rsidRDefault="00A63476">
      <w:pPr>
        <w:spacing w:line="254" w:lineRule="auto"/>
        <w:sectPr w:rsidR="00A63476">
          <w:pgSz w:w="12240" w:h="15840"/>
          <w:pgMar w:top="920" w:right="1040" w:bottom="280" w:left="1180" w:header="700" w:footer="0" w:gutter="0"/>
          <w:cols w:space="720"/>
        </w:sectPr>
      </w:pPr>
    </w:p>
    <w:p w:rsidR="00A63476" w:rsidRDefault="00A63476">
      <w:pPr>
        <w:pStyle w:val="Textoindependiente"/>
        <w:spacing w:before="8"/>
        <w:ind w:left="0" w:right="0" w:firstLine="0"/>
        <w:jc w:val="left"/>
        <w:rPr>
          <w:sz w:val="10"/>
        </w:rPr>
      </w:pPr>
    </w:p>
    <w:p w:rsidR="00A63476" w:rsidRDefault="00D22874">
      <w:pPr>
        <w:pStyle w:val="Textoindependiente"/>
        <w:spacing w:before="95" w:line="254" w:lineRule="auto"/>
        <w:ind w:firstLine="0"/>
      </w:pPr>
      <w:r>
        <w:t>género y la protección más amplia para las personas, en armonía con la cobertura, disposición presupuestal, requisitos de elegibilidad y objetivos del Programa.</w:t>
      </w:r>
    </w:p>
    <w:p w:rsidR="00A63476" w:rsidRDefault="00D22874">
      <w:pPr>
        <w:pStyle w:val="Textoindependiente"/>
        <w:spacing w:before="101" w:line="249" w:lineRule="auto"/>
      </w:pPr>
      <w:r>
        <w:t>De conformidad con las acciones de política y justicia social, mediante solicitud escrita de autoridad competente en materia de derechos humanos, se favorecerá el acceso al Programa a las personas en situación de víctimas o por violación a sus derechos fun</w:t>
      </w:r>
      <w:r>
        <w:t xml:space="preserve">damentales, que se encuentren en el </w:t>
      </w:r>
      <w:r>
        <w:rPr>
          <w:spacing w:val="-3"/>
        </w:rPr>
        <w:t xml:space="preserve">Registro </w:t>
      </w:r>
      <w:r>
        <w:t>Nacional de Víctimas, o bien, que estén consideradas como beneficiarios en las medidas cautelares y/o recomendaciones emitidas por los órganos garantes de derechos humanos nacionales o internacionales.</w:t>
      </w:r>
    </w:p>
    <w:p w:rsidR="00A63476" w:rsidRDefault="00D22874">
      <w:pPr>
        <w:pStyle w:val="Textoindependiente"/>
        <w:spacing w:before="103" w:line="249" w:lineRule="auto"/>
        <w:ind w:right="656"/>
      </w:pPr>
      <w:r>
        <w:t>La Comisi</w:t>
      </w:r>
      <w:r>
        <w:t xml:space="preserve">ón dictará las medidas de equidad, inclusión y sustentabilidad social para que, en la ejecución  de las acciones de Vivienda, la Entidad Ejecutora cumpla con las especificaciones de accesibilidad de </w:t>
      </w:r>
      <w:r>
        <w:rPr>
          <w:spacing w:val="-6"/>
        </w:rPr>
        <w:t xml:space="preserve">las </w:t>
      </w:r>
      <w:r>
        <w:t>personas con discapacidad que integran el hogar benef</w:t>
      </w:r>
      <w:r>
        <w:t xml:space="preserve">iciario. Para ello, el proyecto arquitectónico se </w:t>
      </w:r>
      <w:r>
        <w:rPr>
          <w:spacing w:val="-3"/>
        </w:rPr>
        <w:t xml:space="preserve">deberá </w:t>
      </w:r>
      <w:r>
        <w:t>realizar en base al Diseño Universal, con las adaptaciones y ajustes necesarios para que la vivienda ofrezca una completa solución a las necesidades de acceso, libre ingreso y desplazamiento de la pe</w:t>
      </w:r>
      <w:r>
        <w:t xml:space="preserve">rsona </w:t>
      </w:r>
      <w:r>
        <w:rPr>
          <w:spacing w:val="-6"/>
        </w:rPr>
        <w:t xml:space="preserve">con </w:t>
      </w:r>
      <w:r>
        <w:t>discapacidad a las diferentes áreas de la Vivienda, así como en la misma unidad habitacional y su</w:t>
      </w:r>
      <w:r>
        <w:rPr>
          <w:spacing w:val="-6"/>
        </w:rPr>
        <w:t xml:space="preserve"> </w:t>
      </w:r>
      <w:r>
        <w:t>periferia.</w:t>
      </w:r>
    </w:p>
    <w:p w:rsidR="00A63476" w:rsidRDefault="00D22874">
      <w:pPr>
        <w:pStyle w:val="Textoindependiente"/>
        <w:spacing w:before="89" w:line="254" w:lineRule="auto"/>
      </w:pPr>
      <w:r>
        <w:t>En suma, la vivienda adecuada representa un satisfactor que define en gran parte la calidad de vida de la población y por tanto significa</w:t>
      </w:r>
      <w:r>
        <w:t xml:space="preserve"> la base de la política habitacional, a reconocerse en todas las comunidades rurales y urbanas del país, como un detonador del hábitat sustentable, respetuoso del medio ambiente y referente del crecimiento económico.</w:t>
      </w:r>
    </w:p>
    <w:p w:rsidR="00A63476" w:rsidRDefault="00D22874">
      <w:pPr>
        <w:pStyle w:val="Ttulo1"/>
        <w:numPr>
          <w:ilvl w:val="0"/>
          <w:numId w:val="34"/>
        </w:numPr>
        <w:tabs>
          <w:tab w:val="left" w:pos="1232"/>
        </w:tabs>
        <w:spacing w:after="19"/>
        <w:jc w:val="both"/>
      </w:pPr>
      <w:r>
        <w:t>Quejas, denuncias y solicitudes de</w:t>
      </w:r>
      <w:r>
        <w:rPr>
          <w:spacing w:val="-2"/>
        </w:rPr>
        <w:t xml:space="preserve"> </w:t>
      </w:r>
      <w:r>
        <w:t>info</w:t>
      </w:r>
      <w:r>
        <w:t>rmación</w:t>
      </w:r>
    </w:p>
    <w:p w:rsidR="00A63476" w:rsidRDefault="00FF0FB3">
      <w:pPr>
        <w:pStyle w:val="Textoindependiente"/>
        <w:spacing w:line="20" w:lineRule="exact"/>
        <w:ind w:left="802" w:right="0" w:firstLine="0"/>
        <w:jc w:val="left"/>
        <w:rPr>
          <w:sz w:val="2"/>
        </w:rPr>
      </w:pPr>
      <w:r>
        <w:rPr>
          <w:noProof/>
          <w:sz w:val="2"/>
        </w:rPr>
        <mc:AlternateContent>
          <mc:Choice Requires="wpg">
            <w:drawing>
              <wp:inline distT="0" distB="0" distL="0" distR="0">
                <wp:extent cx="5431790" cy="6350"/>
                <wp:effectExtent l="10795" t="10795" r="5715" b="1905"/>
                <wp:docPr id="68" name="Group 45"/>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5431790" cy="6350"/>
                          <a:chOff x="0" y="0"/>
                          <a:chExt cx="8554" cy="10"/>
                        </a:xfrm>
                      </wpg:grpSpPr>
                      <wps:wsp>
                        <wps:cNvPr id="69" name="Line 46"/>
                        <wps:cNvCnPr>
                          <a:cxnSpLocks noChangeShapeType="1"/>
                        </wps:cNvCnPr>
                        <wps:spPr bwMode="auto">
                          <a:xfrm>
                            <a:off x="0" y="5"/>
                            <a:ext cx="8554" cy="0"/>
                          </a:xfrm>
                          <a:prstGeom prst="line">
                            <a:avLst/>
                          </a:prstGeom>
                          <a:noFill/>
                          <a:ln w="6350">
                            <a:solidFill>
                              <a:srgbClr val="000000"/>
                            </a:solidFill>
                            <a:prstDash val="solid"/>
                            <a:round/>
                            <a:headEnd/>
                            <a:tailEnd/>
                          </a:ln>
                          <a:extLst>
                            <a:ext uri="{909E8E84-426E-40DD-AFC4-6F175D3DCCD1}">
                              <a14:hiddenFill xmlns:a14="http://schemas.microsoft.com/office/drawing/2010/main">
                                <a:noFill/>
                              </a14:hiddenFill>
                            </a:ext>
                          </a:extLst>
                        </wps:spPr>
                        <wps:bodyPr/>
                      </wps:wsp>
                    </wpg:wgp>
                  </a:graphicData>
                </a:graphic>
              </wp:inline>
            </w:drawing>
          </mc:Choice>
          <mc:Fallback>
            <w:pict>
              <v:group w14:anchorId="1F0C652A" id="Group 45" o:spid="_x0000_s1026" style="width:427.7pt;height:.5pt;mso-position-horizontal-relative:char;mso-position-vertical-relative:line" coordsize="8554,1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">
                <v:line id="Line 46" o:spid="_x0000_s1027" style="position:absolute;visibility:visible;mso-wrap-style:square" from="0,5" to="8554,5"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" strokeweight=".5pt"/>
                <w10:anchorlock/>
              </v:group>
            </w:pict>
          </mc:Fallback>
        </mc:AlternateContent>
      </w:r>
    </w:p>
    <w:p w:rsidR="00A63476" w:rsidRDefault="00D22874">
      <w:pPr>
        <w:pStyle w:val="Prrafodelista"/>
        <w:numPr>
          <w:ilvl w:val="1"/>
          <w:numId w:val="34"/>
        </w:numPr>
        <w:tabs>
          <w:tab w:val="left" w:pos="1191"/>
        </w:tabs>
        <w:spacing w:before="94"/>
        <w:ind w:left="1190" w:hanging="391"/>
        <w:rPr>
          <w:b/>
          <w:sz w:val="18"/>
        </w:rPr>
      </w:pPr>
      <w:r>
        <w:rPr>
          <w:b/>
          <w:sz w:val="18"/>
        </w:rPr>
        <w:t>Quejas y</w:t>
      </w:r>
      <w:r>
        <w:rPr>
          <w:b/>
          <w:spacing w:val="-1"/>
          <w:sz w:val="18"/>
        </w:rPr>
        <w:t xml:space="preserve"> </w:t>
      </w:r>
      <w:r>
        <w:rPr>
          <w:b/>
          <w:sz w:val="18"/>
        </w:rPr>
        <w:t>denuncias</w:t>
      </w:r>
    </w:p>
    <w:p w:rsidR="00A63476" w:rsidRDefault="00D22874">
      <w:pPr>
        <w:pStyle w:val="Textoindependiente"/>
        <w:spacing w:before="93" w:line="254" w:lineRule="auto"/>
        <w:ind w:right="656"/>
        <w:jc w:val="left"/>
      </w:pPr>
      <w:r>
        <w:t>En La Comisión se recibirán las sugerencias, quejas y denuncias por parte del público en general en relación con el Programa, siendo ésta la encargada de canalizar</w:t>
      </w:r>
      <w:r>
        <w:t>las a las instancias correspondientes.</w:t>
      </w:r>
    </w:p>
    <w:p w:rsidR="00A63476" w:rsidRDefault="00D22874">
      <w:pPr>
        <w:pStyle w:val="Prrafodelista"/>
        <w:numPr>
          <w:ilvl w:val="0"/>
          <w:numId w:val="28"/>
        </w:numPr>
        <w:tabs>
          <w:tab w:val="left" w:pos="1231"/>
          <w:tab w:val="left" w:pos="1232"/>
        </w:tabs>
        <w:spacing w:before="81"/>
        <w:rPr>
          <w:sz w:val="18"/>
        </w:rPr>
      </w:pPr>
      <w:r>
        <w:rPr>
          <w:sz w:val="18"/>
        </w:rPr>
        <w:t>En la dirección electrónica:</w:t>
      </w:r>
      <w:r>
        <w:rPr>
          <w:spacing w:val="-2"/>
          <w:sz w:val="18"/>
        </w:rPr>
        <w:t xml:space="preserve"> </w:t>
      </w:r>
      <w:hyperlink r:id="rId40">
        <w:r>
          <w:rPr>
            <w:sz w:val="18"/>
            <w:u w:val="single"/>
          </w:rPr>
          <w:t>www.gob.mx/conavi</w:t>
        </w:r>
      </w:hyperlink>
    </w:p>
    <w:p w:rsidR="00A63476" w:rsidRDefault="00D22874">
      <w:pPr>
        <w:pStyle w:val="Prrafodelista"/>
        <w:numPr>
          <w:ilvl w:val="0"/>
          <w:numId w:val="28"/>
        </w:numPr>
        <w:tabs>
          <w:tab w:val="left" w:pos="1231"/>
          <w:tab w:val="left" w:pos="1232"/>
        </w:tabs>
        <w:spacing w:before="93"/>
        <w:rPr>
          <w:sz w:val="18"/>
        </w:rPr>
      </w:pPr>
      <w:r>
        <w:rPr>
          <w:sz w:val="18"/>
        </w:rPr>
        <w:t>En el correo electrónico</w:t>
      </w:r>
      <w:r>
        <w:rPr>
          <w:spacing w:val="-2"/>
          <w:sz w:val="18"/>
        </w:rPr>
        <w:t xml:space="preserve"> </w:t>
      </w:r>
      <w:hyperlink r:id="rId41">
        <w:r>
          <w:rPr>
            <w:sz w:val="18"/>
            <w:u w:val="single"/>
          </w:rPr>
          <w:t>contacto@conavi.gob.mx</w:t>
        </w:r>
      </w:hyperlink>
    </w:p>
    <w:p w:rsidR="00A63476" w:rsidRDefault="00D22874">
      <w:pPr>
        <w:pStyle w:val="Prrafodelista"/>
        <w:numPr>
          <w:ilvl w:val="0"/>
          <w:numId w:val="28"/>
        </w:numPr>
        <w:tabs>
          <w:tab w:val="left" w:pos="1231"/>
          <w:tab w:val="left" w:pos="1232"/>
        </w:tabs>
        <w:spacing w:before="113" w:line="254" w:lineRule="auto"/>
        <w:ind w:left="1240" w:right="663" w:hanging="440"/>
        <w:rPr>
          <w:sz w:val="18"/>
        </w:rPr>
      </w:pPr>
      <w:r>
        <w:rPr>
          <w:sz w:val="18"/>
        </w:rPr>
        <w:t xml:space="preserve">Ante la </w:t>
      </w:r>
      <w:r>
        <w:rPr>
          <w:spacing w:val="-7"/>
          <w:sz w:val="18"/>
        </w:rPr>
        <w:t xml:space="preserve">SFP, </w:t>
      </w:r>
      <w:r>
        <w:rPr>
          <w:sz w:val="18"/>
        </w:rPr>
        <w:t xml:space="preserve">a través del Sistema Integral de Quejas y Denuncias Ciudadanas (SIDEC), disponible </w:t>
      </w:r>
      <w:r>
        <w:rPr>
          <w:spacing w:val="-6"/>
          <w:sz w:val="18"/>
        </w:rPr>
        <w:t xml:space="preserve">en </w:t>
      </w:r>
      <w:r>
        <w:rPr>
          <w:sz w:val="18"/>
        </w:rPr>
        <w:t>la página</w:t>
      </w:r>
      <w:r>
        <w:rPr>
          <w:spacing w:val="-1"/>
          <w:sz w:val="18"/>
        </w:rPr>
        <w:t xml:space="preserve"> </w:t>
      </w:r>
      <w:r>
        <w:rPr>
          <w:sz w:val="18"/>
          <w:u w:val="single"/>
        </w:rPr>
        <w:t>https://sidec.funcionpublica.gob.mx/</w:t>
      </w:r>
    </w:p>
    <w:p w:rsidR="00A63476" w:rsidRDefault="00D22874">
      <w:pPr>
        <w:pStyle w:val="Ttulo1"/>
        <w:numPr>
          <w:ilvl w:val="1"/>
          <w:numId w:val="34"/>
        </w:numPr>
        <w:tabs>
          <w:tab w:val="left" w:pos="1191"/>
        </w:tabs>
        <w:spacing w:before="101"/>
        <w:ind w:left="1190" w:hanging="391"/>
      </w:pPr>
      <w:r>
        <w:t>Solicitud de</w:t>
      </w:r>
      <w:r>
        <w:rPr>
          <w:spacing w:val="-2"/>
        </w:rPr>
        <w:t xml:space="preserve"> </w:t>
      </w:r>
      <w:r>
        <w:t>información</w:t>
      </w:r>
    </w:p>
    <w:p w:rsidR="00A63476" w:rsidRDefault="00D22874">
      <w:pPr>
        <w:pStyle w:val="Textoindependiente"/>
        <w:spacing w:before="113" w:line="254" w:lineRule="auto"/>
        <w:ind w:right="656"/>
        <w:jc w:val="left"/>
      </w:pPr>
      <w:r>
        <w:t>Las solicitudes de información, podrán realizarse ante el Área de Atención Ciudadana, por escrito y/o vía telefónica, a través de:</w:t>
      </w:r>
    </w:p>
    <w:p w:rsidR="00A63476" w:rsidRDefault="00D22874">
      <w:pPr>
        <w:pStyle w:val="Ttulo1"/>
        <w:ind w:left="800"/>
        <w:jc w:val="left"/>
      </w:pPr>
      <w:r>
        <w:t>CONAVI: Área de Atención Ciudadana</w:t>
      </w:r>
    </w:p>
    <w:p w:rsidR="00A63476" w:rsidRDefault="00D22874">
      <w:pPr>
        <w:pStyle w:val="Textoindependiente"/>
        <w:spacing w:before="113"/>
        <w:ind w:left="800" w:right="0" w:firstLine="0"/>
        <w:jc w:val="left"/>
      </w:pPr>
      <w:r>
        <w:t>Teléfonos: (0155) 91389991 opción 1</w:t>
      </w:r>
    </w:p>
    <w:p w:rsidR="00A63476" w:rsidRDefault="00D22874">
      <w:pPr>
        <w:pStyle w:val="Textoindependiente"/>
        <w:spacing w:before="113"/>
        <w:ind w:left="800" w:right="0" w:firstLine="0"/>
        <w:jc w:val="left"/>
      </w:pPr>
      <w:r>
        <w:t>Larga distancia sin costo: 01800 2880436</w:t>
      </w:r>
    </w:p>
    <w:p w:rsidR="00A63476" w:rsidRDefault="00D22874">
      <w:pPr>
        <w:pStyle w:val="Textoindependiente"/>
        <w:spacing w:before="113"/>
        <w:ind w:left="800" w:right="0" w:firstLine="0"/>
        <w:jc w:val="left"/>
      </w:pPr>
      <w:r>
        <w:t>Correo electr</w:t>
      </w:r>
      <w:r>
        <w:t xml:space="preserve">ónico: </w:t>
      </w:r>
      <w:hyperlink r:id="rId42">
        <w:r>
          <w:t>atenciónciudadana@conavi.gob.mx</w:t>
        </w:r>
      </w:hyperlink>
    </w:p>
    <w:p w:rsidR="00A63476" w:rsidRDefault="00D22874">
      <w:pPr>
        <w:pStyle w:val="Textoindependiente"/>
        <w:spacing w:before="113" w:line="254" w:lineRule="auto"/>
        <w:ind w:right="656"/>
        <w:jc w:val="left"/>
      </w:pPr>
      <w:r>
        <w:t>Domicilio: H. Escuela Naval Militar 669, edificio Independencia, tercer piso, colonia Presidentes Ejidales, delegación Coyoacán, C.P. 06600</w:t>
      </w:r>
    </w:p>
    <w:p w:rsidR="00A63476" w:rsidRDefault="00D22874">
      <w:pPr>
        <w:pStyle w:val="Ttulo1"/>
        <w:ind w:left="882" w:right="1002"/>
        <w:jc w:val="center"/>
        <w:rPr>
          <w:rFonts w:ascii="Times New Roman"/>
        </w:rPr>
      </w:pPr>
      <w:r>
        <w:rPr>
          <w:rFonts w:ascii="Times New Roman"/>
        </w:rPr>
        <w:t>TRANSITORIOS</w:t>
      </w:r>
    </w:p>
    <w:p w:rsidR="00A63476" w:rsidRDefault="00D22874">
      <w:pPr>
        <w:pStyle w:val="Textoindependiente"/>
        <w:spacing w:before="112" w:line="254" w:lineRule="auto"/>
      </w:pPr>
      <w:r>
        <w:rPr>
          <w:b/>
        </w:rPr>
        <w:t>Primer</w:t>
      </w:r>
      <w:r>
        <w:rPr>
          <w:b/>
        </w:rPr>
        <w:t xml:space="preserve">o.- </w:t>
      </w:r>
      <w:r>
        <w:t>Las presentes modificaciones a las Reglas de Operación entrarán en vigor a partir de su publicación en el Diario Oficial de la Federación y estarán vigentes hasta la publicación de nuevas Reglas de Operación que las sustituyan.</w:t>
      </w:r>
    </w:p>
    <w:p w:rsidR="00A63476" w:rsidRDefault="00D22874">
      <w:pPr>
        <w:pStyle w:val="Textoindependiente"/>
        <w:spacing w:before="102" w:line="254" w:lineRule="auto"/>
        <w:ind w:right="663"/>
      </w:pPr>
      <w:r>
        <w:rPr>
          <w:b/>
        </w:rPr>
        <w:t xml:space="preserve">Segundo.- </w:t>
      </w:r>
      <w:r>
        <w:t>Para los efect</w:t>
      </w:r>
      <w:r>
        <w:t>os de los Convenios de Adhesión celebrados, las presentes Reglas sustituyen en lo conducente a las publicadas en el Diario Oficial de la Federación el 7 de marzo de 2018.</w:t>
      </w:r>
    </w:p>
    <w:p w:rsidR="00A63476" w:rsidRDefault="00D22874">
      <w:pPr>
        <w:pStyle w:val="Textoindependiente"/>
        <w:spacing w:before="81" w:line="254" w:lineRule="auto"/>
        <w:ind w:right="663"/>
      </w:pPr>
      <w:r>
        <w:t>Ciudad de México, siendo el primer día del mes de marzo de 2019.- El Secretario de De</w:t>
      </w:r>
      <w:r>
        <w:t xml:space="preserve">sarrollo Agrario, Territorial y Urbano, </w:t>
      </w:r>
      <w:r>
        <w:rPr>
          <w:b/>
        </w:rPr>
        <w:t>Román Guillermo Meyer Falcón</w:t>
      </w:r>
      <w:r>
        <w:t>.- Rúbrica.</w:t>
      </w:r>
    </w:p>
    <w:p w:rsidR="00A63476" w:rsidRDefault="00A63476">
      <w:pPr>
        <w:spacing w:line="254" w:lineRule="auto"/>
        <w:sectPr w:rsidR="00A63476">
          <w:pgSz w:w="12240" w:h="15840"/>
          <w:pgMar w:top="920" w:right="1040" w:bottom="280" w:left="1180" w:header="700" w:footer="0" w:gutter="0"/>
          <w:cols w:space="720"/>
        </w:sectPr>
      </w:pPr>
    </w:p>
    <w:p w:rsidR="00A63476" w:rsidRDefault="00FF0FB3">
      <w:pPr>
        <w:pStyle w:val="Textoindependiente"/>
        <w:spacing w:line="20" w:lineRule="exact"/>
        <w:ind w:left="108" w:right="0" w:firstLine="0"/>
        <w:jc w:val="left"/>
        <w:rPr>
          <w:sz w:val="2"/>
        </w:rPr>
      </w:pPr>
      <w:r>
        <w:rPr>
          <w:noProof/>
          <w:sz w:val="2"/>
        </w:rPr>
        <w:lastRenderedPageBreak/>
        <mc:AlternateContent>
          <mc:Choice Requires="wpg">
            <w:drawing>
              <wp:inline distT="0" distB="0" distL="0" distR="0">
                <wp:extent cx="6217920" cy="9525"/>
                <wp:effectExtent l="8255" t="6985" r="12700" b="2540"/>
                <wp:docPr id="66" name="Group 43"/>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6217920" cy="9525"/>
                          <a:chOff x="0" y="0"/>
                          <a:chExt cx="9792" cy="15"/>
                        </a:xfrm>
                      </wpg:grpSpPr>
                      <wps:wsp>
                        <wps:cNvPr id="67" name="Line 44"/>
                        <wps:cNvCnPr>
                          <a:cxnSpLocks noChangeShapeType="1"/>
                        </wps:cNvCnPr>
                        <wps:spPr bwMode="auto">
                          <a:xfrm>
                            <a:off x="0" y="7"/>
                            <a:ext cx="9792" cy="0"/>
                          </a:xfrm>
                          <a:prstGeom prst="line">
                            <a:avLst/>
                          </a:prstGeom>
                          <a:noFill/>
                          <a:ln w="9525">
                            <a:solidFill>
                              <a:srgbClr val="000000"/>
                            </a:solidFill>
                            <a:prstDash val="solid"/>
                            <a:round/>
                            <a:headEnd/>
                            <a:tailEnd/>
                          </a:ln>
                          <a:extLst>
                            <a:ext uri="{909E8E84-426E-40DD-AFC4-6F175D3DCCD1}">
                              <a14:hiddenFill xmlns:a14="http://schemas.microsoft.com/office/drawing/2010/main">
                                <a:noFill/>
                              </a14:hiddenFill>
                            </a:ext>
                          </a:extLst>
                        </wps:spPr>
                        <wps:bodyPr/>
                      </wps:wsp>
                    </wpg:wgp>
                  </a:graphicData>
                </a:graphic>
              </wp:inline>
            </w:drawing>
          </mc:Choice>
          <mc:Fallback>
            <w:pict>
              <v:group w14:anchorId="05F659FD" id="Group 43" o:spid="_x0000_s1026" style="width:489.6pt;height:.75pt;mso-position-horizontal-relative:char;mso-position-vertical-relative:line" coordsize="9792,1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">
                <v:line id="Line 44" o:spid="_x0000_s1027" style="position:absolute;visibility:visible;mso-wrap-style:square" from="0,7" to="9792,7"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"/>
                <w10:anchorlock/>
              </v:group>
            </w:pict>
          </mc:Fallback>
        </mc:AlternateContent>
      </w:r>
    </w:p>
    <w:p w:rsidR="00A63476" w:rsidRDefault="00A63476">
      <w:pPr>
        <w:pStyle w:val="Textoindependiente"/>
        <w:ind w:left="0" w:right="0" w:firstLine="0"/>
        <w:jc w:val="left"/>
        <w:rPr>
          <w:sz w:val="20"/>
        </w:rPr>
      </w:pPr>
    </w:p>
    <w:p w:rsidR="00A63476" w:rsidRDefault="00A63476">
      <w:pPr>
        <w:pStyle w:val="Textoindependiente"/>
        <w:ind w:left="0" w:right="0" w:firstLine="0"/>
        <w:jc w:val="left"/>
        <w:rPr>
          <w:sz w:val="20"/>
        </w:rPr>
      </w:pPr>
    </w:p>
    <w:p w:rsidR="00A63476" w:rsidRDefault="00D22874">
      <w:pPr>
        <w:pStyle w:val="Textoindependiente"/>
        <w:spacing w:before="11"/>
        <w:ind w:left="0" w:right="0" w:firstLine="0"/>
        <w:jc w:val="left"/>
        <w:rPr>
          <w:sz w:val="27"/>
        </w:rPr>
      </w:pPr>
      <w:r>
        <w:rPr>
          <w:noProof/>
        </w:rPr>
        <w:drawing>
          <wp:anchor distT="0" distB="0" distL="0" distR="0" simplePos="0" relativeHeight="23" behindDoc="0" locked="0" layoutInCell="1" allowOverlap="1">
            <wp:simplePos x="0" y="0"/>
            <wp:positionH relativeFrom="page">
              <wp:posOffset>825500</wp:posOffset>
            </wp:positionH>
            <wp:positionV relativeFrom="paragraph">
              <wp:posOffset>229137</wp:posOffset>
            </wp:positionV>
            <wp:extent cx="6087432" cy="4677156"/>
            <wp:effectExtent l="0" t="0" r="0" b="0"/>
            <wp:wrapTopAndBottom/>
            <wp:docPr id="1" name="image1.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image1.jpeg"/>
                    <pic:cNvPicPr/>
                  </pic:nvPicPr>
                  <pic:blipFill>
                    <a:blip r:embed="rId43" cstate="print"/>
                    <a:stretch>
                      <a:fillRect/>
                    </a:stretch>
                  </pic:blipFill>
                  <pic:spPr>
                    <a:xfrm>
                      <a:off x="0" y="0"/>
                      <a:ext cx="6087432" cy="4677156"/>
                    </a:xfrm>
                    <a:prstGeom prst="rect">
                      <a:avLst/>
                    </a:prstGeom>
                  </pic:spPr>
                </pic:pic>
              </a:graphicData>
            </a:graphic>
          </wp:anchor>
        </w:drawing>
      </w:r>
    </w:p>
    <w:p w:rsidR="00A63476" w:rsidRDefault="00A63476">
      <w:pPr>
        <w:rPr>
          <w:sz w:val="27"/>
        </w:rPr>
        <w:sectPr w:rsidR="00A63476">
          <w:headerReference w:type="even" r:id="rId44"/>
          <w:headerReference w:type="default" r:id="rId45"/>
          <w:pgSz w:w="12240" w:h="15840"/>
          <w:pgMar w:top="880" w:right="1040" w:bottom="280" w:left="1180" w:header="699" w:footer="0" w:gutter="0"/>
          <w:cols w:space="720"/>
        </w:sectPr>
      </w:pPr>
    </w:p>
    <w:p w:rsidR="00A63476" w:rsidRDefault="00FF0FB3">
      <w:pPr>
        <w:pStyle w:val="Textoindependiente"/>
        <w:spacing w:line="20" w:lineRule="exact"/>
        <w:ind w:left="108" w:right="0" w:firstLine="0"/>
        <w:jc w:val="left"/>
        <w:rPr>
          <w:sz w:val="2"/>
        </w:rPr>
      </w:pPr>
      <w:r>
        <w:rPr>
          <w:noProof/>
          <w:sz w:val="2"/>
        </w:rPr>
        <w:lastRenderedPageBreak/>
        <mc:AlternateContent>
          <mc:Choice Requires="wpg">
            <w:drawing>
              <wp:inline distT="0" distB="0" distL="0" distR="0">
                <wp:extent cx="6217920" cy="9525"/>
                <wp:effectExtent l="8255" t="6985" r="12700" b="2540"/>
                <wp:docPr id="64" name="Group 41"/>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6217920" cy="9525"/>
                          <a:chOff x="0" y="0"/>
                          <a:chExt cx="9792" cy="15"/>
                        </a:xfrm>
                      </wpg:grpSpPr>
                      <wps:wsp>
                        <wps:cNvPr id="65" name="Line 42"/>
                        <wps:cNvCnPr>
                          <a:cxnSpLocks noChangeShapeType="1"/>
                        </wps:cNvCnPr>
                        <wps:spPr bwMode="auto">
                          <a:xfrm>
                            <a:off x="0" y="7"/>
                            <a:ext cx="9792" cy="0"/>
                          </a:xfrm>
                          <a:prstGeom prst="line">
                            <a:avLst/>
                          </a:prstGeom>
                          <a:noFill/>
                          <a:ln w="9525">
                            <a:solidFill>
                              <a:srgbClr val="000000"/>
                            </a:solidFill>
                            <a:prstDash val="solid"/>
                            <a:round/>
                            <a:headEnd/>
                            <a:tailEnd/>
                          </a:ln>
                          <a:extLst>
                            <a:ext uri="{909E8E84-426E-40DD-AFC4-6F175D3DCCD1}">
                              <a14:hiddenFill xmlns:a14="http://schemas.microsoft.com/office/drawing/2010/main">
                                <a:noFill/>
                              </a14:hiddenFill>
                            </a:ext>
                          </a:extLst>
                        </wps:spPr>
                        <wps:bodyPr/>
                      </wps:wsp>
                    </wpg:wgp>
                  </a:graphicData>
                </a:graphic>
              </wp:inline>
            </w:drawing>
          </mc:Choice>
          <mc:Fallback>
            <w:pict>
              <v:group w14:anchorId="5A37050B" id="Group 41" o:spid="_x0000_s1026" style="width:489.6pt;height:.75pt;mso-position-horizontal-relative:char;mso-position-vertical-relative:line" coordsize="9792,1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">
                <v:line id="Line 42" o:spid="_x0000_s1027" style="position:absolute;visibility:visible;mso-wrap-style:square" from="0,7" to="9792,7"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"/>
                <w10:anchorlock/>
              </v:group>
            </w:pict>
          </mc:Fallback>
        </mc:AlternateContent>
      </w:r>
    </w:p>
    <w:p w:rsidR="00A63476" w:rsidRDefault="00D22874">
      <w:pPr>
        <w:pStyle w:val="Textoindependiente"/>
        <w:spacing w:before="10"/>
        <w:ind w:left="0" w:right="0" w:firstLine="0"/>
        <w:jc w:val="left"/>
        <w:rPr>
          <w:sz w:val="20"/>
        </w:rPr>
      </w:pPr>
      <w:r>
        <w:rPr>
          <w:noProof/>
        </w:rPr>
        <w:drawing>
          <wp:anchor distT="0" distB="0" distL="0" distR="0" simplePos="0" relativeHeight="25" behindDoc="0" locked="0" layoutInCell="1" allowOverlap="1">
            <wp:simplePos x="0" y="0"/>
            <wp:positionH relativeFrom="page">
              <wp:posOffset>866250</wp:posOffset>
            </wp:positionH>
            <wp:positionV relativeFrom="paragraph">
              <wp:posOffset>177582</wp:posOffset>
            </wp:positionV>
            <wp:extent cx="6009633" cy="4614862"/>
            <wp:effectExtent l="0" t="0" r="0" b="0"/>
            <wp:wrapTopAndBottom/>
            <wp:docPr id="3" name="image2.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image2.jpeg"/>
                    <pic:cNvPicPr/>
                  </pic:nvPicPr>
                  <pic:blipFill>
                    <a:blip r:embed="rId46" cstate="print"/>
                    <a:stretch>
                      <a:fillRect/>
                    </a:stretch>
                  </pic:blipFill>
                  <pic:spPr>
                    <a:xfrm>
                      <a:off x="0" y="0"/>
                      <a:ext cx="6009633" cy="4614862"/>
                    </a:xfrm>
                    <a:prstGeom prst="rect">
                      <a:avLst/>
                    </a:prstGeom>
                  </pic:spPr>
                </pic:pic>
              </a:graphicData>
            </a:graphic>
          </wp:anchor>
        </w:drawing>
      </w:r>
    </w:p>
    <w:p w:rsidR="00A63476" w:rsidRDefault="00A63476">
      <w:pPr>
        <w:rPr>
          <w:sz w:val="20"/>
        </w:rPr>
        <w:sectPr w:rsidR="00A63476">
          <w:pgSz w:w="12240" w:h="15840"/>
          <w:pgMar w:top="880" w:right="1040" w:bottom="280" w:left="1180" w:header="699" w:footer="0" w:gutter="0"/>
          <w:cols w:space="720"/>
        </w:sectPr>
      </w:pPr>
    </w:p>
    <w:p w:rsidR="00A63476" w:rsidRDefault="00FF0FB3">
      <w:pPr>
        <w:pStyle w:val="Textoindependiente"/>
        <w:spacing w:line="20" w:lineRule="exact"/>
        <w:ind w:left="108" w:right="0" w:firstLine="0"/>
        <w:jc w:val="left"/>
        <w:rPr>
          <w:sz w:val="2"/>
        </w:rPr>
      </w:pPr>
      <w:r>
        <w:rPr>
          <w:noProof/>
          <w:sz w:val="2"/>
        </w:rPr>
        <w:lastRenderedPageBreak/>
        <mc:AlternateContent>
          <mc:Choice Requires="wpg">
            <w:drawing>
              <wp:inline distT="0" distB="0" distL="0" distR="0">
                <wp:extent cx="6217920" cy="9525"/>
                <wp:effectExtent l="8255" t="6985" r="12700" b="2540"/>
                <wp:docPr id="62" name="Group 39"/>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6217920" cy="9525"/>
                          <a:chOff x="0" y="0"/>
                          <a:chExt cx="9792" cy="15"/>
                        </a:xfrm>
                      </wpg:grpSpPr>
                      <wps:wsp>
                        <wps:cNvPr id="63" name="Line 40"/>
                        <wps:cNvCnPr>
                          <a:cxnSpLocks noChangeShapeType="1"/>
                        </wps:cNvCnPr>
                        <wps:spPr bwMode="auto">
                          <a:xfrm>
                            <a:off x="0" y="7"/>
                            <a:ext cx="9792" cy="0"/>
                          </a:xfrm>
                          <a:prstGeom prst="line">
                            <a:avLst/>
                          </a:prstGeom>
                          <a:noFill/>
                          <a:ln w="9525">
                            <a:solidFill>
                              <a:srgbClr val="000000"/>
                            </a:solidFill>
                            <a:prstDash val="solid"/>
                            <a:round/>
                            <a:headEnd/>
                            <a:tailEnd/>
                          </a:ln>
                          <a:extLst>
                            <a:ext uri="{909E8E84-426E-40DD-AFC4-6F175D3DCCD1}">
                              <a14:hiddenFill xmlns:a14="http://schemas.microsoft.com/office/drawing/2010/main">
                                <a:noFill/>
                              </a14:hiddenFill>
                            </a:ext>
                          </a:extLst>
                        </wps:spPr>
                        <wps:bodyPr/>
                      </wps:wsp>
                    </wpg:wgp>
                  </a:graphicData>
                </a:graphic>
              </wp:inline>
            </w:drawing>
          </mc:Choice>
          <mc:Fallback>
            <w:pict>
              <v:group w14:anchorId="1C889206" id="Group 39" o:spid="_x0000_s1026" style="width:489.6pt;height:.75pt;mso-position-horizontal-relative:char;mso-position-vertical-relative:line" coordsize="9792,1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">
                <v:line id="Line 40" o:spid="_x0000_s1027" style="position:absolute;visibility:visible;mso-wrap-style:square" from="0,7" to="9792,7"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"/>
                <w10:anchorlock/>
              </v:group>
            </w:pict>
          </mc:Fallback>
        </mc:AlternateContent>
      </w:r>
    </w:p>
    <w:p w:rsidR="00A63476" w:rsidRDefault="00D22874">
      <w:pPr>
        <w:pStyle w:val="Textoindependiente"/>
        <w:spacing w:before="6"/>
        <w:ind w:left="0" w:right="0" w:firstLine="0"/>
        <w:jc w:val="left"/>
        <w:rPr>
          <w:sz w:val="17"/>
        </w:rPr>
      </w:pPr>
      <w:r>
        <w:rPr>
          <w:noProof/>
        </w:rPr>
        <w:drawing>
          <wp:anchor distT="0" distB="0" distL="0" distR="0" simplePos="0" relativeHeight="27" behindDoc="0" locked="0" layoutInCell="1" allowOverlap="1">
            <wp:simplePos x="0" y="0"/>
            <wp:positionH relativeFrom="page">
              <wp:posOffset>825500</wp:posOffset>
            </wp:positionH>
            <wp:positionV relativeFrom="paragraph">
              <wp:posOffset>153075</wp:posOffset>
            </wp:positionV>
            <wp:extent cx="6144850" cy="3098292"/>
            <wp:effectExtent l="0" t="0" r="0" b="0"/>
            <wp:wrapTopAndBottom/>
            <wp:docPr id="5" name="image3.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image3.jpeg"/>
                    <pic:cNvPicPr/>
                  </pic:nvPicPr>
                  <pic:blipFill>
                    <a:blip r:embed="rId47" cstate="print"/>
                    <a:stretch>
                      <a:fillRect/>
                    </a:stretch>
                  </pic:blipFill>
                  <pic:spPr>
                    <a:xfrm>
                      <a:off x="0" y="0"/>
                      <a:ext cx="6144850" cy="3098292"/>
                    </a:xfrm>
                    <a:prstGeom prst="rect">
                      <a:avLst/>
                    </a:prstGeom>
                  </pic:spPr>
                </pic:pic>
              </a:graphicData>
            </a:graphic>
          </wp:anchor>
        </w:drawing>
      </w:r>
    </w:p>
    <w:p w:rsidR="00A63476" w:rsidRDefault="00A63476">
      <w:pPr>
        <w:rPr>
          <w:sz w:val="17"/>
        </w:rPr>
        <w:sectPr w:rsidR="00A63476">
          <w:pgSz w:w="12240" w:h="15840"/>
          <w:pgMar w:top="880" w:right="1040" w:bottom="280" w:left="1180" w:header="699" w:footer="0" w:gutter="0"/>
          <w:cols w:space="720"/>
        </w:sectPr>
      </w:pPr>
    </w:p>
    <w:p w:rsidR="00A63476" w:rsidRDefault="00FF0FB3">
      <w:pPr>
        <w:pStyle w:val="Textoindependiente"/>
        <w:spacing w:line="20" w:lineRule="exact"/>
        <w:ind w:left="396" w:right="0" w:firstLine="0"/>
        <w:jc w:val="left"/>
        <w:rPr>
          <w:sz w:val="2"/>
        </w:rPr>
      </w:pPr>
      <w:r>
        <w:rPr>
          <w:noProof/>
          <w:sz w:val="2"/>
        </w:rPr>
        <w:lastRenderedPageBreak/>
        <mc:AlternateContent>
          <mc:Choice Requires="wpg">
            <w:drawing>
              <wp:inline distT="0" distB="0" distL="0" distR="0">
                <wp:extent cx="5852160" cy="9525"/>
                <wp:effectExtent l="10160" t="6985" r="5080" b="2540"/>
                <wp:docPr id="60" name="Group 37"/>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5852160" cy="9525"/>
                          <a:chOff x="0" y="0"/>
                          <a:chExt cx="9216" cy="15"/>
                        </a:xfrm>
                      </wpg:grpSpPr>
                      <wps:wsp>
                        <wps:cNvPr id="61" name="Line 38"/>
                        <wps:cNvCnPr>
                          <a:cxnSpLocks noChangeShapeType="1"/>
                        </wps:cNvCnPr>
                        <wps:spPr bwMode="auto">
                          <a:xfrm>
                            <a:off x="0" y="7"/>
                            <a:ext cx="9216" cy="0"/>
                          </a:xfrm>
                          <a:prstGeom prst="line">
                            <a:avLst/>
                          </a:prstGeom>
                          <a:noFill/>
                          <a:ln w="9525">
                            <a:solidFill>
                              <a:srgbClr val="000000"/>
                            </a:solidFill>
                            <a:prstDash val="solid"/>
                            <a:round/>
                            <a:headEnd/>
                            <a:tailEnd/>
                          </a:ln>
                          <a:extLst>
                            <a:ext uri="{909E8E84-426E-40DD-AFC4-6F175D3DCCD1}">
                              <a14:hiddenFill xmlns:a14="http://schemas.microsoft.com/office/drawing/2010/main">
                                <a:noFill/>
                              </a14:hiddenFill>
                            </a:ext>
                          </a:extLst>
                        </wps:spPr>
                        <wps:bodyPr/>
                      </wps:wsp>
                    </wpg:wgp>
                  </a:graphicData>
                </a:graphic>
              </wp:inline>
            </w:drawing>
          </mc:Choice>
          <mc:Fallback>
            <w:pict>
              <v:group w14:anchorId="704D250C" id="Group 37" o:spid="_x0000_s1026" style="width:460.8pt;height:.75pt;mso-position-horizontal-relative:char;mso-position-vertical-relative:line" coordsize="9216,1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">
                <v:line id="Line 38" o:spid="_x0000_s1027" style="position:absolute;visibility:visible;mso-wrap-style:square" from="0,7" to="9216,7"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"/>
                <w10:anchorlock/>
              </v:group>
            </w:pict>
          </mc:Fallback>
        </mc:AlternateContent>
      </w:r>
    </w:p>
    <w:p w:rsidR="00A63476" w:rsidRDefault="00A63476">
      <w:pPr>
        <w:pStyle w:val="Textoindependiente"/>
        <w:ind w:left="0" w:right="0" w:firstLine="0"/>
        <w:jc w:val="left"/>
        <w:rPr>
          <w:sz w:val="12"/>
        </w:rPr>
      </w:pPr>
    </w:p>
    <w:p w:rsidR="00A63476" w:rsidRDefault="00D22874">
      <w:pPr>
        <w:pStyle w:val="Ttulo1"/>
        <w:spacing w:before="94" w:line="254" w:lineRule="auto"/>
        <w:ind w:left="3060" w:right="859" w:hanging="2240"/>
        <w:jc w:val="left"/>
      </w:pPr>
      <w:r>
        <w:t>ANEXO 2: CRITERIOS PARA LA EVALUACIÓN DE LAS INTERVENCIONES DEL PROGRAMA Y LA DIFERENCIACIÓN DEL SUBSIDIO FEDERAL</w:t>
      </w:r>
    </w:p>
    <w:p w:rsidR="00A63476" w:rsidRDefault="00D22874">
      <w:pPr>
        <w:pStyle w:val="Textoindependiente"/>
        <w:spacing w:before="121" w:line="290" w:lineRule="auto"/>
      </w:pPr>
      <w:r>
        <w:t>La calidad de la vivienda está respaldada por los instrumentos de planeación, normativos y reglamentarios que autorizan la edificación de la v</w:t>
      </w:r>
      <w:r>
        <w:t>ivienda, mismos que son competencia de la autoridad municipal correspondiente, conforme lo establece el artículo 11 fracciones I, II, III y artículo 46 de la Ley General de Asentamientos Humanos, Ordenamiento Territorial y Desarrollo Urbano. En este sentid</w:t>
      </w:r>
      <w:r>
        <w:t>o, se considera que la Licencia de Construcción ampara que la vivienda:</w:t>
      </w:r>
    </w:p>
    <w:p w:rsidR="00A63476" w:rsidRDefault="00D22874">
      <w:pPr>
        <w:pStyle w:val="Prrafodelista"/>
        <w:numPr>
          <w:ilvl w:val="0"/>
          <w:numId w:val="27"/>
        </w:numPr>
        <w:tabs>
          <w:tab w:val="left" w:pos="1520"/>
        </w:tabs>
        <w:spacing w:before="76"/>
        <w:rPr>
          <w:sz w:val="18"/>
        </w:rPr>
      </w:pPr>
      <w:r>
        <w:rPr>
          <w:sz w:val="18"/>
        </w:rPr>
        <w:t>Se ubica dentro de las áreas autorizadas con uso habitacional en los planes de desarrollo urbano</w:t>
      </w:r>
    </w:p>
    <w:p w:rsidR="00A63476" w:rsidRDefault="00D22874">
      <w:pPr>
        <w:pStyle w:val="Prrafodelista"/>
        <w:numPr>
          <w:ilvl w:val="0"/>
          <w:numId w:val="27"/>
        </w:numPr>
        <w:tabs>
          <w:tab w:val="left" w:pos="1520"/>
        </w:tabs>
        <w:rPr>
          <w:sz w:val="18"/>
        </w:rPr>
      </w:pPr>
      <w:r>
        <w:rPr>
          <w:sz w:val="18"/>
        </w:rPr>
        <w:t>No se ubica en zonas de riesgo</w:t>
      </w:r>
    </w:p>
    <w:p w:rsidR="00A63476" w:rsidRDefault="00D22874">
      <w:pPr>
        <w:pStyle w:val="Textoindependiente"/>
        <w:spacing w:before="153" w:line="290" w:lineRule="auto"/>
        <w:ind w:right="651"/>
      </w:pPr>
      <w:r>
        <w:t>La medición y las características de la línea base y de las fichas de puntaje se realizará conforme a la normatividad aplicable y estarán alineadas con las medidas correspondientes a programas del IINFONAVIT como pueden ser Hipoteca Verde, Mejora Tu Casa u</w:t>
      </w:r>
      <w:r>
        <w:t xml:space="preserve"> Hogar Digital; de programas de SHF como pueden ser Ecocasa, Laif, NAMA Facility; y de Vivienda Sustentable conforme al programa NAMA de Vivienda Sustentable, en aras de la homologación de criterios, para lo cual, en caso de requerirse, se actualizarán y p</w:t>
      </w:r>
      <w:r>
        <w:t>ublicarán en la “Guía de aplicación del Anexo de puntaje de las Reglas de Operación para desarrolladores y verificadores”.</w:t>
      </w:r>
    </w:p>
    <w:p w:rsidR="00A63476" w:rsidRDefault="00D22874">
      <w:pPr>
        <w:pStyle w:val="Textoindependiente"/>
        <w:spacing w:before="87" w:line="290" w:lineRule="auto"/>
      </w:pPr>
      <w:r>
        <w:t>Estos requisitos son de aplicación general para ser elegible para el otorgamiento de Subsidio Federal en la modalidad de vivienda nue</w:t>
      </w:r>
      <w:r>
        <w:t>va. El monto de subsidio no financia la incorporación de estos elementos y no limita su financiamiento por medio de otros mecanismos financieros de Organismos Nacionales de Vivienda.</w:t>
      </w:r>
    </w:p>
    <w:p w:rsidR="00A63476" w:rsidRDefault="00D22874">
      <w:pPr>
        <w:pStyle w:val="Textoindependiente"/>
        <w:spacing w:before="108" w:line="290" w:lineRule="auto"/>
      </w:pPr>
      <w:r>
        <w:t xml:space="preserve">Los parámetros de las siguientes fichas serán explicados en el Manual de </w:t>
      </w:r>
      <w:r>
        <w:t xml:space="preserve">Operación o “Guía de Aplicación del Anexo de puntaje de las Reglas de Operación para desarrolladores y verificadores” que se publicará en la página: </w:t>
      </w:r>
      <w:hyperlink r:id="rId48">
        <w:r>
          <w:t>http://conavi.gob.mx/subsidios-conavi</w:t>
        </w:r>
      </w:hyperlink>
    </w:p>
    <w:p w:rsidR="00A63476" w:rsidRDefault="00A63476">
      <w:pPr>
        <w:pStyle w:val="Textoindependiente"/>
        <w:spacing w:before="8"/>
        <w:ind w:left="0" w:right="0" w:firstLine="0"/>
        <w:jc w:val="left"/>
        <w:rPr>
          <w:sz w:val="7"/>
        </w:rPr>
      </w:pPr>
    </w:p>
    <w:tbl>
      <w:tblPr>
        <w:tblStyle w:val="TableNormal"/>
        <w:tblW w:w="0" w:type="auto"/>
        <w:tblInd w:w="678" w:type="dxa"/>
        <w:tblBorders>
          <w:top w:val="single" w:sz="6" w:space="0" w:color="404040"/>
          <w:left w:val="single" w:sz="6" w:space="0" w:color="404040"/>
          <w:bottom w:val="single" w:sz="6" w:space="0" w:color="404040"/>
          <w:right w:val="single" w:sz="6" w:space="0" w:color="404040"/>
          <w:insideH w:val="single" w:sz="6" w:space="0" w:color="404040"/>
          <w:insideV w:val="single" w:sz="6" w:space="0" w:color="404040"/>
        </w:tblBorders>
        <w:tblLayout w:type="fixed"/>
        <w:tblLook w:val="01E0" w:firstRow="1" w:lastRow="1" w:firstColumn="1" w:lastColumn="1" w:noHBand="0" w:noVBand="0"/>
      </w:tblPr>
      <w:tblGrid>
        <w:gridCol w:w="8683"/>
      </w:tblGrid>
      <w:tr w:rsidR="00A63476">
        <w:trPr>
          <w:trHeight w:val="643"/>
        </w:trPr>
        <w:tc>
          <w:tcPr>
            <w:tcW w:w="8683" w:type="dxa"/>
            <w:shd w:val="clear" w:color="auto" w:fill="DFDFDF"/>
          </w:tcPr>
          <w:p w:rsidR="00A63476" w:rsidRDefault="00D22874">
            <w:pPr>
              <w:pStyle w:val="TableParagraph"/>
              <w:spacing w:before="48" w:line="260" w:lineRule="atLeast"/>
              <w:ind w:left="3669" w:right="365" w:hanging="3200"/>
              <w:rPr>
                <w:b/>
                <w:sz w:val="16"/>
              </w:rPr>
            </w:pPr>
            <w:r>
              <w:rPr>
                <w:b/>
                <w:sz w:val="16"/>
              </w:rPr>
              <w:t>A.- FICHA D</w:t>
            </w:r>
            <w:r>
              <w:rPr>
                <w:b/>
                <w:sz w:val="16"/>
              </w:rPr>
              <w:t>E PUNTAJE DE UBICACIÓN Y SUSTENTABILIDAD DEL ENTORNO PARA ADQUISICIÓN DE VIVIENDA NUEVA</w:t>
            </w:r>
          </w:p>
        </w:tc>
      </w:tr>
      <w:tr w:rsidR="00A63476">
        <w:trPr>
          <w:trHeight w:val="4302"/>
        </w:trPr>
        <w:tc>
          <w:tcPr>
            <w:tcW w:w="8683" w:type="dxa"/>
          </w:tcPr>
          <w:p w:rsidR="00A63476" w:rsidRDefault="00D22874">
            <w:pPr>
              <w:pStyle w:val="TableParagraph"/>
              <w:spacing w:before="125"/>
              <w:ind w:left="89"/>
              <w:rPr>
                <w:sz w:val="16"/>
              </w:rPr>
            </w:pPr>
            <w:r>
              <w:rPr>
                <w:b/>
                <w:sz w:val="16"/>
              </w:rPr>
              <w:t xml:space="preserve">PRERREQUISITOS </w:t>
            </w:r>
            <w:r>
              <w:rPr>
                <w:sz w:val="16"/>
              </w:rPr>
              <w:t>(obligatorios para el otorgamiento del Subsidio Federal):</w:t>
            </w:r>
          </w:p>
          <w:p w:rsidR="00A63476" w:rsidRDefault="00A63476">
            <w:pPr>
              <w:pStyle w:val="TableParagraph"/>
              <w:spacing w:before="3"/>
              <w:rPr>
                <w:sz w:val="15"/>
              </w:rPr>
            </w:pPr>
          </w:p>
          <w:p w:rsidR="00A63476" w:rsidRDefault="00D22874">
            <w:pPr>
              <w:pStyle w:val="TableParagraph"/>
              <w:ind w:left="89"/>
              <w:rPr>
                <w:b/>
                <w:sz w:val="16"/>
              </w:rPr>
            </w:pPr>
            <w:r>
              <w:rPr>
                <w:b/>
                <w:sz w:val="16"/>
              </w:rPr>
              <w:t>Uso y aprovechamiento eficiente de la energía (Línea Base):</w:t>
            </w:r>
          </w:p>
          <w:p w:rsidR="00A63476" w:rsidRDefault="00D22874">
            <w:pPr>
              <w:pStyle w:val="TableParagraph"/>
              <w:numPr>
                <w:ilvl w:val="0"/>
                <w:numId w:val="26"/>
              </w:numPr>
              <w:tabs>
                <w:tab w:val="left" w:pos="449"/>
                <w:tab w:val="left" w:pos="450"/>
              </w:tabs>
              <w:spacing w:before="125" w:line="333" w:lineRule="auto"/>
              <w:ind w:right="67"/>
              <w:rPr>
                <w:sz w:val="16"/>
              </w:rPr>
            </w:pPr>
            <w:r>
              <w:rPr>
                <w:sz w:val="16"/>
              </w:rPr>
              <w:t>Lámparas fluorescentes compactas autobalastradas (focos ahorradores) que cumpla con normatividad vigente y mínimo de 20 watts en interiores y 13 watts en exteriores. Obligatorio para todos los</w:t>
            </w:r>
            <w:r>
              <w:rPr>
                <w:spacing w:val="-2"/>
                <w:sz w:val="16"/>
              </w:rPr>
              <w:t xml:space="preserve"> </w:t>
            </w:r>
            <w:r>
              <w:rPr>
                <w:sz w:val="16"/>
              </w:rPr>
              <w:t>bio</w:t>
            </w:r>
            <w:r>
              <w:rPr>
                <w:sz w:val="16"/>
              </w:rPr>
              <w:t>climas.</w:t>
            </w:r>
          </w:p>
          <w:p w:rsidR="00A63476" w:rsidRDefault="00D22874">
            <w:pPr>
              <w:pStyle w:val="TableParagraph"/>
              <w:numPr>
                <w:ilvl w:val="0"/>
                <w:numId w:val="26"/>
              </w:numPr>
              <w:tabs>
                <w:tab w:val="left" w:pos="449"/>
                <w:tab w:val="left" w:pos="450"/>
              </w:tabs>
              <w:spacing w:before="54"/>
              <w:ind w:hanging="361"/>
              <w:rPr>
                <w:sz w:val="16"/>
              </w:rPr>
            </w:pPr>
            <w:r>
              <w:rPr>
                <w:sz w:val="16"/>
              </w:rPr>
              <w:t>Calentador de gas de paso de rápida recuperación que cumpla con la normatividad vigente.</w:t>
            </w:r>
          </w:p>
          <w:p w:rsidR="00A63476" w:rsidRDefault="00D22874">
            <w:pPr>
              <w:pStyle w:val="TableParagraph"/>
              <w:numPr>
                <w:ilvl w:val="0"/>
                <w:numId w:val="26"/>
              </w:numPr>
              <w:tabs>
                <w:tab w:val="left" w:pos="449"/>
                <w:tab w:val="left" w:pos="450"/>
              </w:tabs>
              <w:spacing w:before="145"/>
              <w:ind w:hanging="361"/>
              <w:rPr>
                <w:sz w:val="16"/>
              </w:rPr>
            </w:pPr>
            <w:r>
              <w:rPr>
                <w:sz w:val="16"/>
              </w:rPr>
              <w:t>Aislamiento térmico en el techo que cumpla con valor mínimo “R” de la</w:t>
            </w:r>
            <w:r>
              <w:rPr>
                <w:spacing w:val="-1"/>
                <w:sz w:val="16"/>
              </w:rPr>
              <w:t xml:space="preserve"> </w:t>
            </w:r>
            <w:r>
              <w:rPr>
                <w:sz w:val="16"/>
              </w:rPr>
              <w:t>NMX-C-460-ONNCCE-2009.</w:t>
            </w:r>
          </w:p>
          <w:p w:rsidR="00A63476" w:rsidRDefault="00D22874">
            <w:pPr>
              <w:pStyle w:val="TableParagraph"/>
              <w:spacing w:before="156"/>
              <w:ind w:left="89"/>
              <w:rPr>
                <w:b/>
                <w:sz w:val="16"/>
              </w:rPr>
            </w:pPr>
            <w:r>
              <w:rPr>
                <w:b/>
                <w:sz w:val="16"/>
              </w:rPr>
              <w:t>Reducción en el consumo de agua potable (Línea base):</w:t>
            </w:r>
          </w:p>
          <w:p w:rsidR="00A63476" w:rsidRDefault="00D22874">
            <w:pPr>
              <w:pStyle w:val="TableParagraph"/>
              <w:numPr>
                <w:ilvl w:val="0"/>
                <w:numId w:val="26"/>
              </w:numPr>
              <w:tabs>
                <w:tab w:val="left" w:pos="449"/>
                <w:tab w:val="left" w:pos="450"/>
              </w:tabs>
              <w:spacing w:before="145"/>
              <w:ind w:hanging="361"/>
              <w:rPr>
                <w:sz w:val="16"/>
              </w:rPr>
            </w:pPr>
            <w:r>
              <w:rPr>
                <w:sz w:val="16"/>
              </w:rPr>
              <w:t>Inodoros instalados que aseguren el funcionamiento con descarga máxima de 5</w:t>
            </w:r>
            <w:r>
              <w:rPr>
                <w:spacing w:val="-1"/>
                <w:sz w:val="16"/>
              </w:rPr>
              <w:t xml:space="preserve"> </w:t>
            </w:r>
            <w:r>
              <w:rPr>
                <w:sz w:val="16"/>
              </w:rPr>
              <w:t>Litros.</w:t>
            </w:r>
          </w:p>
          <w:p w:rsidR="00A63476" w:rsidRDefault="00D22874">
            <w:pPr>
              <w:pStyle w:val="TableParagraph"/>
              <w:numPr>
                <w:ilvl w:val="0"/>
                <w:numId w:val="26"/>
              </w:numPr>
              <w:tabs>
                <w:tab w:val="left" w:pos="449"/>
                <w:tab w:val="left" w:pos="450"/>
              </w:tabs>
              <w:spacing w:before="145"/>
              <w:ind w:hanging="361"/>
              <w:rPr>
                <w:sz w:val="16"/>
              </w:rPr>
            </w:pPr>
            <w:r>
              <w:rPr>
                <w:sz w:val="16"/>
              </w:rPr>
              <w:t>Regadera grado ecológico.</w:t>
            </w:r>
          </w:p>
          <w:p w:rsidR="00A63476" w:rsidRDefault="00D22874">
            <w:pPr>
              <w:pStyle w:val="TableParagraph"/>
              <w:numPr>
                <w:ilvl w:val="0"/>
                <w:numId w:val="26"/>
              </w:numPr>
              <w:tabs>
                <w:tab w:val="left" w:pos="449"/>
                <w:tab w:val="left" w:pos="450"/>
              </w:tabs>
              <w:spacing w:before="125" w:line="333" w:lineRule="auto"/>
              <w:ind w:right="67"/>
              <w:rPr>
                <w:sz w:val="16"/>
              </w:rPr>
            </w:pPr>
            <w:r>
              <w:rPr>
                <w:sz w:val="16"/>
              </w:rPr>
              <w:t xml:space="preserve">Llaves (válvulas) con dispositivo ahorrador de agua que cumplan con la NMX-C-415 en: cocina </w:t>
            </w:r>
            <w:r>
              <w:rPr>
                <w:sz w:val="16"/>
              </w:rPr>
              <w:t>y lavabo(s) de baño(s).</w:t>
            </w:r>
          </w:p>
          <w:p w:rsidR="00A63476" w:rsidRDefault="00D22874">
            <w:pPr>
              <w:pStyle w:val="TableParagraph"/>
              <w:numPr>
                <w:ilvl w:val="0"/>
                <w:numId w:val="26"/>
              </w:numPr>
              <w:tabs>
                <w:tab w:val="left" w:pos="449"/>
                <w:tab w:val="left" w:pos="450"/>
              </w:tabs>
              <w:spacing w:before="8" w:line="260" w:lineRule="atLeast"/>
              <w:ind w:right="67"/>
              <w:rPr>
                <w:sz w:val="16"/>
              </w:rPr>
            </w:pPr>
            <w:r>
              <w:rPr>
                <w:sz w:val="16"/>
              </w:rPr>
              <w:t>Válvulas de seccionamiento para alimentación en lavabos (2), inodoros (1), fregadero (2), calentador de agua (1), tinaco (1) y cisterna</w:t>
            </w:r>
            <w:r>
              <w:rPr>
                <w:spacing w:val="-1"/>
                <w:sz w:val="16"/>
              </w:rPr>
              <w:t xml:space="preserve"> </w:t>
            </w:r>
            <w:r>
              <w:rPr>
                <w:sz w:val="16"/>
              </w:rPr>
              <w:t>(1).</w:t>
            </w:r>
          </w:p>
        </w:tc>
      </w:tr>
      <w:tr w:rsidR="00A63476">
        <w:trPr>
          <w:trHeight w:val="2095"/>
        </w:trPr>
        <w:tc>
          <w:tcPr>
            <w:tcW w:w="8683" w:type="dxa"/>
          </w:tcPr>
          <w:p w:rsidR="00A63476" w:rsidRDefault="00D22874">
            <w:pPr>
              <w:pStyle w:val="TableParagraph"/>
              <w:spacing w:before="127"/>
              <w:ind w:left="89"/>
              <w:rPr>
                <w:b/>
                <w:sz w:val="16"/>
              </w:rPr>
            </w:pPr>
            <w:r>
              <w:rPr>
                <w:b/>
                <w:sz w:val="16"/>
              </w:rPr>
              <w:t>Manejo de residuos sólidos:</w:t>
            </w:r>
          </w:p>
          <w:p w:rsidR="00A63476" w:rsidRDefault="00D22874">
            <w:pPr>
              <w:pStyle w:val="TableParagraph"/>
              <w:numPr>
                <w:ilvl w:val="0"/>
                <w:numId w:val="25"/>
              </w:numPr>
              <w:tabs>
                <w:tab w:val="left" w:pos="450"/>
              </w:tabs>
              <w:spacing w:before="145" w:line="324" w:lineRule="auto"/>
              <w:ind w:right="67"/>
              <w:jc w:val="both"/>
              <w:rPr>
                <w:sz w:val="16"/>
              </w:rPr>
            </w:pPr>
            <w:r>
              <w:rPr>
                <w:sz w:val="16"/>
              </w:rPr>
              <w:t>Botes diferenciados para la separación de residuos orgánicos e inorgánicos. La normatividad aplicable se refiere a la separación primaria. Se recomienda como mínimo una capacidad de 20 litros, colocarlos en un área ventilada y que no obstruyan la</w:t>
            </w:r>
            <w:r>
              <w:rPr>
                <w:spacing w:val="-1"/>
                <w:sz w:val="16"/>
              </w:rPr>
              <w:t xml:space="preserve"> </w:t>
            </w:r>
            <w:r>
              <w:rPr>
                <w:sz w:val="16"/>
              </w:rPr>
              <w:t>circulaci</w:t>
            </w:r>
            <w:r>
              <w:rPr>
                <w:sz w:val="16"/>
              </w:rPr>
              <w:t>ón.</w:t>
            </w:r>
          </w:p>
          <w:p w:rsidR="00A63476" w:rsidRDefault="00D22874">
            <w:pPr>
              <w:pStyle w:val="TableParagraph"/>
              <w:spacing w:before="91"/>
              <w:ind w:left="449"/>
              <w:jc w:val="both"/>
              <w:rPr>
                <w:sz w:val="16"/>
              </w:rPr>
            </w:pPr>
            <w:r>
              <w:rPr>
                <w:sz w:val="16"/>
              </w:rPr>
              <w:t>En conjuntos habitacionales: depósitos para la separación de residuos sólidos (orgánicos e inorgánicos) con tapa</w:t>
            </w:r>
          </w:p>
          <w:p w:rsidR="00A63476" w:rsidRDefault="00D22874">
            <w:pPr>
              <w:pStyle w:val="TableParagraph"/>
              <w:spacing w:before="76" w:line="312" w:lineRule="auto"/>
              <w:ind w:left="449" w:right="67"/>
              <w:jc w:val="both"/>
              <w:rPr>
                <w:sz w:val="16"/>
              </w:rPr>
            </w:pPr>
            <w:r>
              <w:rPr>
                <w:sz w:val="16"/>
              </w:rPr>
              <w:t>y ubicados en un área ventilada y accesible para la recolección. La ubicación se debe establecer en el Proyecto apegándose a lo establecido</w:t>
            </w:r>
            <w:r>
              <w:rPr>
                <w:sz w:val="16"/>
              </w:rPr>
              <w:t xml:space="preserve"> en la reglamentación local.</w:t>
            </w:r>
          </w:p>
        </w:tc>
      </w:tr>
    </w:tbl>
    <w:p w:rsidR="00A63476" w:rsidRDefault="00A63476">
      <w:pPr>
        <w:spacing w:line="312" w:lineRule="auto"/>
        <w:jc w:val="both"/>
        <w:rPr>
          <w:sz w:val="16"/>
        </w:rPr>
        <w:sectPr w:rsidR="00A63476">
          <w:pgSz w:w="12240" w:h="15840"/>
          <w:pgMar w:top="880" w:right="1040" w:bottom="280" w:left="1180" w:header="699" w:footer="0" w:gutter="0"/>
          <w:cols w:space="720"/>
        </w:sectPr>
      </w:pPr>
    </w:p>
    <w:p w:rsidR="00A63476" w:rsidRDefault="00FF0FB3">
      <w:pPr>
        <w:pStyle w:val="Textoindependiente"/>
        <w:spacing w:line="20" w:lineRule="exact"/>
        <w:ind w:left="396" w:right="0" w:firstLine="0"/>
        <w:jc w:val="left"/>
        <w:rPr>
          <w:sz w:val="2"/>
        </w:rPr>
      </w:pPr>
      <w:r>
        <w:rPr>
          <w:noProof/>
          <w:sz w:val="2"/>
        </w:rPr>
        <w:lastRenderedPageBreak/>
        <mc:AlternateContent>
          <mc:Choice Requires="wpg">
            <w:drawing>
              <wp:inline distT="0" distB="0" distL="0" distR="0">
                <wp:extent cx="5852160" cy="9525"/>
                <wp:effectExtent l="10160" t="6985" r="5080" b="2540"/>
                <wp:docPr id="58" name="Group 35"/>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5852160" cy="9525"/>
                          <a:chOff x="0" y="0"/>
                          <a:chExt cx="9216" cy="15"/>
                        </a:xfrm>
                      </wpg:grpSpPr>
                      <wps:wsp>
                        <wps:cNvPr id="59" name="Line 36"/>
                        <wps:cNvCnPr>
                          <a:cxnSpLocks noChangeShapeType="1"/>
                        </wps:cNvCnPr>
                        <wps:spPr bwMode="auto">
                          <a:xfrm>
                            <a:off x="0" y="7"/>
                            <a:ext cx="9216" cy="0"/>
                          </a:xfrm>
                          <a:prstGeom prst="line">
                            <a:avLst/>
                          </a:prstGeom>
                          <a:noFill/>
                          <a:ln w="9525">
                            <a:solidFill>
                              <a:srgbClr val="000000"/>
                            </a:solidFill>
                            <a:prstDash val="solid"/>
                            <a:round/>
                            <a:headEnd/>
                            <a:tailEnd/>
                          </a:ln>
                          <a:extLst>
                            <a:ext uri="{909E8E84-426E-40DD-AFC4-6F175D3DCCD1}">
                              <a14:hiddenFill xmlns:a14="http://schemas.microsoft.com/office/drawing/2010/main">
                                <a:noFill/>
                              </a14:hiddenFill>
                            </a:ext>
                          </a:extLst>
                        </wps:spPr>
                        <wps:bodyPr/>
                      </wps:wsp>
                    </wpg:wgp>
                  </a:graphicData>
                </a:graphic>
              </wp:inline>
            </w:drawing>
          </mc:Choice>
          <mc:Fallback>
            <w:pict>
              <v:group w14:anchorId="3712C964" id="Group 35" o:spid="_x0000_s1026" style="width:460.8pt;height:.75pt;mso-position-horizontal-relative:char;mso-position-vertical-relative:line" coordsize="9216,1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">
                <v:line id="Line 36" o:spid="_x0000_s1027" style="position:absolute;visibility:visible;mso-wrap-style:square" from="0,7" to="9216,7"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"/>
                <w10:anchorlock/>
              </v:group>
            </w:pict>
          </mc:Fallback>
        </mc:AlternateContent>
      </w:r>
    </w:p>
    <w:p w:rsidR="00A63476" w:rsidRDefault="00A63476">
      <w:pPr>
        <w:pStyle w:val="Textoindependiente"/>
        <w:ind w:left="0" w:right="0" w:firstLine="0"/>
        <w:jc w:val="left"/>
        <w:rPr>
          <w:sz w:val="20"/>
        </w:rPr>
      </w:pPr>
    </w:p>
    <w:p w:rsidR="00A63476" w:rsidRDefault="00A63476">
      <w:pPr>
        <w:pStyle w:val="Textoindependiente"/>
        <w:spacing w:before="6"/>
        <w:ind w:left="0" w:right="0" w:firstLine="0"/>
        <w:jc w:val="left"/>
        <w:rPr>
          <w:sz w:val="29"/>
        </w:rPr>
      </w:pPr>
    </w:p>
    <w:tbl>
      <w:tblPr>
        <w:tblStyle w:val="TableNormal"/>
        <w:tblW w:w="0" w:type="auto"/>
        <w:tblInd w:w="678" w:type="dxa"/>
        <w:tblBorders>
          <w:top w:val="single" w:sz="6" w:space="0" w:color="404040"/>
          <w:left w:val="single" w:sz="6" w:space="0" w:color="404040"/>
          <w:bottom w:val="single" w:sz="6" w:space="0" w:color="404040"/>
          <w:right w:val="single" w:sz="6" w:space="0" w:color="404040"/>
          <w:insideH w:val="single" w:sz="6" w:space="0" w:color="404040"/>
          <w:insideV w:val="single" w:sz="6" w:space="0" w:color="404040"/>
        </w:tblBorders>
        <w:tblLayout w:type="fixed"/>
        <w:tblLook w:val="01E0" w:firstRow="1" w:lastRow="1" w:firstColumn="1" w:lastColumn="1" w:noHBand="0" w:noVBand="0"/>
      </w:tblPr>
      <w:tblGrid>
        <w:gridCol w:w="2591"/>
        <w:gridCol w:w="1978"/>
        <w:gridCol w:w="2094"/>
        <w:gridCol w:w="2019"/>
      </w:tblGrid>
      <w:tr w:rsidR="00A63476">
        <w:trPr>
          <w:trHeight w:val="401"/>
        </w:trPr>
        <w:tc>
          <w:tcPr>
            <w:tcW w:w="2591" w:type="dxa"/>
            <w:shd w:val="clear" w:color="auto" w:fill="DFDFDF"/>
          </w:tcPr>
          <w:p w:rsidR="00A63476" w:rsidRDefault="00D22874">
            <w:pPr>
              <w:pStyle w:val="TableParagraph"/>
              <w:spacing w:before="146"/>
              <w:ind w:left="849"/>
              <w:rPr>
                <w:b/>
                <w:sz w:val="16"/>
              </w:rPr>
            </w:pPr>
            <w:r>
              <w:rPr>
                <w:b/>
                <w:sz w:val="16"/>
              </w:rPr>
              <w:t>DIMENSIÓN</w:t>
            </w:r>
          </w:p>
        </w:tc>
        <w:tc>
          <w:tcPr>
            <w:tcW w:w="4072" w:type="dxa"/>
            <w:gridSpan w:val="2"/>
            <w:shd w:val="clear" w:color="auto" w:fill="DFDFDF"/>
          </w:tcPr>
          <w:p w:rsidR="00A63476" w:rsidRDefault="00D22874">
            <w:pPr>
              <w:pStyle w:val="TableParagraph"/>
              <w:spacing w:before="146"/>
              <w:ind w:left="1492" w:right="1492"/>
              <w:jc w:val="center"/>
              <w:rPr>
                <w:b/>
                <w:sz w:val="16"/>
              </w:rPr>
            </w:pPr>
            <w:r>
              <w:rPr>
                <w:b/>
                <w:sz w:val="16"/>
              </w:rPr>
              <w:t>PARÁMETRO</w:t>
            </w:r>
          </w:p>
        </w:tc>
        <w:tc>
          <w:tcPr>
            <w:tcW w:w="2019" w:type="dxa"/>
            <w:shd w:val="clear" w:color="auto" w:fill="DFDFDF"/>
          </w:tcPr>
          <w:p w:rsidR="00A63476" w:rsidRDefault="00D22874">
            <w:pPr>
              <w:pStyle w:val="TableParagraph"/>
              <w:spacing w:before="146"/>
              <w:ind w:left="213" w:right="190"/>
              <w:jc w:val="center"/>
              <w:rPr>
                <w:b/>
                <w:sz w:val="16"/>
              </w:rPr>
            </w:pPr>
            <w:r>
              <w:rPr>
                <w:b/>
                <w:sz w:val="16"/>
              </w:rPr>
              <w:t>PUNTAJE</w:t>
            </w:r>
          </w:p>
        </w:tc>
      </w:tr>
      <w:tr w:rsidR="00A63476">
        <w:trPr>
          <w:trHeight w:val="401"/>
        </w:trPr>
        <w:tc>
          <w:tcPr>
            <w:tcW w:w="2591" w:type="dxa"/>
            <w:vMerge w:val="restart"/>
          </w:tcPr>
          <w:p w:rsidR="00A63476" w:rsidRDefault="00D22874">
            <w:pPr>
              <w:pStyle w:val="TableParagraph"/>
              <w:spacing w:before="129"/>
              <w:ind w:left="89"/>
              <w:rPr>
                <w:b/>
                <w:sz w:val="16"/>
              </w:rPr>
            </w:pPr>
            <w:r>
              <w:rPr>
                <w:b/>
                <w:sz w:val="16"/>
              </w:rPr>
              <w:t>UBICACIÓN</w:t>
            </w:r>
          </w:p>
          <w:p w:rsidR="00A63476" w:rsidRDefault="00D22874">
            <w:pPr>
              <w:pStyle w:val="TableParagraph"/>
              <w:spacing w:before="116"/>
              <w:ind w:left="89"/>
              <w:rPr>
                <w:b/>
                <w:sz w:val="16"/>
              </w:rPr>
            </w:pPr>
            <w:r>
              <w:rPr>
                <w:b/>
                <w:sz w:val="16"/>
              </w:rPr>
              <w:t>(máx: 350 pts.)</w:t>
            </w:r>
          </w:p>
        </w:tc>
        <w:tc>
          <w:tcPr>
            <w:tcW w:w="4072" w:type="dxa"/>
            <w:gridSpan w:val="2"/>
          </w:tcPr>
          <w:p w:rsidR="00A63476" w:rsidRDefault="00D22874">
            <w:pPr>
              <w:pStyle w:val="TableParagraph"/>
              <w:spacing w:before="129"/>
              <w:ind w:left="78"/>
              <w:rPr>
                <w:sz w:val="16"/>
              </w:rPr>
            </w:pPr>
            <w:r>
              <w:rPr>
                <w:sz w:val="16"/>
              </w:rPr>
              <w:t>U1</w:t>
            </w:r>
          </w:p>
        </w:tc>
        <w:tc>
          <w:tcPr>
            <w:tcW w:w="2019" w:type="dxa"/>
          </w:tcPr>
          <w:p w:rsidR="00A63476" w:rsidRDefault="00D22874">
            <w:pPr>
              <w:pStyle w:val="TableParagraph"/>
              <w:spacing w:before="129"/>
              <w:ind w:left="225" w:right="190"/>
              <w:jc w:val="center"/>
              <w:rPr>
                <w:sz w:val="16"/>
              </w:rPr>
            </w:pPr>
            <w:r>
              <w:rPr>
                <w:sz w:val="16"/>
              </w:rPr>
              <w:t>350</w:t>
            </w:r>
          </w:p>
        </w:tc>
      </w:tr>
      <w:tr w:rsidR="00A63476">
        <w:trPr>
          <w:trHeight w:val="401"/>
        </w:trPr>
        <w:tc>
          <w:tcPr>
            <w:tcW w:w="2591" w:type="dxa"/>
            <w:vMerge/>
            <w:tcBorders>
              <w:top w:val="nil"/>
            </w:tcBorders>
          </w:tcPr>
          <w:p w:rsidR="00A63476" w:rsidRDefault="00A63476">
            <w:pPr>
              <w:rPr>
                <w:sz w:val="2"/>
                <w:szCs w:val="2"/>
              </w:rPr>
            </w:pPr>
          </w:p>
        </w:tc>
        <w:tc>
          <w:tcPr>
            <w:tcW w:w="4072" w:type="dxa"/>
            <w:gridSpan w:val="2"/>
          </w:tcPr>
          <w:p w:rsidR="00A63476" w:rsidRDefault="00D22874">
            <w:pPr>
              <w:pStyle w:val="TableParagraph"/>
              <w:spacing w:before="132"/>
              <w:ind w:left="78"/>
              <w:rPr>
                <w:sz w:val="16"/>
              </w:rPr>
            </w:pPr>
            <w:r>
              <w:rPr>
                <w:sz w:val="16"/>
              </w:rPr>
              <w:t>U2</w:t>
            </w:r>
          </w:p>
        </w:tc>
        <w:tc>
          <w:tcPr>
            <w:tcW w:w="2019" w:type="dxa"/>
          </w:tcPr>
          <w:p w:rsidR="00A63476" w:rsidRDefault="00D22874">
            <w:pPr>
              <w:pStyle w:val="TableParagraph"/>
              <w:spacing w:before="132"/>
              <w:ind w:left="225" w:right="190"/>
              <w:jc w:val="center"/>
              <w:rPr>
                <w:sz w:val="16"/>
              </w:rPr>
            </w:pPr>
            <w:r>
              <w:rPr>
                <w:sz w:val="16"/>
              </w:rPr>
              <w:t>300</w:t>
            </w:r>
          </w:p>
        </w:tc>
      </w:tr>
      <w:tr w:rsidR="00A63476">
        <w:trPr>
          <w:trHeight w:val="401"/>
        </w:trPr>
        <w:tc>
          <w:tcPr>
            <w:tcW w:w="2591" w:type="dxa"/>
            <w:vMerge/>
            <w:tcBorders>
              <w:top w:val="nil"/>
            </w:tcBorders>
          </w:tcPr>
          <w:p w:rsidR="00A63476" w:rsidRDefault="00A63476">
            <w:pPr>
              <w:rPr>
                <w:sz w:val="2"/>
                <w:szCs w:val="2"/>
              </w:rPr>
            </w:pPr>
          </w:p>
        </w:tc>
        <w:tc>
          <w:tcPr>
            <w:tcW w:w="4072" w:type="dxa"/>
            <w:gridSpan w:val="2"/>
          </w:tcPr>
          <w:p w:rsidR="00A63476" w:rsidRDefault="00D22874">
            <w:pPr>
              <w:pStyle w:val="TableParagraph"/>
              <w:spacing w:before="135"/>
              <w:ind w:left="78"/>
              <w:rPr>
                <w:sz w:val="16"/>
              </w:rPr>
            </w:pPr>
            <w:r>
              <w:rPr>
                <w:sz w:val="16"/>
              </w:rPr>
              <w:t>U3</w:t>
            </w:r>
          </w:p>
        </w:tc>
        <w:tc>
          <w:tcPr>
            <w:tcW w:w="2019" w:type="dxa"/>
          </w:tcPr>
          <w:p w:rsidR="00A63476" w:rsidRDefault="00D22874">
            <w:pPr>
              <w:pStyle w:val="TableParagraph"/>
              <w:spacing w:before="135"/>
              <w:ind w:left="225" w:right="190"/>
              <w:jc w:val="center"/>
              <w:rPr>
                <w:sz w:val="16"/>
              </w:rPr>
            </w:pPr>
            <w:r>
              <w:rPr>
                <w:sz w:val="16"/>
              </w:rPr>
              <w:t>200</w:t>
            </w:r>
          </w:p>
        </w:tc>
      </w:tr>
      <w:tr w:rsidR="00A63476">
        <w:trPr>
          <w:trHeight w:val="397"/>
        </w:trPr>
        <w:tc>
          <w:tcPr>
            <w:tcW w:w="2591" w:type="dxa"/>
            <w:vMerge w:val="restart"/>
            <w:tcBorders>
              <w:bottom w:val="nil"/>
            </w:tcBorders>
          </w:tcPr>
          <w:p w:rsidR="00A63476" w:rsidRDefault="00A63476">
            <w:pPr>
              <w:pStyle w:val="TableParagraph"/>
              <w:rPr>
                <w:sz w:val="18"/>
              </w:rPr>
            </w:pPr>
          </w:p>
          <w:p w:rsidR="00A63476" w:rsidRDefault="00A63476">
            <w:pPr>
              <w:pStyle w:val="TableParagraph"/>
              <w:rPr>
                <w:sz w:val="18"/>
              </w:rPr>
            </w:pPr>
          </w:p>
          <w:p w:rsidR="00A63476" w:rsidRDefault="00A63476">
            <w:pPr>
              <w:pStyle w:val="TableParagraph"/>
              <w:rPr>
                <w:sz w:val="18"/>
              </w:rPr>
            </w:pPr>
          </w:p>
          <w:p w:rsidR="00A63476" w:rsidRDefault="00A63476">
            <w:pPr>
              <w:pStyle w:val="TableParagraph"/>
              <w:rPr>
                <w:sz w:val="18"/>
              </w:rPr>
            </w:pPr>
          </w:p>
          <w:p w:rsidR="00A63476" w:rsidRDefault="00A63476">
            <w:pPr>
              <w:pStyle w:val="TableParagraph"/>
              <w:rPr>
                <w:sz w:val="18"/>
              </w:rPr>
            </w:pPr>
          </w:p>
          <w:p w:rsidR="00A63476" w:rsidRDefault="00A63476">
            <w:pPr>
              <w:pStyle w:val="TableParagraph"/>
              <w:rPr>
                <w:sz w:val="18"/>
              </w:rPr>
            </w:pPr>
          </w:p>
          <w:p w:rsidR="00A63476" w:rsidRDefault="00A63476">
            <w:pPr>
              <w:pStyle w:val="TableParagraph"/>
              <w:rPr>
                <w:sz w:val="18"/>
              </w:rPr>
            </w:pPr>
          </w:p>
          <w:p w:rsidR="00A63476" w:rsidRDefault="00A63476">
            <w:pPr>
              <w:pStyle w:val="TableParagraph"/>
              <w:rPr>
                <w:sz w:val="18"/>
              </w:rPr>
            </w:pPr>
          </w:p>
          <w:p w:rsidR="00A63476" w:rsidRDefault="00A63476">
            <w:pPr>
              <w:pStyle w:val="TableParagraph"/>
              <w:rPr>
                <w:sz w:val="18"/>
              </w:rPr>
            </w:pPr>
          </w:p>
          <w:p w:rsidR="00A63476" w:rsidRDefault="00A63476">
            <w:pPr>
              <w:pStyle w:val="TableParagraph"/>
              <w:rPr>
                <w:sz w:val="18"/>
              </w:rPr>
            </w:pPr>
          </w:p>
          <w:p w:rsidR="00A63476" w:rsidRDefault="00A63476">
            <w:pPr>
              <w:pStyle w:val="TableParagraph"/>
              <w:rPr>
                <w:sz w:val="18"/>
              </w:rPr>
            </w:pPr>
          </w:p>
          <w:p w:rsidR="00A63476" w:rsidRDefault="00A63476">
            <w:pPr>
              <w:pStyle w:val="TableParagraph"/>
              <w:rPr>
                <w:sz w:val="18"/>
              </w:rPr>
            </w:pPr>
          </w:p>
          <w:p w:rsidR="00A63476" w:rsidRDefault="00A63476">
            <w:pPr>
              <w:pStyle w:val="TableParagraph"/>
              <w:rPr>
                <w:sz w:val="18"/>
              </w:rPr>
            </w:pPr>
          </w:p>
          <w:p w:rsidR="00A63476" w:rsidRDefault="00A63476">
            <w:pPr>
              <w:pStyle w:val="TableParagraph"/>
              <w:rPr>
                <w:sz w:val="18"/>
              </w:rPr>
            </w:pPr>
          </w:p>
          <w:p w:rsidR="00A63476" w:rsidRDefault="00A63476">
            <w:pPr>
              <w:pStyle w:val="TableParagraph"/>
              <w:rPr>
                <w:sz w:val="18"/>
              </w:rPr>
            </w:pPr>
          </w:p>
          <w:p w:rsidR="00A63476" w:rsidRDefault="00A63476">
            <w:pPr>
              <w:pStyle w:val="TableParagraph"/>
              <w:rPr>
                <w:sz w:val="18"/>
              </w:rPr>
            </w:pPr>
          </w:p>
          <w:p w:rsidR="00A63476" w:rsidRDefault="00A63476">
            <w:pPr>
              <w:pStyle w:val="TableParagraph"/>
              <w:rPr>
                <w:sz w:val="18"/>
              </w:rPr>
            </w:pPr>
          </w:p>
          <w:p w:rsidR="00A63476" w:rsidRDefault="00A63476">
            <w:pPr>
              <w:pStyle w:val="TableParagraph"/>
              <w:rPr>
                <w:sz w:val="18"/>
              </w:rPr>
            </w:pPr>
          </w:p>
          <w:p w:rsidR="00A63476" w:rsidRDefault="00A63476">
            <w:pPr>
              <w:pStyle w:val="TableParagraph"/>
              <w:rPr>
                <w:sz w:val="18"/>
              </w:rPr>
            </w:pPr>
          </w:p>
          <w:p w:rsidR="00A63476" w:rsidRDefault="00A63476">
            <w:pPr>
              <w:pStyle w:val="TableParagraph"/>
              <w:rPr>
                <w:sz w:val="18"/>
              </w:rPr>
            </w:pPr>
          </w:p>
          <w:p w:rsidR="00A63476" w:rsidRDefault="00A63476">
            <w:pPr>
              <w:pStyle w:val="TableParagraph"/>
              <w:rPr>
                <w:sz w:val="18"/>
              </w:rPr>
            </w:pPr>
          </w:p>
          <w:p w:rsidR="00A63476" w:rsidRDefault="00A63476">
            <w:pPr>
              <w:pStyle w:val="TableParagraph"/>
              <w:rPr>
                <w:sz w:val="18"/>
              </w:rPr>
            </w:pPr>
          </w:p>
          <w:p w:rsidR="00A63476" w:rsidRDefault="00A63476">
            <w:pPr>
              <w:pStyle w:val="TableParagraph"/>
              <w:rPr>
                <w:sz w:val="18"/>
              </w:rPr>
            </w:pPr>
          </w:p>
          <w:p w:rsidR="00A63476" w:rsidRDefault="00A63476">
            <w:pPr>
              <w:pStyle w:val="TableParagraph"/>
              <w:rPr>
                <w:sz w:val="18"/>
              </w:rPr>
            </w:pPr>
          </w:p>
          <w:p w:rsidR="00A63476" w:rsidRDefault="00A63476">
            <w:pPr>
              <w:pStyle w:val="TableParagraph"/>
              <w:rPr>
                <w:sz w:val="18"/>
              </w:rPr>
            </w:pPr>
          </w:p>
          <w:p w:rsidR="00A63476" w:rsidRDefault="00A63476">
            <w:pPr>
              <w:pStyle w:val="TableParagraph"/>
              <w:rPr>
                <w:sz w:val="18"/>
              </w:rPr>
            </w:pPr>
          </w:p>
          <w:p w:rsidR="00A63476" w:rsidRDefault="00A63476">
            <w:pPr>
              <w:pStyle w:val="TableParagraph"/>
              <w:rPr>
                <w:sz w:val="18"/>
              </w:rPr>
            </w:pPr>
          </w:p>
          <w:p w:rsidR="00A63476" w:rsidRDefault="00A63476">
            <w:pPr>
              <w:pStyle w:val="TableParagraph"/>
              <w:rPr>
                <w:sz w:val="18"/>
              </w:rPr>
            </w:pPr>
          </w:p>
          <w:p w:rsidR="00A63476" w:rsidRDefault="00A63476">
            <w:pPr>
              <w:pStyle w:val="TableParagraph"/>
              <w:rPr>
                <w:sz w:val="18"/>
              </w:rPr>
            </w:pPr>
          </w:p>
          <w:p w:rsidR="00A63476" w:rsidRDefault="00A63476">
            <w:pPr>
              <w:pStyle w:val="TableParagraph"/>
              <w:spacing w:before="5"/>
              <w:rPr>
                <w:sz w:val="20"/>
              </w:rPr>
            </w:pPr>
          </w:p>
          <w:p w:rsidR="00A63476" w:rsidRDefault="00D22874">
            <w:pPr>
              <w:pStyle w:val="TableParagraph"/>
              <w:spacing w:before="1"/>
              <w:ind w:left="89"/>
              <w:rPr>
                <w:b/>
                <w:sz w:val="16"/>
              </w:rPr>
            </w:pPr>
            <w:r>
              <w:rPr>
                <w:b/>
                <w:sz w:val="16"/>
              </w:rPr>
              <w:t>EQUIPAMIENTO Y SERVICIOS</w:t>
            </w:r>
          </w:p>
          <w:p w:rsidR="00A63476" w:rsidRDefault="00D22874">
            <w:pPr>
              <w:pStyle w:val="TableParagraph"/>
              <w:spacing w:before="96"/>
              <w:ind w:left="89"/>
              <w:rPr>
                <w:b/>
                <w:sz w:val="16"/>
              </w:rPr>
            </w:pPr>
            <w:r>
              <w:rPr>
                <w:b/>
                <w:sz w:val="16"/>
              </w:rPr>
              <w:t>(máx: 370 pts.)</w:t>
            </w:r>
          </w:p>
        </w:tc>
        <w:tc>
          <w:tcPr>
            <w:tcW w:w="1978" w:type="dxa"/>
            <w:vMerge w:val="restart"/>
          </w:tcPr>
          <w:p w:rsidR="00A63476" w:rsidRDefault="00D22874">
            <w:pPr>
              <w:pStyle w:val="TableParagraph"/>
              <w:spacing w:before="138"/>
              <w:ind w:left="78"/>
              <w:rPr>
                <w:sz w:val="16"/>
              </w:rPr>
            </w:pPr>
            <w:r>
              <w:rPr>
                <w:sz w:val="16"/>
              </w:rPr>
              <w:t>Centro de salud</w:t>
            </w:r>
          </w:p>
        </w:tc>
        <w:tc>
          <w:tcPr>
            <w:tcW w:w="2094" w:type="dxa"/>
          </w:tcPr>
          <w:p w:rsidR="00A63476" w:rsidRDefault="00D22874">
            <w:pPr>
              <w:pStyle w:val="TableParagraph"/>
              <w:spacing w:before="138"/>
              <w:ind w:left="80"/>
              <w:rPr>
                <w:sz w:val="16"/>
              </w:rPr>
            </w:pPr>
            <w:r>
              <w:rPr>
                <w:sz w:val="16"/>
              </w:rPr>
              <w:t>0 a 1,500 m</w:t>
            </w:r>
          </w:p>
        </w:tc>
        <w:tc>
          <w:tcPr>
            <w:tcW w:w="2019" w:type="dxa"/>
          </w:tcPr>
          <w:p w:rsidR="00A63476" w:rsidRDefault="00D22874">
            <w:pPr>
              <w:pStyle w:val="TableParagraph"/>
              <w:spacing w:before="138"/>
              <w:ind w:left="216" w:right="190"/>
              <w:jc w:val="center"/>
              <w:rPr>
                <w:sz w:val="16"/>
              </w:rPr>
            </w:pPr>
            <w:r>
              <w:rPr>
                <w:sz w:val="16"/>
              </w:rPr>
              <w:t>60</w:t>
            </w:r>
          </w:p>
        </w:tc>
      </w:tr>
      <w:tr w:rsidR="00A63476">
        <w:trPr>
          <w:trHeight w:val="397"/>
        </w:trPr>
        <w:tc>
          <w:tcPr>
            <w:tcW w:w="2591" w:type="dxa"/>
            <w:vMerge/>
            <w:tcBorders>
              <w:top w:val="nil"/>
              <w:bottom w:val="nil"/>
            </w:tcBorders>
          </w:tcPr>
          <w:p w:rsidR="00A63476" w:rsidRDefault="00A63476">
            <w:pPr>
              <w:rPr>
                <w:sz w:val="2"/>
                <w:szCs w:val="2"/>
              </w:rPr>
            </w:pPr>
          </w:p>
        </w:tc>
        <w:tc>
          <w:tcPr>
            <w:tcW w:w="1978" w:type="dxa"/>
            <w:vMerge/>
            <w:tcBorders>
              <w:top w:val="nil"/>
            </w:tcBorders>
          </w:tcPr>
          <w:p w:rsidR="00A63476" w:rsidRDefault="00A63476">
            <w:pPr>
              <w:rPr>
                <w:sz w:val="2"/>
                <w:szCs w:val="2"/>
              </w:rPr>
            </w:pPr>
          </w:p>
        </w:tc>
        <w:tc>
          <w:tcPr>
            <w:tcW w:w="2094" w:type="dxa"/>
          </w:tcPr>
          <w:p w:rsidR="00A63476" w:rsidRDefault="00D22874">
            <w:pPr>
              <w:pStyle w:val="TableParagraph"/>
              <w:spacing w:before="126"/>
              <w:ind w:left="80"/>
              <w:rPr>
                <w:sz w:val="16"/>
              </w:rPr>
            </w:pPr>
            <w:r>
              <w:rPr>
                <w:sz w:val="16"/>
              </w:rPr>
              <w:t>1,500 a 2,500 m</w:t>
            </w:r>
          </w:p>
        </w:tc>
        <w:tc>
          <w:tcPr>
            <w:tcW w:w="2019" w:type="dxa"/>
          </w:tcPr>
          <w:p w:rsidR="00A63476" w:rsidRDefault="00D22874">
            <w:pPr>
              <w:pStyle w:val="TableParagraph"/>
              <w:spacing w:before="126"/>
              <w:ind w:left="222" w:right="190"/>
              <w:jc w:val="center"/>
              <w:rPr>
                <w:sz w:val="16"/>
              </w:rPr>
            </w:pPr>
            <w:r>
              <w:rPr>
                <w:sz w:val="16"/>
              </w:rPr>
              <w:t>150-(distancia/16.66)</w:t>
            </w:r>
          </w:p>
        </w:tc>
      </w:tr>
      <w:tr w:rsidR="00A63476">
        <w:trPr>
          <w:trHeight w:val="397"/>
        </w:trPr>
        <w:tc>
          <w:tcPr>
            <w:tcW w:w="2591" w:type="dxa"/>
            <w:vMerge/>
            <w:tcBorders>
              <w:top w:val="nil"/>
              <w:bottom w:val="nil"/>
            </w:tcBorders>
          </w:tcPr>
          <w:p w:rsidR="00A63476" w:rsidRDefault="00A63476">
            <w:pPr>
              <w:rPr>
                <w:sz w:val="2"/>
                <w:szCs w:val="2"/>
              </w:rPr>
            </w:pPr>
          </w:p>
        </w:tc>
        <w:tc>
          <w:tcPr>
            <w:tcW w:w="1978" w:type="dxa"/>
            <w:vMerge w:val="restart"/>
          </w:tcPr>
          <w:p w:rsidR="00A63476" w:rsidRDefault="00D22874">
            <w:pPr>
              <w:pStyle w:val="TableParagraph"/>
              <w:spacing w:before="134"/>
              <w:ind w:left="78"/>
              <w:rPr>
                <w:sz w:val="16"/>
              </w:rPr>
            </w:pPr>
            <w:r>
              <w:rPr>
                <w:sz w:val="16"/>
              </w:rPr>
              <w:t>Guardería</w:t>
            </w:r>
          </w:p>
        </w:tc>
        <w:tc>
          <w:tcPr>
            <w:tcW w:w="2094" w:type="dxa"/>
          </w:tcPr>
          <w:p w:rsidR="00A63476" w:rsidRDefault="00D22874">
            <w:pPr>
              <w:pStyle w:val="TableParagraph"/>
              <w:spacing w:before="134"/>
              <w:ind w:left="80"/>
              <w:rPr>
                <w:sz w:val="16"/>
              </w:rPr>
            </w:pPr>
            <w:r>
              <w:rPr>
                <w:sz w:val="16"/>
              </w:rPr>
              <w:t>0 a 700 m</w:t>
            </w:r>
          </w:p>
        </w:tc>
        <w:tc>
          <w:tcPr>
            <w:tcW w:w="2019" w:type="dxa"/>
          </w:tcPr>
          <w:p w:rsidR="00A63476" w:rsidRDefault="00D22874">
            <w:pPr>
              <w:pStyle w:val="TableParagraph"/>
              <w:spacing w:before="134"/>
              <w:ind w:left="216" w:right="190"/>
              <w:jc w:val="center"/>
              <w:rPr>
                <w:sz w:val="16"/>
              </w:rPr>
            </w:pPr>
            <w:r>
              <w:rPr>
                <w:sz w:val="16"/>
              </w:rPr>
              <w:t>40</w:t>
            </w:r>
          </w:p>
        </w:tc>
      </w:tr>
      <w:tr w:rsidR="00A63476">
        <w:trPr>
          <w:trHeight w:val="397"/>
        </w:trPr>
        <w:tc>
          <w:tcPr>
            <w:tcW w:w="2591" w:type="dxa"/>
            <w:vMerge/>
            <w:tcBorders>
              <w:top w:val="nil"/>
              <w:bottom w:val="nil"/>
            </w:tcBorders>
          </w:tcPr>
          <w:p w:rsidR="00A63476" w:rsidRDefault="00A63476">
            <w:pPr>
              <w:rPr>
                <w:sz w:val="2"/>
                <w:szCs w:val="2"/>
              </w:rPr>
            </w:pPr>
          </w:p>
        </w:tc>
        <w:tc>
          <w:tcPr>
            <w:tcW w:w="1978" w:type="dxa"/>
            <w:vMerge/>
            <w:tcBorders>
              <w:top w:val="nil"/>
            </w:tcBorders>
          </w:tcPr>
          <w:p w:rsidR="00A63476" w:rsidRDefault="00A63476">
            <w:pPr>
              <w:rPr>
                <w:sz w:val="2"/>
                <w:szCs w:val="2"/>
              </w:rPr>
            </w:pPr>
          </w:p>
        </w:tc>
        <w:tc>
          <w:tcPr>
            <w:tcW w:w="2094" w:type="dxa"/>
          </w:tcPr>
          <w:p w:rsidR="00A63476" w:rsidRDefault="00D22874">
            <w:pPr>
              <w:pStyle w:val="TableParagraph"/>
              <w:spacing w:before="142"/>
              <w:ind w:left="80"/>
              <w:rPr>
                <w:sz w:val="16"/>
              </w:rPr>
            </w:pPr>
            <w:r>
              <w:rPr>
                <w:sz w:val="16"/>
              </w:rPr>
              <w:t>700 a 1,000 m</w:t>
            </w:r>
          </w:p>
        </w:tc>
        <w:tc>
          <w:tcPr>
            <w:tcW w:w="2019" w:type="dxa"/>
          </w:tcPr>
          <w:p w:rsidR="00A63476" w:rsidRDefault="00D22874">
            <w:pPr>
              <w:pStyle w:val="TableParagraph"/>
              <w:spacing w:before="142"/>
              <w:ind w:left="226" w:right="190"/>
              <w:jc w:val="center"/>
              <w:rPr>
                <w:sz w:val="16"/>
              </w:rPr>
            </w:pPr>
            <w:r>
              <w:rPr>
                <w:sz w:val="16"/>
              </w:rPr>
              <w:t>133.33-(distancia/7.5)</w:t>
            </w:r>
          </w:p>
        </w:tc>
      </w:tr>
      <w:tr w:rsidR="00A63476">
        <w:trPr>
          <w:trHeight w:val="397"/>
        </w:trPr>
        <w:tc>
          <w:tcPr>
            <w:tcW w:w="2591" w:type="dxa"/>
            <w:vMerge/>
            <w:tcBorders>
              <w:top w:val="nil"/>
              <w:bottom w:val="nil"/>
            </w:tcBorders>
          </w:tcPr>
          <w:p w:rsidR="00A63476" w:rsidRDefault="00A63476">
            <w:pPr>
              <w:rPr>
                <w:sz w:val="2"/>
                <w:szCs w:val="2"/>
              </w:rPr>
            </w:pPr>
          </w:p>
        </w:tc>
        <w:tc>
          <w:tcPr>
            <w:tcW w:w="1978" w:type="dxa"/>
            <w:vMerge w:val="restart"/>
          </w:tcPr>
          <w:p w:rsidR="00A63476" w:rsidRDefault="00D22874">
            <w:pPr>
              <w:pStyle w:val="TableParagraph"/>
              <w:spacing w:before="130"/>
              <w:ind w:left="78"/>
              <w:rPr>
                <w:sz w:val="16"/>
              </w:rPr>
            </w:pPr>
            <w:r>
              <w:rPr>
                <w:sz w:val="16"/>
              </w:rPr>
              <w:t>Jardín de niños</w:t>
            </w:r>
          </w:p>
        </w:tc>
        <w:tc>
          <w:tcPr>
            <w:tcW w:w="2094" w:type="dxa"/>
          </w:tcPr>
          <w:p w:rsidR="00A63476" w:rsidRDefault="00D22874">
            <w:pPr>
              <w:pStyle w:val="TableParagraph"/>
              <w:spacing w:before="130"/>
              <w:ind w:left="80"/>
              <w:rPr>
                <w:sz w:val="16"/>
              </w:rPr>
            </w:pPr>
            <w:r>
              <w:rPr>
                <w:sz w:val="16"/>
              </w:rPr>
              <w:t>0 a 700 m</w:t>
            </w:r>
          </w:p>
        </w:tc>
        <w:tc>
          <w:tcPr>
            <w:tcW w:w="2019" w:type="dxa"/>
          </w:tcPr>
          <w:p w:rsidR="00A63476" w:rsidRDefault="00D22874">
            <w:pPr>
              <w:pStyle w:val="TableParagraph"/>
              <w:spacing w:before="130"/>
              <w:ind w:left="216" w:right="190"/>
              <w:jc w:val="center"/>
              <w:rPr>
                <w:sz w:val="16"/>
              </w:rPr>
            </w:pPr>
            <w:r>
              <w:rPr>
                <w:sz w:val="16"/>
              </w:rPr>
              <w:t>60</w:t>
            </w:r>
          </w:p>
        </w:tc>
      </w:tr>
      <w:tr w:rsidR="00A63476">
        <w:trPr>
          <w:trHeight w:val="397"/>
        </w:trPr>
        <w:tc>
          <w:tcPr>
            <w:tcW w:w="2591" w:type="dxa"/>
            <w:vMerge/>
            <w:tcBorders>
              <w:top w:val="nil"/>
              <w:bottom w:val="nil"/>
            </w:tcBorders>
          </w:tcPr>
          <w:p w:rsidR="00A63476" w:rsidRDefault="00A63476">
            <w:pPr>
              <w:rPr>
                <w:sz w:val="2"/>
                <w:szCs w:val="2"/>
              </w:rPr>
            </w:pPr>
          </w:p>
        </w:tc>
        <w:tc>
          <w:tcPr>
            <w:tcW w:w="1978" w:type="dxa"/>
            <w:vMerge/>
            <w:tcBorders>
              <w:top w:val="nil"/>
            </w:tcBorders>
          </w:tcPr>
          <w:p w:rsidR="00A63476" w:rsidRDefault="00A63476">
            <w:pPr>
              <w:rPr>
                <w:sz w:val="2"/>
                <w:szCs w:val="2"/>
              </w:rPr>
            </w:pPr>
          </w:p>
        </w:tc>
        <w:tc>
          <w:tcPr>
            <w:tcW w:w="2094" w:type="dxa"/>
          </w:tcPr>
          <w:p w:rsidR="00A63476" w:rsidRDefault="00D22874">
            <w:pPr>
              <w:pStyle w:val="TableParagraph"/>
              <w:spacing w:before="137"/>
              <w:ind w:left="80"/>
              <w:rPr>
                <w:sz w:val="16"/>
              </w:rPr>
            </w:pPr>
            <w:r>
              <w:rPr>
                <w:sz w:val="16"/>
              </w:rPr>
              <w:t>700 a 1,000 m</w:t>
            </w:r>
          </w:p>
        </w:tc>
        <w:tc>
          <w:tcPr>
            <w:tcW w:w="2019" w:type="dxa"/>
          </w:tcPr>
          <w:p w:rsidR="00A63476" w:rsidRDefault="00D22874">
            <w:pPr>
              <w:pStyle w:val="TableParagraph"/>
              <w:spacing w:before="137"/>
              <w:ind w:left="190" w:right="190"/>
              <w:jc w:val="center"/>
              <w:rPr>
                <w:sz w:val="16"/>
              </w:rPr>
            </w:pPr>
            <w:r>
              <w:rPr>
                <w:sz w:val="16"/>
              </w:rPr>
              <w:t>200-(distancia/5)</w:t>
            </w:r>
          </w:p>
        </w:tc>
      </w:tr>
      <w:tr w:rsidR="00A63476">
        <w:trPr>
          <w:trHeight w:val="397"/>
        </w:trPr>
        <w:tc>
          <w:tcPr>
            <w:tcW w:w="2591" w:type="dxa"/>
            <w:vMerge/>
            <w:tcBorders>
              <w:top w:val="nil"/>
              <w:bottom w:val="nil"/>
            </w:tcBorders>
          </w:tcPr>
          <w:p w:rsidR="00A63476" w:rsidRDefault="00A63476">
            <w:pPr>
              <w:rPr>
                <w:sz w:val="2"/>
                <w:szCs w:val="2"/>
              </w:rPr>
            </w:pPr>
          </w:p>
        </w:tc>
        <w:tc>
          <w:tcPr>
            <w:tcW w:w="1978" w:type="dxa"/>
            <w:vMerge w:val="restart"/>
          </w:tcPr>
          <w:p w:rsidR="00A63476" w:rsidRDefault="00D22874">
            <w:pPr>
              <w:pStyle w:val="TableParagraph"/>
              <w:spacing w:before="125"/>
              <w:ind w:left="78"/>
              <w:rPr>
                <w:sz w:val="16"/>
              </w:rPr>
            </w:pPr>
            <w:r>
              <w:rPr>
                <w:sz w:val="16"/>
              </w:rPr>
              <w:t>Escuela primaria</w:t>
            </w:r>
          </w:p>
        </w:tc>
        <w:tc>
          <w:tcPr>
            <w:tcW w:w="2094" w:type="dxa"/>
          </w:tcPr>
          <w:p w:rsidR="00A63476" w:rsidRDefault="00D22874">
            <w:pPr>
              <w:pStyle w:val="TableParagraph"/>
              <w:spacing w:before="125"/>
              <w:ind w:left="80"/>
              <w:rPr>
                <w:sz w:val="16"/>
              </w:rPr>
            </w:pPr>
            <w:r>
              <w:rPr>
                <w:sz w:val="16"/>
              </w:rPr>
              <w:t>0 a 1,000 m</w:t>
            </w:r>
          </w:p>
        </w:tc>
        <w:tc>
          <w:tcPr>
            <w:tcW w:w="2019" w:type="dxa"/>
          </w:tcPr>
          <w:p w:rsidR="00A63476" w:rsidRDefault="00D22874">
            <w:pPr>
              <w:pStyle w:val="TableParagraph"/>
              <w:spacing w:before="125"/>
              <w:ind w:left="216" w:right="190"/>
              <w:jc w:val="center"/>
              <w:rPr>
                <w:sz w:val="16"/>
              </w:rPr>
            </w:pPr>
            <w:r>
              <w:rPr>
                <w:sz w:val="16"/>
              </w:rPr>
              <w:t>60</w:t>
            </w:r>
          </w:p>
        </w:tc>
      </w:tr>
      <w:tr w:rsidR="00A63476">
        <w:trPr>
          <w:trHeight w:val="397"/>
        </w:trPr>
        <w:tc>
          <w:tcPr>
            <w:tcW w:w="2591" w:type="dxa"/>
            <w:vMerge/>
            <w:tcBorders>
              <w:top w:val="nil"/>
              <w:bottom w:val="nil"/>
            </w:tcBorders>
          </w:tcPr>
          <w:p w:rsidR="00A63476" w:rsidRDefault="00A63476">
            <w:pPr>
              <w:rPr>
                <w:sz w:val="2"/>
                <w:szCs w:val="2"/>
              </w:rPr>
            </w:pPr>
          </w:p>
        </w:tc>
        <w:tc>
          <w:tcPr>
            <w:tcW w:w="1978" w:type="dxa"/>
            <w:vMerge/>
            <w:tcBorders>
              <w:top w:val="nil"/>
            </w:tcBorders>
          </w:tcPr>
          <w:p w:rsidR="00A63476" w:rsidRDefault="00A63476">
            <w:pPr>
              <w:rPr>
                <w:sz w:val="2"/>
                <w:szCs w:val="2"/>
              </w:rPr>
            </w:pPr>
          </w:p>
        </w:tc>
        <w:tc>
          <w:tcPr>
            <w:tcW w:w="2094" w:type="dxa"/>
          </w:tcPr>
          <w:p w:rsidR="00A63476" w:rsidRDefault="00D22874">
            <w:pPr>
              <w:pStyle w:val="TableParagraph"/>
              <w:spacing w:before="133"/>
              <w:ind w:left="80"/>
              <w:rPr>
                <w:sz w:val="16"/>
              </w:rPr>
            </w:pPr>
            <w:r>
              <w:rPr>
                <w:sz w:val="16"/>
              </w:rPr>
              <w:t>1,000 a 2,000 m</w:t>
            </w:r>
          </w:p>
        </w:tc>
        <w:tc>
          <w:tcPr>
            <w:tcW w:w="2019" w:type="dxa"/>
          </w:tcPr>
          <w:p w:rsidR="00A63476" w:rsidRDefault="00D22874">
            <w:pPr>
              <w:pStyle w:val="TableParagraph"/>
              <w:spacing w:before="133"/>
              <w:ind w:left="222" w:right="190"/>
              <w:jc w:val="center"/>
              <w:rPr>
                <w:sz w:val="16"/>
              </w:rPr>
            </w:pPr>
            <w:r>
              <w:rPr>
                <w:sz w:val="16"/>
              </w:rPr>
              <w:t>120-(distancia/16.66)</w:t>
            </w:r>
          </w:p>
        </w:tc>
      </w:tr>
      <w:tr w:rsidR="00A63476">
        <w:trPr>
          <w:trHeight w:val="397"/>
        </w:trPr>
        <w:tc>
          <w:tcPr>
            <w:tcW w:w="2591" w:type="dxa"/>
            <w:vMerge/>
            <w:tcBorders>
              <w:top w:val="nil"/>
              <w:bottom w:val="nil"/>
            </w:tcBorders>
          </w:tcPr>
          <w:p w:rsidR="00A63476" w:rsidRDefault="00A63476">
            <w:pPr>
              <w:rPr>
                <w:sz w:val="2"/>
                <w:szCs w:val="2"/>
              </w:rPr>
            </w:pPr>
          </w:p>
        </w:tc>
        <w:tc>
          <w:tcPr>
            <w:tcW w:w="1978" w:type="dxa"/>
            <w:vMerge w:val="restart"/>
          </w:tcPr>
          <w:p w:rsidR="00A63476" w:rsidRDefault="00D22874">
            <w:pPr>
              <w:pStyle w:val="TableParagraph"/>
              <w:spacing w:before="141"/>
              <w:ind w:left="78"/>
              <w:rPr>
                <w:sz w:val="16"/>
              </w:rPr>
            </w:pPr>
            <w:r>
              <w:rPr>
                <w:sz w:val="16"/>
              </w:rPr>
              <w:t>Escuela secundaria</w:t>
            </w:r>
          </w:p>
        </w:tc>
        <w:tc>
          <w:tcPr>
            <w:tcW w:w="2094" w:type="dxa"/>
          </w:tcPr>
          <w:p w:rsidR="00A63476" w:rsidRDefault="00D22874">
            <w:pPr>
              <w:pStyle w:val="TableParagraph"/>
              <w:spacing w:before="141"/>
              <w:ind w:left="80"/>
              <w:rPr>
                <w:sz w:val="16"/>
              </w:rPr>
            </w:pPr>
            <w:r>
              <w:rPr>
                <w:sz w:val="16"/>
              </w:rPr>
              <w:t>0 a 2,000 m</w:t>
            </w:r>
          </w:p>
        </w:tc>
        <w:tc>
          <w:tcPr>
            <w:tcW w:w="2019" w:type="dxa"/>
          </w:tcPr>
          <w:p w:rsidR="00A63476" w:rsidRDefault="00D22874">
            <w:pPr>
              <w:pStyle w:val="TableParagraph"/>
              <w:spacing w:before="141"/>
              <w:ind w:left="216" w:right="190"/>
              <w:jc w:val="center"/>
              <w:rPr>
                <w:sz w:val="16"/>
              </w:rPr>
            </w:pPr>
            <w:r>
              <w:rPr>
                <w:sz w:val="16"/>
              </w:rPr>
              <w:t>40</w:t>
            </w:r>
          </w:p>
        </w:tc>
      </w:tr>
      <w:tr w:rsidR="00A63476">
        <w:trPr>
          <w:trHeight w:val="397"/>
        </w:trPr>
        <w:tc>
          <w:tcPr>
            <w:tcW w:w="2591" w:type="dxa"/>
            <w:vMerge/>
            <w:tcBorders>
              <w:top w:val="nil"/>
              <w:bottom w:val="nil"/>
            </w:tcBorders>
          </w:tcPr>
          <w:p w:rsidR="00A63476" w:rsidRDefault="00A63476">
            <w:pPr>
              <w:rPr>
                <w:sz w:val="2"/>
                <w:szCs w:val="2"/>
              </w:rPr>
            </w:pPr>
          </w:p>
        </w:tc>
        <w:tc>
          <w:tcPr>
            <w:tcW w:w="1978" w:type="dxa"/>
            <w:vMerge/>
            <w:tcBorders>
              <w:top w:val="nil"/>
            </w:tcBorders>
          </w:tcPr>
          <w:p w:rsidR="00A63476" w:rsidRDefault="00A63476">
            <w:pPr>
              <w:rPr>
                <w:sz w:val="2"/>
                <w:szCs w:val="2"/>
              </w:rPr>
            </w:pPr>
          </w:p>
        </w:tc>
        <w:tc>
          <w:tcPr>
            <w:tcW w:w="2094" w:type="dxa"/>
          </w:tcPr>
          <w:p w:rsidR="00A63476" w:rsidRDefault="00D22874">
            <w:pPr>
              <w:pStyle w:val="TableParagraph"/>
              <w:spacing w:before="129"/>
              <w:ind w:left="80"/>
              <w:rPr>
                <w:sz w:val="16"/>
              </w:rPr>
            </w:pPr>
            <w:r>
              <w:rPr>
                <w:sz w:val="16"/>
              </w:rPr>
              <w:t>2,000 a 3,000 m</w:t>
            </w:r>
          </w:p>
        </w:tc>
        <w:tc>
          <w:tcPr>
            <w:tcW w:w="2019" w:type="dxa"/>
          </w:tcPr>
          <w:p w:rsidR="00A63476" w:rsidRDefault="00D22874">
            <w:pPr>
              <w:pStyle w:val="TableParagraph"/>
              <w:spacing w:before="129"/>
              <w:ind w:left="199" w:right="190"/>
              <w:jc w:val="center"/>
              <w:rPr>
                <w:sz w:val="16"/>
              </w:rPr>
            </w:pPr>
            <w:r>
              <w:rPr>
                <w:sz w:val="16"/>
              </w:rPr>
              <w:t>120-(distancia/25)</w:t>
            </w:r>
          </w:p>
        </w:tc>
      </w:tr>
      <w:tr w:rsidR="00A63476">
        <w:trPr>
          <w:trHeight w:val="651"/>
        </w:trPr>
        <w:tc>
          <w:tcPr>
            <w:tcW w:w="2591" w:type="dxa"/>
            <w:vMerge/>
            <w:tcBorders>
              <w:top w:val="nil"/>
              <w:bottom w:val="nil"/>
            </w:tcBorders>
          </w:tcPr>
          <w:p w:rsidR="00A63476" w:rsidRDefault="00A63476">
            <w:pPr>
              <w:rPr>
                <w:sz w:val="2"/>
                <w:szCs w:val="2"/>
              </w:rPr>
            </w:pPr>
          </w:p>
        </w:tc>
        <w:tc>
          <w:tcPr>
            <w:tcW w:w="4072" w:type="dxa"/>
            <w:gridSpan w:val="2"/>
          </w:tcPr>
          <w:p w:rsidR="00A63476" w:rsidRDefault="00D22874">
            <w:pPr>
              <w:pStyle w:val="TableParagraph"/>
              <w:spacing w:before="137" w:line="312" w:lineRule="auto"/>
              <w:ind w:left="78"/>
              <w:rPr>
                <w:sz w:val="16"/>
              </w:rPr>
            </w:pPr>
            <w:r>
              <w:rPr>
                <w:sz w:val="16"/>
              </w:rPr>
              <w:t>Tienda de abasto existente hasta 700 m o mercado construido a menos de 2 km.</w:t>
            </w:r>
          </w:p>
        </w:tc>
        <w:tc>
          <w:tcPr>
            <w:tcW w:w="2019" w:type="dxa"/>
          </w:tcPr>
          <w:p w:rsidR="00A63476" w:rsidRDefault="00D22874">
            <w:pPr>
              <w:pStyle w:val="TableParagraph"/>
              <w:spacing w:before="137"/>
              <w:ind w:left="216" w:right="190"/>
              <w:jc w:val="center"/>
              <w:rPr>
                <w:sz w:val="16"/>
              </w:rPr>
            </w:pPr>
            <w:r>
              <w:rPr>
                <w:sz w:val="16"/>
              </w:rPr>
              <w:t>10</w:t>
            </w:r>
          </w:p>
        </w:tc>
      </w:tr>
      <w:tr w:rsidR="00A63476">
        <w:trPr>
          <w:trHeight w:val="651"/>
        </w:trPr>
        <w:tc>
          <w:tcPr>
            <w:tcW w:w="2591" w:type="dxa"/>
            <w:vMerge/>
            <w:tcBorders>
              <w:top w:val="nil"/>
              <w:bottom w:val="nil"/>
            </w:tcBorders>
          </w:tcPr>
          <w:p w:rsidR="00A63476" w:rsidRDefault="00A63476">
            <w:pPr>
              <w:rPr>
                <w:sz w:val="2"/>
                <w:szCs w:val="2"/>
              </w:rPr>
            </w:pPr>
          </w:p>
        </w:tc>
        <w:tc>
          <w:tcPr>
            <w:tcW w:w="4072" w:type="dxa"/>
            <w:gridSpan w:val="2"/>
          </w:tcPr>
          <w:p w:rsidR="00A63476" w:rsidRDefault="00D22874">
            <w:pPr>
              <w:pStyle w:val="TableParagraph"/>
              <w:spacing w:before="55" w:line="260" w:lineRule="atLeast"/>
              <w:ind w:left="78"/>
              <w:rPr>
                <w:sz w:val="16"/>
              </w:rPr>
            </w:pPr>
            <w:r>
              <w:rPr>
                <w:sz w:val="16"/>
              </w:rPr>
              <w:t>Infraestructura de acceso a banda ancha cableada o inalámbrica (indistinto).</w:t>
            </w:r>
          </w:p>
        </w:tc>
        <w:tc>
          <w:tcPr>
            <w:tcW w:w="2019" w:type="dxa"/>
          </w:tcPr>
          <w:p w:rsidR="00A63476" w:rsidRDefault="00D22874">
            <w:pPr>
              <w:pStyle w:val="TableParagraph"/>
              <w:spacing w:before="131"/>
              <w:ind w:left="216" w:right="190"/>
              <w:jc w:val="center"/>
              <w:rPr>
                <w:sz w:val="16"/>
              </w:rPr>
            </w:pPr>
            <w:r>
              <w:rPr>
                <w:sz w:val="16"/>
              </w:rPr>
              <w:t>10</w:t>
            </w:r>
          </w:p>
        </w:tc>
      </w:tr>
      <w:tr w:rsidR="00A63476">
        <w:trPr>
          <w:trHeight w:val="1493"/>
        </w:trPr>
        <w:tc>
          <w:tcPr>
            <w:tcW w:w="2591" w:type="dxa"/>
            <w:vMerge/>
            <w:tcBorders>
              <w:top w:val="nil"/>
              <w:bottom w:val="nil"/>
            </w:tcBorders>
          </w:tcPr>
          <w:p w:rsidR="00A63476" w:rsidRDefault="00A63476">
            <w:pPr>
              <w:rPr>
                <w:sz w:val="2"/>
                <w:szCs w:val="2"/>
              </w:rPr>
            </w:pPr>
          </w:p>
        </w:tc>
        <w:tc>
          <w:tcPr>
            <w:tcW w:w="4072" w:type="dxa"/>
            <w:gridSpan w:val="2"/>
          </w:tcPr>
          <w:p w:rsidR="00A63476" w:rsidRDefault="00D22874">
            <w:pPr>
              <w:pStyle w:val="TableParagraph"/>
              <w:spacing w:before="125"/>
              <w:ind w:left="78"/>
              <w:jc w:val="both"/>
              <w:rPr>
                <w:sz w:val="16"/>
              </w:rPr>
            </w:pPr>
            <w:r>
              <w:rPr>
                <w:sz w:val="16"/>
              </w:rPr>
              <w:t>Transporte público</w:t>
            </w:r>
          </w:p>
          <w:p w:rsidR="00A63476" w:rsidRDefault="00D22874">
            <w:pPr>
              <w:pStyle w:val="TableParagraph"/>
              <w:numPr>
                <w:ilvl w:val="0"/>
                <w:numId w:val="24"/>
              </w:numPr>
              <w:tabs>
                <w:tab w:val="left" w:pos="439"/>
              </w:tabs>
              <w:spacing w:before="85" w:line="336" w:lineRule="auto"/>
              <w:ind w:right="78"/>
              <w:jc w:val="both"/>
              <w:rPr>
                <w:sz w:val="16"/>
              </w:rPr>
            </w:pPr>
            <w:r>
              <w:rPr>
                <w:sz w:val="16"/>
              </w:rPr>
              <w:t xml:space="preserve">Paraderos de transporte a una distancia de hasta 300 m siempre y cuando no existan </w:t>
            </w:r>
            <w:r>
              <w:rPr>
                <w:spacing w:val="-3"/>
                <w:sz w:val="16"/>
              </w:rPr>
              <w:t xml:space="preserve">obstáculos </w:t>
            </w:r>
            <w:r>
              <w:rPr>
                <w:sz w:val="16"/>
              </w:rPr>
              <w:t>que impidan el acceso libre,</w:t>
            </w:r>
            <w:r>
              <w:rPr>
                <w:spacing w:val="-1"/>
                <w:sz w:val="16"/>
              </w:rPr>
              <w:t xml:space="preserve"> </w:t>
            </w:r>
            <w:r>
              <w:rPr>
                <w:sz w:val="16"/>
              </w:rPr>
              <w:t>y</w:t>
            </w:r>
          </w:p>
          <w:p w:rsidR="00A63476" w:rsidRDefault="00D22874">
            <w:pPr>
              <w:pStyle w:val="TableParagraph"/>
              <w:numPr>
                <w:ilvl w:val="0"/>
                <w:numId w:val="24"/>
              </w:numPr>
              <w:tabs>
                <w:tab w:val="left" w:pos="439"/>
              </w:tabs>
              <w:spacing w:line="206" w:lineRule="exact"/>
              <w:ind w:hanging="361"/>
              <w:jc w:val="both"/>
              <w:rPr>
                <w:sz w:val="16"/>
              </w:rPr>
            </w:pPr>
            <w:r>
              <w:rPr>
                <w:sz w:val="16"/>
              </w:rPr>
              <w:t>Más de una ruta en un radio de 300 metros.</w:t>
            </w:r>
          </w:p>
        </w:tc>
        <w:tc>
          <w:tcPr>
            <w:tcW w:w="2019" w:type="dxa"/>
          </w:tcPr>
          <w:p w:rsidR="00A63476" w:rsidRDefault="00A63476">
            <w:pPr>
              <w:pStyle w:val="TableParagraph"/>
              <w:rPr>
                <w:sz w:val="18"/>
              </w:rPr>
            </w:pPr>
          </w:p>
          <w:p w:rsidR="00A63476" w:rsidRDefault="00A63476">
            <w:pPr>
              <w:pStyle w:val="TableParagraph"/>
              <w:rPr>
                <w:sz w:val="18"/>
              </w:rPr>
            </w:pPr>
          </w:p>
          <w:p w:rsidR="00A63476" w:rsidRDefault="00A63476">
            <w:pPr>
              <w:pStyle w:val="TableParagraph"/>
              <w:spacing w:before="6"/>
              <w:rPr>
                <w:sz w:val="23"/>
              </w:rPr>
            </w:pPr>
          </w:p>
          <w:p w:rsidR="00A63476" w:rsidRDefault="00D22874">
            <w:pPr>
              <w:pStyle w:val="TableParagraph"/>
              <w:ind w:left="216" w:right="190"/>
              <w:jc w:val="center"/>
              <w:rPr>
                <w:sz w:val="16"/>
              </w:rPr>
            </w:pPr>
            <w:r>
              <w:rPr>
                <w:sz w:val="16"/>
              </w:rPr>
              <w:t>20</w:t>
            </w:r>
          </w:p>
        </w:tc>
      </w:tr>
      <w:tr w:rsidR="00A63476">
        <w:trPr>
          <w:trHeight w:val="2001"/>
        </w:trPr>
        <w:tc>
          <w:tcPr>
            <w:tcW w:w="2591" w:type="dxa"/>
            <w:vMerge/>
            <w:tcBorders>
              <w:top w:val="nil"/>
              <w:bottom w:val="nil"/>
            </w:tcBorders>
          </w:tcPr>
          <w:p w:rsidR="00A63476" w:rsidRDefault="00A63476">
            <w:pPr>
              <w:rPr>
                <w:sz w:val="2"/>
                <w:szCs w:val="2"/>
              </w:rPr>
            </w:pPr>
          </w:p>
        </w:tc>
        <w:tc>
          <w:tcPr>
            <w:tcW w:w="4072" w:type="dxa"/>
            <w:gridSpan w:val="2"/>
          </w:tcPr>
          <w:p w:rsidR="00A63476" w:rsidRDefault="00D22874">
            <w:pPr>
              <w:pStyle w:val="TableParagraph"/>
              <w:spacing w:before="137"/>
              <w:ind w:left="78"/>
              <w:jc w:val="both"/>
              <w:rPr>
                <w:sz w:val="16"/>
              </w:rPr>
            </w:pPr>
            <w:r>
              <w:rPr>
                <w:sz w:val="16"/>
              </w:rPr>
              <w:t>Transporte no motorizado e infraestructura incluyente:</w:t>
            </w:r>
          </w:p>
          <w:p w:rsidR="00A63476" w:rsidRDefault="00D22874">
            <w:pPr>
              <w:pStyle w:val="TableParagraph"/>
              <w:numPr>
                <w:ilvl w:val="0"/>
                <w:numId w:val="23"/>
              </w:numPr>
              <w:tabs>
                <w:tab w:val="left" w:pos="439"/>
              </w:tabs>
              <w:spacing w:before="65" w:line="324" w:lineRule="auto"/>
              <w:ind w:right="78"/>
              <w:jc w:val="both"/>
              <w:rPr>
                <w:sz w:val="16"/>
              </w:rPr>
            </w:pPr>
            <w:r>
              <w:rPr>
                <w:spacing w:val="12"/>
                <w:sz w:val="16"/>
              </w:rPr>
              <w:t xml:space="preserve">Banqueta </w:t>
            </w:r>
            <w:r>
              <w:rPr>
                <w:spacing w:val="11"/>
                <w:sz w:val="16"/>
              </w:rPr>
              <w:t xml:space="preserve">mínima </w:t>
            </w:r>
            <w:r>
              <w:rPr>
                <w:sz w:val="16"/>
              </w:rPr>
              <w:t xml:space="preserve">2 . 5 m </w:t>
            </w:r>
            <w:r>
              <w:rPr>
                <w:spacing w:val="7"/>
                <w:sz w:val="16"/>
              </w:rPr>
              <w:t xml:space="preserve">de </w:t>
            </w:r>
            <w:r>
              <w:rPr>
                <w:spacing w:val="11"/>
                <w:sz w:val="16"/>
              </w:rPr>
              <w:t xml:space="preserve">ancho </w:t>
            </w:r>
            <w:r>
              <w:rPr>
                <w:spacing w:val="9"/>
                <w:sz w:val="16"/>
              </w:rPr>
              <w:t xml:space="preserve">con </w:t>
            </w:r>
            <w:r>
              <w:rPr>
                <w:sz w:val="16"/>
              </w:rPr>
              <w:t xml:space="preserve">infraestructura para personas con </w:t>
            </w:r>
            <w:r>
              <w:rPr>
                <w:spacing w:val="-2"/>
                <w:sz w:val="16"/>
              </w:rPr>
              <w:t xml:space="preserve">discapacidad, </w:t>
            </w:r>
            <w:r>
              <w:rPr>
                <w:sz w:val="16"/>
              </w:rPr>
              <w:t>con árboles cada 20 mts.</w:t>
            </w:r>
            <w:r>
              <w:rPr>
                <w:spacing w:val="-2"/>
                <w:sz w:val="16"/>
              </w:rPr>
              <w:t xml:space="preserve"> </w:t>
            </w:r>
            <w:r>
              <w:rPr>
                <w:sz w:val="16"/>
              </w:rPr>
              <w:t>o</w:t>
            </w:r>
          </w:p>
          <w:p w:rsidR="00A63476" w:rsidRDefault="00D22874">
            <w:pPr>
              <w:pStyle w:val="TableParagraph"/>
              <w:numPr>
                <w:ilvl w:val="0"/>
                <w:numId w:val="23"/>
              </w:numPr>
              <w:tabs>
                <w:tab w:val="left" w:pos="439"/>
              </w:tabs>
              <w:spacing w:before="20" w:line="309" w:lineRule="auto"/>
              <w:ind w:right="78"/>
              <w:jc w:val="both"/>
              <w:rPr>
                <w:sz w:val="16"/>
              </w:rPr>
            </w:pPr>
            <w:r>
              <w:rPr>
                <w:sz w:val="16"/>
              </w:rPr>
              <w:t>Ciclovía con confinamiento físico que comunique a</w:t>
            </w:r>
            <w:r>
              <w:rPr>
                <w:spacing w:val="12"/>
                <w:sz w:val="16"/>
              </w:rPr>
              <w:t xml:space="preserve"> </w:t>
            </w:r>
            <w:r>
              <w:rPr>
                <w:sz w:val="16"/>
              </w:rPr>
              <w:t>vivienda</w:t>
            </w:r>
            <w:r>
              <w:rPr>
                <w:spacing w:val="13"/>
                <w:sz w:val="16"/>
              </w:rPr>
              <w:t xml:space="preserve"> </w:t>
            </w:r>
            <w:r>
              <w:rPr>
                <w:sz w:val="16"/>
              </w:rPr>
              <w:t>con</w:t>
            </w:r>
            <w:r>
              <w:rPr>
                <w:spacing w:val="13"/>
                <w:sz w:val="16"/>
              </w:rPr>
              <w:t xml:space="preserve"> </w:t>
            </w:r>
            <w:r>
              <w:rPr>
                <w:sz w:val="16"/>
              </w:rPr>
              <w:t>el</w:t>
            </w:r>
            <w:r>
              <w:rPr>
                <w:spacing w:val="13"/>
                <w:sz w:val="16"/>
              </w:rPr>
              <w:t xml:space="preserve"> </w:t>
            </w:r>
            <w:r>
              <w:rPr>
                <w:sz w:val="16"/>
              </w:rPr>
              <w:t>equipamiento</w:t>
            </w:r>
            <w:r>
              <w:rPr>
                <w:spacing w:val="13"/>
                <w:sz w:val="16"/>
              </w:rPr>
              <w:t xml:space="preserve"> </w:t>
            </w:r>
            <w:r>
              <w:rPr>
                <w:sz w:val="16"/>
              </w:rPr>
              <w:t>y/o</w:t>
            </w:r>
            <w:r>
              <w:rPr>
                <w:spacing w:val="13"/>
                <w:sz w:val="16"/>
              </w:rPr>
              <w:t xml:space="preserve"> </w:t>
            </w:r>
            <w:r>
              <w:rPr>
                <w:sz w:val="16"/>
              </w:rPr>
              <w:t>el</w:t>
            </w:r>
            <w:r>
              <w:rPr>
                <w:spacing w:val="13"/>
                <w:sz w:val="16"/>
              </w:rPr>
              <w:t xml:space="preserve"> </w:t>
            </w:r>
            <w:r>
              <w:rPr>
                <w:sz w:val="16"/>
              </w:rPr>
              <w:t>servicio</w:t>
            </w:r>
            <w:r>
              <w:rPr>
                <w:spacing w:val="13"/>
                <w:sz w:val="16"/>
              </w:rPr>
              <w:t xml:space="preserve"> </w:t>
            </w:r>
            <w:r>
              <w:rPr>
                <w:spacing w:val="-8"/>
                <w:sz w:val="16"/>
              </w:rPr>
              <w:t>de</w:t>
            </w:r>
          </w:p>
          <w:p w:rsidR="00A63476" w:rsidRDefault="00D22874">
            <w:pPr>
              <w:pStyle w:val="TableParagraph"/>
              <w:spacing w:before="22"/>
              <w:ind w:left="438"/>
              <w:jc w:val="both"/>
              <w:rPr>
                <w:sz w:val="16"/>
              </w:rPr>
            </w:pPr>
            <w:r>
              <w:rPr>
                <w:sz w:val="16"/>
              </w:rPr>
              <w:t>transporte público.</w:t>
            </w:r>
          </w:p>
        </w:tc>
        <w:tc>
          <w:tcPr>
            <w:tcW w:w="2019" w:type="dxa"/>
          </w:tcPr>
          <w:p w:rsidR="00A63476" w:rsidRDefault="00A63476">
            <w:pPr>
              <w:pStyle w:val="TableParagraph"/>
              <w:rPr>
                <w:sz w:val="18"/>
              </w:rPr>
            </w:pPr>
          </w:p>
          <w:p w:rsidR="00A63476" w:rsidRDefault="00A63476">
            <w:pPr>
              <w:pStyle w:val="TableParagraph"/>
              <w:rPr>
                <w:sz w:val="18"/>
              </w:rPr>
            </w:pPr>
          </w:p>
          <w:p w:rsidR="00A63476" w:rsidRDefault="00A63476">
            <w:pPr>
              <w:pStyle w:val="TableParagraph"/>
              <w:rPr>
                <w:sz w:val="18"/>
              </w:rPr>
            </w:pPr>
          </w:p>
          <w:p w:rsidR="00A63476" w:rsidRDefault="00A63476">
            <w:pPr>
              <w:pStyle w:val="TableParagraph"/>
              <w:rPr>
                <w:sz w:val="18"/>
              </w:rPr>
            </w:pPr>
          </w:p>
          <w:p w:rsidR="00A63476" w:rsidRDefault="00D22874">
            <w:pPr>
              <w:pStyle w:val="TableParagraph"/>
              <w:spacing w:before="109"/>
              <w:ind w:left="216" w:right="190"/>
              <w:jc w:val="center"/>
              <w:rPr>
                <w:sz w:val="16"/>
              </w:rPr>
            </w:pPr>
            <w:r>
              <w:rPr>
                <w:sz w:val="16"/>
              </w:rPr>
              <w:t>20</w:t>
            </w:r>
          </w:p>
        </w:tc>
      </w:tr>
    </w:tbl>
    <w:p w:rsidR="00A63476" w:rsidRDefault="00A63476">
      <w:pPr>
        <w:jc w:val="center"/>
        <w:rPr>
          <w:sz w:val="16"/>
        </w:rPr>
        <w:sectPr w:rsidR="00A63476">
          <w:pgSz w:w="12240" w:h="15840"/>
          <w:pgMar w:top="880" w:right="1040" w:bottom="280" w:left="1180" w:header="699" w:footer="0" w:gutter="0"/>
          <w:cols w:space="720"/>
        </w:sectPr>
      </w:pPr>
    </w:p>
    <w:p w:rsidR="00A63476" w:rsidRDefault="00FF0FB3">
      <w:pPr>
        <w:pStyle w:val="Textoindependiente"/>
        <w:spacing w:line="20" w:lineRule="exact"/>
        <w:ind w:left="396" w:right="0" w:firstLine="0"/>
        <w:jc w:val="left"/>
        <w:rPr>
          <w:sz w:val="2"/>
        </w:rPr>
      </w:pPr>
      <w:r>
        <w:rPr>
          <w:noProof/>
          <w:sz w:val="2"/>
        </w:rPr>
        <w:lastRenderedPageBreak/>
        <mc:AlternateContent>
          <mc:Choice Requires="wpg">
            <w:drawing>
              <wp:inline distT="0" distB="0" distL="0" distR="0">
                <wp:extent cx="5852160" cy="9525"/>
                <wp:effectExtent l="10160" t="6985" r="5080" b="2540"/>
                <wp:docPr id="56" name="Group 33"/>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5852160" cy="9525"/>
                          <a:chOff x="0" y="0"/>
                          <a:chExt cx="9216" cy="15"/>
                        </a:xfrm>
                      </wpg:grpSpPr>
                      <wps:wsp>
                        <wps:cNvPr id="57" name="Line 34"/>
                        <wps:cNvCnPr>
                          <a:cxnSpLocks noChangeShapeType="1"/>
                        </wps:cNvCnPr>
                        <wps:spPr bwMode="auto">
                          <a:xfrm>
                            <a:off x="0" y="7"/>
                            <a:ext cx="9216" cy="0"/>
                          </a:xfrm>
                          <a:prstGeom prst="line">
                            <a:avLst/>
                          </a:prstGeom>
                          <a:noFill/>
                          <a:ln w="9525">
                            <a:solidFill>
                              <a:srgbClr val="000000"/>
                            </a:solidFill>
                            <a:prstDash val="solid"/>
                            <a:round/>
                            <a:headEnd/>
                            <a:tailEnd/>
                          </a:ln>
                          <a:extLst>
                            <a:ext uri="{909E8E84-426E-40DD-AFC4-6F175D3DCCD1}">
                              <a14:hiddenFill xmlns:a14="http://schemas.microsoft.com/office/drawing/2010/main">
                                <a:noFill/>
                              </a14:hiddenFill>
                            </a:ext>
                          </a:extLst>
                        </wps:spPr>
                        <wps:bodyPr/>
                      </wps:wsp>
                    </wpg:wgp>
                  </a:graphicData>
                </a:graphic>
              </wp:inline>
            </w:drawing>
          </mc:Choice>
          <mc:Fallback>
            <w:pict>
              <v:group w14:anchorId="73CBB543" id="Group 33" o:spid="_x0000_s1026" style="width:460.8pt;height:.75pt;mso-position-horizontal-relative:char;mso-position-vertical-relative:line" coordsize="9216,1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">
                <v:line id="Line 34" o:spid="_x0000_s1027" style="position:absolute;visibility:visible;mso-wrap-style:square" from="0,7" to="9216,7"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"/>
                <w10:anchorlock/>
              </v:group>
            </w:pict>
          </mc:Fallback>
        </mc:AlternateContent>
      </w:r>
    </w:p>
    <w:p w:rsidR="00A63476" w:rsidRDefault="00A63476">
      <w:pPr>
        <w:pStyle w:val="Textoindependiente"/>
        <w:spacing w:before="3"/>
        <w:ind w:left="0" w:right="0" w:firstLine="0"/>
        <w:jc w:val="left"/>
        <w:rPr>
          <w:sz w:val="20"/>
        </w:rPr>
      </w:pPr>
    </w:p>
    <w:tbl>
      <w:tblPr>
        <w:tblStyle w:val="TableNormal"/>
        <w:tblW w:w="0" w:type="auto"/>
        <w:tblInd w:w="678" w:type="dxa"/>
        <w:tblBorders>
          <w:top w:val="single" w:sz="6" w:space="0" w:color="404040"/>
          <w:left w:val="single" w:sz="6" w:space="0" w:color="404040"/>
          <w:bottom w:val="single" w:sz="6" w:space="0" w:color="404040"/>
          <w:right w:val="single" w:sz="6" w:space="0" w:color="404040"/>
          <w:insideH w:val="single" w:sz="6" w:space="0" w:color="404040"/>
          <w:insideV w:val="single" w:sz="6" w:space="0" w:color="404040"/>
        </w:tblBorders>
        <w:tblLayout w:type="fixed"/>
        <w:tblLook w:val="01E0" w:firstRow="1" w:lastRow="1" w:firstColumn="1" w:lastColumn="1" w:noHBand="0" w:noVBand="0"/>
      </w:tblPr>
      <w:tblGrid>
        <w:gridCol w:w="2591"/>
        <w:gridCol w:w="4072"/>
        <w:gridCol w:w="2019"/>
      </w:tblGrid>
      <w:tr w:rsidR="00A63476">
        <w:trPr>
          <w:trHeight w:val="370"/>
        </w:trPr>
        <w:tc>
          <w:tcPr>
            <w:tcW w:w="2591" w:type="dxa"/>
            <w:vMerge w:val="restart"/>
            <w:tcBorders>
              <w:top w:val="nil"/>
            </w:tcBorders>
          </w:tcPr>
          <w:p w:rsidR="00A63476" w:rsidRDefault="00A63476">
            <w:pPr>
              <w:pStyle w:val="TableParagraph"/>
              <w:rPr>
                <w:rFonts w:ascii="Times New Roman"/>
                <w:sz w:val="16"/>
              </w:rPr>
            </w:pPr>
          </w:p>
        </w:tc>
        <w:tc>
          <w:tcPr>
            <w:tcW w:w="4072" w:type="dxa"/>
            <w:tcBorders>
              <w:bottom w:val="nil"/>
            </w:tcBorders>
          </w:tcPr>
          <w:p w:rsidR="00A63476" w:rsidRDefault="00D22874">
            <w:pPr>
              <w:pStyle w:val="TableParagraph"/>
              <w:spacing w:before="143"/>
              <w:ind w:left="78"/>
              <w:rPr>
                <w:sz w:val="16"/>
              </w:rPr>
            </w:pPr>
            <w:r>
              <w:rPr>
                <w:sz w:val="16"/>
              </w:rPr>
              <w:t>Espacios abiertos y áreas libres:</w:t>
            </w:r>
          </w:p>
        </w:tc>
        <w:tc>
          <w:tcPr>
            <w:tcW w:w="2019" w:type="dxa"/>
            <w:tcBorders>
              <w:bottom w:val="nil"/>
            </w:tcBorders>
          </w:tcPr>
          <w:p w:rsidR="00A63476" w:rsidRDefault="00A63476">
            <w:pPr>
              <w:pStyle w:val="TableParagraph"/>
              <w:rPr>
                <w:rFonts w:ascii="Times New Roman"/>
                <w:sz w:val="16"/>
              </w:rPr>
            </w:pPr>
          </w:p>
        </w:tc>
      </w:tr>
      <w:tr w:rsidR="00A63476">
        <w:trPr>
          <w:trHeight w:val="785"/>
        </w:trPr>
        <w:tc>
          <w:tcPr>
            <w:tcW w:w="2591" w:type="dxa"/>
            <w:vMerge/>
            <w:tcBorders>
              <w:top w:val="nil"/>
            </w:tcBorders>
          </w:tcPr>
          <w:p w:rsidR="00A63476" w:rsidRDefault="00A63476">
            <w:pPr>
              <w:rPr>
                <w:sz w:val="2"/>
                <w:szCs w:val="2"/>
              </w:rPr>
            </w:pPr>
          </w:p>
        </w:tc>
        <w:tc>
          <w:tcPr>
            <w:tcW w:w="4072" w:type="dxa"/>
            <w:tcBorders>
              <w:top w:val="nil"/>
              <w:bottom w:val="nil"/>
            </w:tcBorders>
          </w:tcPr>
          <w:p w:rsidR="00A63476" w:rsidRDefault="00D22874">
            <w:pPr>
              <w:pStyle w:val="TableParagraph"/>
              <w:numPr>
                <w:ilvl w:val="0"/>
                <w:numId w:val="22"/>
              </w:numPr>
              <w:tabs>
                <w:tab w:val="left" w:pos="438"/>
                <w:tab w:val="left" w:pos="439"/>
              </w:tabs>
              <w:spacing w:before="7" w:line="333" w:lineRule="auto"/>
              <w:ind w:right="78"/>
              <w:rPr>
                <w:sz w:val="16"/>
              </w:rPr>
            </w:pPr>
            <w:r>
              <w:rPr>
                <w:sz w:val="16"/>
              </w:rPr>
              <w:t xml:space="preserve">Cancha deportiva con una superficie de por </w:t>
            </w:r>
            <w:r>
              <w:rPr>
                <w:spacing w:val="-6"/>
                <w:sz w:val="16"/>
              </w:rPr>
              <w:t xml:space="preserve">lo </w:t>
            </w:r>
            <w:r>
              <w:rPr>
                <w:sz w:val="16"/>
              </w:rPr>
              <w:t>menos 15 x 30 m, a menos de 1,000 metros de</w:t>
            </w:r>
            <w:r>
              <w:rPr>
                <w:spacing w:val="11"/>
                <w:sz w:val="16"/>
              </w:rPr>
              <w:t xml:space="preserve"> </w:t>
            </w:r>
            <w:r>
              <w:rPr>
                <w:spacing w:val="-6"/>
                <w:sz w:val="16"/>
              </w:rPr>
              <w:t>la</w:t>
            </w:r>
          </w:p>
          <w:p w:rsidR="00A63476" w:rsidRDefault="00D22874">
            <w:pPr>
              <w:pStyle w:val="TableParagraph"/>
              <w:spacing w:before="4"/>
              <w:ind w:left="438"/>
              <w:rPr>
                <w:sz w:val="16"/>
              </w:rPr>
            </w:pPr>
            <w:r>
              <w:rPr>
                <w:sz w:val="16"/>
              </w:rPr>
              <w:t>vivienda.</w:t>
            </w:r>
          </w:p>
        </w:tc>
        <w:tc>
          <w:tcPr>
            <w:tcW w:w="2019" w:type="dxa"/>
            <w:tcBorders>
              <w:top w:val="nil"/>
              <w:bottom w:val="nil"/>
            </w:tcBorders>
          </w:tcPr>
          <w:p w:rsidR="00A63476" w:rsidRDefault="00A63476">
            <w:pPr>
              <w:pStyle w:val="TableParagraph"/>
              <w:rPr>
                <w:rFonts w:ascii="Times New Roman"/>
                <w:sz w:val="16"/>
              </w:rPr>
            </w:pPr>
          </w:p>
        </w:tc>
      </w:tr>
      <w:tr w:rsidR="00A63476">
        <w:trPr>
          <w:trHeight w:val="595"/>
        </w:trPr>
        <w:tc>
          <w:tcPr>
            <w:tcW w:w="2591" w:type="dxa"/>
            <w:vMerge/>
            <w:tcBorders>
              <w:top w:val="nil"/>
            </w:tcBorders>
          </w:tcPr>
          <w:p w:rsidR="00A63476" w:rsidRDefault="00A63476">
            <w:pPr>
              <w:rPr>
                <w:sz w:val="2"/>
                <w:szCs w:val="2"/>
              </w:rPr>
            </w:pPr>
          </w:p>
        </w:tc>
        <w:tc>
          <w:tcPr>
            <w:tcW w:w="4072" w:type="dxa"/>
            <w:tcBorders>
              <w:top w:val="nil"/>
              <w:bottom w:val="nil"/>
            </w:tcBorders>
          </w:tcPr>
          <w:p w:rsidR="00A63476" w:rsidRDefault="00D22874">
            <w:pPr>
              <w:pStyle w:val="TableParagraph"/>
              <w:numPr>
                <w:ilvl w:val="0"/>
                <w:numId w:val="21"/>
              </w:numPr>
              <w:tabs>
                <w:tab w:val="left" w:pos="438"/>
                <w:tab w:val="left" w:pos="439"/>
              </w:tabs>
              <w:spacing w:before="7" w:line="333" w:lineRule="auto"/>
              <w:ind w:right="79"/>
              <w:rPr>
                <w:sz w:val="16"/>
              </w:rPr>
            </w:pPr>
            <w:r>
              <w:rPr>
                <w:sz w:val="16"/>
              </w:rPr>
              <w:t>Espacio deportivo y recreativo de 200 metros</w:t>
            </w:r>
            <w:r>
              <w:rPr>
                <w:position w:val="4"/>
                <w:sz w:val="10"/>
              </w:rPr>
              <w:t xml:space="preserve">2 </w:t>
            </w:r>
            <w:r>
              <w:rPr>
                <w:spacing w:val="-15"/>
                <w:sz w:val="16"/>
              </w:rPr>
              <w:t xml:space="preserve">a </w:t>
            </w:r>
            <w:r>
              <w:rPr>
                <w:sz w:val="16"/>
              </w:rPr>
              <w:t>menos de 500 metros de la vivienda.</w:t>
            </w:r>
          </w:p>
        </w:tc>
        <w:tc>
          <w:tcPr>
            <w:tcW w:w="2019" w:type="dxa"/>
            <w:tcBorders>
              <w:top w:val="nil"/>
              <w:bottom w:val="nil"/>
            </w:tcBorders>
          </w:tcPr>
          <w:p w:rsidR="00A63476" w:rsidRDefault="00A63476">
            <w:pPr>
              <w:pStyle w:val="TableParagraph"/>
              <w:rPr>
                <w:sz w:val="18"/>
              </w:rPr>
            </w:pPr>
          </w:p>
          <w:p w:rsidR="00A63476" w:rsidRDefault="00A63476">
            <w:pPr>
              <w:pStyle w:val="TableParagraph"/>
              <w:spacing w:before="3"/>
              <w:rPr>
                <w:sz w:val="18"/>
              </w:rPr>
            </w:pPr>
          </w:p>
          <w:p w:rsidR="00A63476" w:rsidRDefault="00D22874">
            <w:pPr>
              <w:pStyle w:val="TableParagraph"/>
              <w:spacing w:before="1" w:line="157" w:lineRule="exact"/>
              <w:ind w:left="106"/>
              <w:rPr>
                <w:sz w:val="16"/>
              </w:rPr>
            </w:pPr>
            <w:r>
              <w:rPr>
                <w:sz w:val="16"/>
              </w:rPr>
              <w:t>50 puntos por 3 acciones</w:t>
            </w:r>
          </w:p>
        </w:tc>
      </w:tr>
      <w:tr w:rsidR="00A63476">
        <w:trPr>
          <w:trHeight w:val="981"/>
        </w:trPr>
        <w:tc>
          <w:tcPr>
            <w:tcW w:w="2591" w:type="dxa"/>
            <w:vMerge/>
            <w:tcBorders>
              <w:top w:val="nil"/>
            </w:tcBorders>
          </w:tcPr>
          <w:p w:rsidR="00A63476" w:rsidRDefault="00A63476">
            <w:pPr>
              <w:rPr>
                <w:sz w:val="2"/>
                <w:szCs w:val="2"/>
              </w:rPr>
            </w:pPr>
          </w:p>
        </w:tc>
        <w:tc>
          <w:tcPr>
            <w:tcW w:w="4072" w:type="dxa"/>
            <w:tcBorders>
              <w:top w:val="nil"/>
              <w:bottom w:val="nil"/>
            </w:tcBorders>
          </w:tcPr>
          <w:p w:rsidR="00A63476" w:rsidRDefault="00D22874">
            <w:pPr>
              <w:pStyle w:val="TableParagraph"/>
              <w:numPr>
                <w:ilvl w:val="0"/>
                <w:numId w:val="20"/>
              </w:numPr>
              <w:tabs>
                <w:tab w:val="left" w:pos="438"/>
                <w:tab w:val="left" w:pos="439"/>
              </w:tabs>
              <w:spacing w:line="172" w:lineRule="exact"/>
              <w:ind w:hanging="361"/>
              <w:rPr>
                <w:sz w:val="16"/>
              </w:rPr>
            </w:pPr>
            <w:r>
              <w:rPr>
                <w:sz w:val="16"/>
              </w:rPr>
              <w:t>Parque</w:t>
            </w:r>
            <w:r>
              <w:rPr>
                <w:spacing w:val="27"/>
                <w:sz w:val="16"/>
              </w:rPr>
              <w:t xml:space="preserve"> </w:t>
            </w:r>
            <w:r>
              <w:rPr>
                <w:sz w:val="16"/>
              </w:rPr>
              <w:t>infantil</w:t>
            </w:r>
            <w:r>
              <w:rPr>
                <w:spacing w:val="27"/>
                <w:sz w:val="16"/>
              </w:rPr>
              <w:t xml:space="preserve"> </w:t>
            </w:r>
            <w:r>
              <w:rPr>
                <w:sz w:val="16"/>
              </w:rPr>
              <w:t>con</w:t>
            </w:r>
            <w:r>
              <w:rPr>
                <w:spacing w:val="28"/>
                <w:sz w:val="16"/>
              </w:rPr>
              <w:t xml:space="preserve"> </w:t>
            </w:r>
            <w:r>
              <w:rPr>
                <w:sz w:val="16"/>
              </w:rPr>
              <w:t>juegos</w:t>
            </w:r>
            <w:r>
              <w:rPr>
                <w:spacing w:val="27"/>
                <w:sz w:val="16"/>
              </w:rPr>
              <w:t xml:space="preserve"> </w:t>
            </w:r>
            <w:r>
              <w:rPr>
                <w:sz w:val="16"/>
              </w:rPr>
              <w:t>a</w:t>
            </w:r>
            <w:r>
              <w:rPr>
                <w:spacing w:val="28"/>
                <w:sz w:val="16"/>
              </w:rPr>
              <w:t xml:space="preserve"> </w:t>
            </w:r>
            <w:r>
              <w:rPr>
                <w:sz w:val="16"/>
              </w:rPr>
              <w:t>menos</w:t>
            </w:r>
            <w:r>
              <w:rPr>
                <w:spacing w:val="27"/>
                <w:sz w:val="16"/>
              </w:rPr>
              <w:t xml:space="preserve"> </w:t>
            </w:r>
            <w:r>
              <w:rPr>
                <w:sz w:val="16"/>
              </w:rPr>
              <w:t>de</w:t>
            </w:r>
            <w:r>
              <w:rPr>
                <w:spacing w:val="28"/>
                <w:sz w:val="16"/>
              </w:rPr>
              <w:t xml:space="preserve"> </w:t>
            </w:r>
            <w:r>
              <w:rPr>
                <w:sz w:val="16"/>
              </w:rPr>
              <w:t>300</w:t>
            </w:r>
          </w:p>
          <w:p w:rsidR="00A63476" w:rsidRDefault="00D22874">
            <w:pPr>
              <w:pStyle w:val="TableParagraph"/>
              <w:spacing w:before="56" w:line="338" w:lineRule="auto"/>
              <w:ind w:left="438" w:right="79"/>
              <w:rPr>
                <w:sz w:val="16"/>
              </w:rPr>
            </w:pPr>
            <w:r>
              <w:rPr>
                <w:sz w:val="16"/>
              </w:rPr>
              <w:t>metros de la vivienda. Para acceder a la población no debe tener que cruzar vialidad</w:t>
            </w:r>
          </w:p>
          <w:p w:rsidR="00A63476" w:rsidRDefault="00D22874">
            <w:pPr>
              <w:pStyle w:val="TableParagraph"/>
              <w:spacing w:before="1"/>
              <w:ind w:left="438"/>
              <w:rPr>
                <w:sz w:val="16"/>
              </w:rPr>
            </w:pPr>
            <w:r>
              <w:rPr>
                <w:sz w:val="16"/>
              </w:rPr>
              <w:t>primaria.</w:t>
            </w:r>
          </w:p>
        </w:tc>
        <w:tc>
          <w:tcPr>
            <w:tcW w:w="2019" w:type="dxa"/>
            <w:tcBorders>
              <w:top w:val="nil"/>
              <w:bottom w:val="nil"/>
            </w:tcBorders>
          </w:tcPr>
          <w:p w:rsidR="00A63476" w:rsidRDefault="00D22874">
            <w:pPr>
              <w:pStyle w:val="TableParagraph"/>
              <w:spacing w:before="88" w:line="391" w:lineRule="auto"/>
              <w:ind w:left="106" w:right="81"/>
              <w:rPr>
                <w:sz w:val="16"/>
              </w:rPr>
            </w:pPr>
            <w:r>
              <w:rPr>
                <w:sz w:val="16"/>
              </w:rPr>
              <w:t>39 puntos por 2 acciones 18 puntos por una acción</w:t>
            </w:r>
          </w:p>
        </w:tc>
      </w:tr>
      <w:tr w:rsidR="00A63476">
        <w:trPr>
          <w:trHeight w:val="528"/>
        </w:trPr>
        <w:tc>
          <w:tcPr>
            <w:tcW w:w="2591" w:type="dxa"/>
            <w:vMerge/>
            <w:tcBorders>
              <w:top w:val="nil"/>
            </w:tcBorders>
          </w:tcPr>
          <w:p w:rsidR="00A63476" w:rsidRDefault="00A63476">
            <w:pPr>
              <w:rPr>
                <w:sz w:val="2"/>
                <w:szCs w:val="2"/>
              </w:rPr>
            </w:pPr>
          </w:p>
        </w:tc>
        <w:tc>
          <w:tcPr>
            <w:tcW w:w="4072" w:type="dxa"/>
            <w:tcBorders>
              <w:top w:val="nil"/>
              <w:bottom w:val="nil"/>
            </w:tcBorders>
          </w:tcPr>
          <w:p w:rsidR="00A63476" w:rsidRDefault="00D22874">
            <w:pPr>
              <w:pStyle w:val="TableParagraph"/>
              <w:numPr>
                <w:ilvl w:val="0"/>
                <w:numId w:val="19"/>
              </w:numPr>
              <w:tabs>
                <w:tab w:val="left" w:pos="438"/>
                <w:tab w:val="left" w:pos="439"/>
              </w:tabs>
              <w:spacing w:before="9" w:line="240" w:lineRule="exact"/>
              <w:ind w:right="78"/>
              <w:rPr>
                <w:sz w:val="16"/>
              </w:rPr>
            </w:pPr>
            <w:r>
              <w:rPr>
                <w:sz w:val="16"/>
              </w:rPr>
              <w:t xml:space="preserve">Centro comunitario con al menos baño y </w:t>
            </w:r>
            <w:r>
              <w:rPr>
                <w:spacing w:val="-4"/>
                <w:sz w:val="16"/>
              </w:rPr>
              <w:t xml:space="preserve">área </w:t>
            </w:r>
            <w:r>
              <w:rPr>
                <w:sz w:val="16"/>
              </w:rPr>
              <w:t>administrativa a menos de 2,000</w:t>
            </w:r>
            <w:r>
              <w:rPr>
                <w:spacing w:val="-1"/>
                <w:sz w:val="16"/>
              </w:rPr>
              <w:t xml:space="preserve"> </w:t>
            </w:r>
            <w:r>
              <w:rPr>
                <w:sz w:val="16"/>
              </w:rPr>
              <w:t>metros.</w:t>
            </w:r>
          </w:p>
        </w:tc>
        <w:tc>
          <w:tcPr>
            <w:tcW w:w="2019" w:type="dxa"/>
            <w:tcBorders>
              <w:top w:val="nil"/>
              <w:bottom w:val="nil"/>
            </w:tcBorders>
          </w:tcPr>
          <w:p w:rsidR="00A63476" w:rsidRDefault="00A63476">
            <w:pPr>
              <w:pStyle w:val="TableParagraph"/>
              <w:rPr>
                <w:rFonts w:ascii="Times New Roman"/>
                <w:sz w:val="16"/>
              </w:rPr>
            </w:pPr>
          </w:p>
        </w:tc>
      </w:tr>
      <w:tr w:rsidR="00A63476">
        <w:trPr>
          <w:trHeight w:val="564"/>
        </w:trPr>
        <w:tc>
          <w:tcPr>
            <w:tcW w:w="2591" w:type="dxa"/>
            <w:vMerge/>
            <w:tcBorders>
              <w:top w:val="nil"/>
            </w:tcBorders>
          </w:tcPr>
          <w:p w:rsidR="00A63476" w:rsidRDefault="00A63476">
            <w:pPr>
              <w:rPr>
                <w:sz w:val="2"/>
                <w:szCs w:val="2"/>
              </w:rPr>
            </w:pPr>
          </w:p>
        </w:tc>
        <w:tc>
          <w:tcPr>
            <w:tcW w:w="4072" w:type="dxa"/>
            <w:tcBorders>
              <w:top w:val="nil"/>
            </w:tcBorders>
          </w:tcPr>
          <w:p w:rsidR="00A63476" w:rsidRDefault="00D22874">
            <w:pPr>
              <w:pStyle w:val="TableParagraph"/>
              <w:numPr>
                <w:ilvl w:val="0"/>
                <w:numId w:val="18"/>
              </w:numPr>
              <w:tabs>
                <w:tab w:val="left" w:pos="438"/>
                <w:tab w:val="left" w:pos="439"/>
              </w:tabs>
              <w:spacing w:before="17"/>
              <w:ind w:hanging="361"/>
              <w:rPr>
                <w:sz w:val="16"/>
              </w:rPr>
            </w:pPr>
            <w:r>
              <w:rPr>
                <w:sz w:val="16"/>
              </w:rPr>
              <w:t>Área</w:t>
            </w:r>
            <w:r>
              <w:rPr>
                <w:spacing w:val="27"/>
                <w:sz w:val="16"/>
              </w:rPr>
              <w:t xml:space="preserve"> </w:t>
            </w:r>
            <w:r>
              <w:rPr>
                <w:sz w:val="16"/>
              </w:rPr>
              <w:t>verde:</w:t>
            </w:r>
            <w:r>
              <w:rPr>
                <w:spacing w:val="27"/>
                <w:sz w:val="16"/>
              </w:rPr>
              <w:t xml:space="preserve"> </w:t>
            </w:r>
            <w:r>
              <w:rPr>
                <w:sz w:val="16"/>
              </w:rPr>
              <w:t>5%</w:t>
            </w:r>
            <w:r>
              <w:rPr>
                <w:spacing w:val="27"/>
                <w:sz w:val="16"/>
              </w:rPr>
              <w:t xml:space="preserve"> </w:t>
            </w:r>
            <w:r>
              <w:rPr>
                <w:sz w:val="16"/>
              </w:rPr>
              <w:t>del</w:t>
            </w:r>
            <w:r>
              <w:rPr>
                <w:spacing w:val="28"/>
                <w:sz w:val="16"/>
              </w:rPr>
              <w:t xml:space="preserve"> </w:t>
            </w:r>
            <w:r>
              <w:rPr>
                <w:sz w:val="16"/>
              </w:rPr>
              <w:t>área</w:t>
            </w:r>
            <w:r>
              <w:rPr>
                <w:spacing w:val="27"/>
                <w:sz w:val="16"/>
              </w:rPr>
              <w:t xml:space="preserve"> </w:t>
            </w:r>
            <w:r>
              <w:rPr>
                <w:sz w:val="16"/>
              </w:rPr>
              <w:t>vendible</w:t>
            </w:r>
            <w:r>
              <w:rPr>
                <w:spacing w:val="27"/>
                <w:sz w:val="16"/>
              </w:rPr>
              <w:t xml:space="preserve"> </w:t>
            </w:r>
            <w:r>
              <w:rPr>
                <w:sz w:val="16"/>
              </w:rPr>
              <w:t>destinada</w:t>
            </w:r>
          </w:p>
          <w:p w:rsidR="00A63476" w:rsidRDefault="00D22874">
            <w:pPr>
              <w:pStyle w:val="TableParagraph"/>
              <w:spacing w:before="76"/>
              <w:ind w:left="438"/>
              <w:rPr>
                <w:sz w:val="16"/>
              </w:rPr>
            </w:pPr>
            <w:r>
              <w:rPr>
                <w:sz w:val="16"/>
              </w:rPr>
              <w:t>como área verde con vegetación endémica.</w:t>
            </w:r>
          </w:p>
        </w:tc>
        <w:tc>
          <w:tcPr>
            <w:tcW w:w="2019" w:type="dxa"/>
            <w:tcBorders>
              <w:top w:val="nil"/>
            </w:tcBorders>
          </w:tcPr>
          <w:p w:rsidR="00A63476" w:rsidRDefault="00A63476">
            <w:pPr>
              <w:pStyle w:val="TableParagraph"/>
              <w:rPr>
                <w:rFonts w:ascii="Times New Roman"/>
                <w:sz w:val="16"/>
              </w:rPr>
            </w:pPr>
          </w:p>
        </w:tc>
      </w:tr>
    </w:tbl>
    <w:p w:rsidR="00A63476" w:rsidRDefault="00A63476">
      <w:pPr>
        <w:pStyle w:val="Textoindependiente"/>
        <w:ind w:left="0" w:right="0" w:firstLine="0"/>
        <w:jc w:val="left"/>
        <w:rPr>
          <w:sz w:val="20"/>
        </w:rPr>
      </w:pPr>
    </w:p>
    <w:p w:rsidR="00A63476" w:rsidRDefault="00A63476">
      <w:pPr>
        <w:pStyle w:val="Textoindependiente"/>
        <w:spacing w:before="4"/>
        <w:ind w:left="0" w:right="0" w:firstLine="0"/>
        <w:jc w:val="left"/>
        <w:rPr>
          <w:sz w:val="11"/>
        </w:rPr>
      </w:pPr>
    </w:p>
    <w:tbl>
      <w:tblPr>
        <w:tblStyle w:val="TableNormal"/>
        <w:tblW w:w="0" w:type="auto"/>
        <w:tblInd w:w="678" w:type="dxa"/>
        <w:tblBorders>
          <w:top w:val="single" w:sz="6" w:space="0" w:color="404040"/>
          <w:left w:val="single" w:sz="6" w:space="0" w:color="404040"/>
          <w:bottom w:val="single" w:sz="6" w:space="0" w:color="404040"/>
          <w:right w:val="single" w:sz="6" w:space="0" w:color="404040"/>
          <w:insideH w:val="single" w:sz="6" w:space="0" w:color="404040"/>
          <w:insideV w:val="single" w:sz="6" w:space="0" w:color="404040"/>
        </w:tblBorders>
        <w:tblLayout w:type="fixed"/>
        <w:tblLook w:val="01E0" w:firstRow="1" w:lastRow="1" w:firstColumn="1" w:lastColumn="1" w:noHBand="0" w:noVBand="0"/>
      </w:tblPr>
      <w:tblGrid>
        <w:gridCol w:w="2591"/>
        <w:gridCol w:w="1637"/>
        <w:gridCol w:w="2248"/>
        <w:gridCol w:w="2205"/>
      </w:tblGrid>
      <w:tr w:rsidR="00A63476">
        <w:trPr>
          <w:trHeight w:val="449"/>
        </w:trPr>
        <w:tc>
          <w:tcPr>
            <w:tcW w:w="2591" w:type="dxa"/>
            <w:shd w:val="clear" w:color="auto" w:fill="DFDFDF"/>
          </w:tcPr>
          <w:p w:rsidR="00A63476" w:rsidRDefault="00A63476">
            <w:pPr>
              <w:pStyle w:val="TableParagraph"/>
              <w:spacing w:before="8"/>
              <w:rPr>
                <w:sz w:val="16"/>
              </w:rPr>
            </w:pPr>
          </w:p>
          <w:p w:rsidR="00A63476" w:rsidRDefault="00D22874">
            <w:pPr>
              <w:pStyle w:val="TableParagraph"/>
              <w:spacing w:before="1"/>
              <w:ind w:left="849"/>
              <w:rPr>
                <w:b/>
                <w:sz w:val="16"/>
              </w:rPr>
            </w:pPr>
            <w:r>
              <w:rPr>
                <w:b/>
                <w:sz w:val="16"/>
              </w:rPr>
              <w:t>DIMENSIÓN</w:t>
            </w:r>
          </w:p>
        </w:tc>
        <w:tc>
          <w:tcPr>
            <w:tcW w:w="3885" w:type="dxa"/>
            <w:gridSpan w:val="2"/>
            <w:shd w:val="clear" w:color="auto" w:fill="DFDFDF"/>
          </w:tcPr>
          <w:p w:rsidR="00A63476" w:rsidRDefault="00A63476">
            <w:pPr>
              <w:pStyle w:val="TableParagraph"/>
              <w:spacing w:before="8"/>
              <w:rPr>
                <w:sz w:val="16"/>
              </w:rPr>
            </w:pPr>
          </w:p>
          <w:p w:rsidR="00A63476" w:rsidRDefault="00D22874">
            <w:pPr>
              <w:pStyle w:val="TableParagraph"/>
              <w:spacing w:before="1"/>
              <w:ind w:left="1412" w:right="1386"/>
              <w:jc w:val="center"/>
              <w:rPr>
                <w:b/>
                <w:sz w:val="16"/>
              </w:rPr>
            </w:pPr>
            <w:r>
              <w:rPr>
                <w:b/>
                <w:sz w:val="16"/>
              </w:rPr>
              <w:t>PARÁMETRO</w:t>
            </w:r>
          </w:p>
        </w:tc>
        <w:tc>
          <w:tcPr>
            <w:tcW w:w="2205" w:type="dxa"/>
            <w:shd w:val="clear" w:color="auto" w:fill="DFDFDF"/>
          </w:tcPr>
          <w:p w:rsidR="00A63476" w:rsidRDefault="00A63476">
            <w:pPr>
              <w:pStyle w:val="TableParagraph"/>
              <w:spacing w:before="8"/>
              <w:rPr>
                <w:sz w:val="16"/>
              </w:rPr>
            </w:pPr>
          </w:p>
          <w:p w:rsidR="00A63476" w:rsidRDefault="00D22874">
            <w:pPr>
              <w:pStyle w:val="TableParagraph"/>
              <w:spacing w:before="1"/>
              <w:ind w:left="733"/>
              <w:rPr>
                <w:b/>
                <w:sz w:val="16"/>
              </w:rPr>
            </w:pPr>
            <w:r>
              <w:rPr>
                <w:b/>
                <w:sz w:val="16"/>
              </w:rPr>
              <w:t>PUNTAJE</w:t>
            </w:r>
          </w:p>
        </w:tc>
      </w:tr>
      <w:tr w:rsidR="00A63476">
        <w:trPr>
          <w:trHeight w:val="449"/>
        </w:trPr>
        <w:tc>
          <w:tcPr>
            <w:tcW w:w="2591" w:type="dxa"/>
            <w:vMerge w:val="restart"/>
          </w:tcPr>
          <w:p w:rsidR="00A63476" w:rsidRDefault="00A63476">
            <w:pPr>
              <w:pStyle w:val="TableParagraph"/>
              <w:rPr>
                <w:sz w:val="18"/>
              </w:rPr>
            </w:pPr>
          </w:p>
          <w:p w:rsidR="00A63476" w:rsidRDefault="00A63476">
            <w:pPr>
              <w:pStyle w:val="TableParagraph"/>
              <w:rPr>
                <w:sz w:val="18"/>
              </w:rPr>
            </w:pPr>
          </w:p>
          <w:p w:rsidR="00A63476" w:rsidRDefault="00A63476">
            <w:pPr>
              <w:pStyle w:val="TableParagraph"/>
              <w:rPr>
                <w:sz w:val="18"/>
              </w:rPr>
            </w:pPr>
          </w:p>
          <w:p w:rsidR="00A63476" w:rsidRDefault="00A63476">
            <w:pPr>
              <w:pStyle w:val="TableParagraph"/>
              <w:rPr>
                <w:sz w:val="18"/>
              </w:rPr>
            </w:pPr>
          </w:p>
          <w:p w:rsidR="00A63476" w:rsidRDefault="00D22874">
            <w:pPr>
              <w:pStyle w:val="TableParagraph"/>
              <w:spacing w:before="120"/>
              <w:ind w:left="89"/>
              <w:rPr>
                <w:b/>
                <w:sz w:val="16"/>
              </w:rPr>
            </w:pPr>
            <w:r>
              <w:rPr>
                <w:b/>
                <w:sz w:val="16"/>
              </w:rPr>
              <w:t>DENSIFICACIÓN</w:t>
            </w:r>
          </w:p>
          <w:p w:rsidR="00A63476" w:rsidRDefault="00A63476">
            <w:pPr>
              <w:pStyle w:val="TableParagraph"/>
              <w:spacing w:before="3"/>
              <w:rPr>
                <w:sz w:val="15"/>
              </w:rPr>
            </w:pPr>
          </w:p>
          <w:p w:rsidR="00A63476" w:rsidRDefault="00D22874">
            <w:pPr>
              <w:pStyle w:val="TableParagraph"/>
              <w:ind w:left="89"/>
              <w:rPr>
                <w:b/>
                <w:sz w:val="16"/>
              </w:rPr>
            </w:pPr>
            <w:r>
              <w:rPr>
                <w:b/>
                <w:sz w:val="16"/>
              </w:rPr>
              <w:t>(máx: 230 pts.)</w:t>
            </w:r>
          </w:p>
        </w:tc>
        <w:tc>
          <w:tcPr>
            <w:tcW w:w="1637" w:type="dxa"/>
            <w:vMerge w:val="restart"/>
          </w:tcPr>
          <w:p w:rsidR="00A63476" w:rsidRDefault="00A63476">
            <w:pPr>
              <w:pStyle w:val="TableParagraph"/>
              <w:rPr>
                <w:sz w:val="18"/>
              </w:rPr>
            </w:pPr>
          </w:p>
          <w:p w:rsidR="00A63476" w:rsidRDefault="00A63476">
            <w:pPr>
              <w:pStyle w:val="TableParagraph"/>
              <w:spacing w:before="2"/>
              <w:rPr>
                <w:sz w:val="19"/>
              </w:rPr>
            </w:pPr>
          </w:p>
          <w:p w:rsidR="00A63476" w:rsidRDefault="00D22874">
            <w:pPr>
              <w:pStyle w:val="TableParagraph"/>
              <w:ind w:left="78"/>
              <w:rPr>
                <w:sz w:val="16"/>
              </w:rPr>
            </w:pPr>
            <w:r>
              <w:rPr>
                <w:sz w:val="16"/>
              </w:rPr>
              <w:t>Tipología</w:t>
            </w:r>
          </w:p>
        </w:tc>
        <w:tc>
          <w:tcPr>
            <w:tcW w:w="2248" w:type="dxa"/>
          </w:tcPr>
          <w:p w:rsidR="00A63476" w:rsidRDefault="00A63476">
            <w:pPr>
              <w:pStyle w:val="TableParagraph"/>
              <w:spacing w:before="3"/>
              <w:rPr>
                <w:sz w:val="16"/>
              </w:rPr>
            </w:pPr>
          </w:p>
          <w:p w:rsidR="00A63476" w:rsidRDefault="00D22874">
            <w:pPr>
              <w:pStyle w:val="TableParagraph"/>
              <w:spacing w:before="1"/>
              <w:ind w:left="81"/>
              <w:rPr>
                <w:sz w:val="16"/>
              </w:rPr>
            </w:pPr>
            <w:r>
              <w:rPr>
                <w:sz w:val="16"/>
              </w:rPr>
              <w:t>Vivienda vertical 3 niveles</w:t>
            </w:r>
          </w:p>
        </w:tc>
        <w:tc>
          <w:tcPr>
            <w:tcW w:w="2205" w:type="dxa"/>
          </w:tcPr>
          <w:p w:rsidR="00A63476" w:rsidRDefault="00A63476">
            <w:pPr>
              <w:pStyle w:val="TableParagraph"/>
              <w:spacing w:before="3"/>
              <w:rPr>
                <w:sz w:val="16"/>
              </w:rPr>
            </w:pPr>
          </w:p>
          <w:p w:rsidR="00A63476" w:rsidRDefault="00D22874">
            <w:pPr>
              <w:pStyle w:val="TableParagraph"/>
              <w:spacing w:before="1"/>
              <w:ind w:left="93"/>
              <w:rPr>
                <w:sz w:val="16"/>
              </w:rPr>
            </w:pPr>
            <w:r>
              <w:rPr>
                <w:sz w:val="16"/>
              </w:rPr>
              <w:t>80</w:t>
            </w:r>
          </w:p>
        </w:tc>
      </w:tr>
      <w:tr w:rsidR="00A63476">
        <w:trPr>
          <w:trHeight w:val="449"/>
        </w:trPr>
        <w:tc>
          <w:tcPr>
            <w:tcW w:w="2591" w:type="dxa"/>
            <w:vMerge/>
            <w:tcBorders>
              <w:top w:val="nil"/>
            </w:tcBorders>
          </w:tcPr>
          <w:p w:rsidR="00A63476" w:rsidRDefault="00A63476">
            <w:pPr>
              <w:rPr>
                <w:sz w:val="2"/>
                <w:szCs w:val="2"/>
              </w:rPr>
            </w:pPr>
          </w:p>
        </w:tc>
        <w:tc>
          <w:tcPr>
            <w:tcW w:w="1637" w:type="dxa"/>
            <w:vMerge/>
            <w:tcBorders>
              <w:top w:val="nil"/>
            </w:tcBorders>
          </w:tcPr>
          <w:p w:rsidR="00A63476" w:rsidRDefault="00A63476">
            <w:pPr>
              <w:rPr>
                <w:sz w:val="2"/>
                <w:szCs w:val="2"/>
              </w:rPr>
            </w:pPr>
          </w:p>
        </w:tc>
        <w:tc>
          <w:tcPr>
            <w:tcW w:w="2248" w:type="dxa"/>
          </w:tcPr>
          <w:p w:rsidR="00A63476" w:rsidRDefault="00A63476">
            <w:pPr>
              <w:pStyle w:val="TableParagraph"/>
              <w:spacing w:before="10"/>
              <w:rPr>
                <w:sz w:val="15"/>
              </w:rPr>
            </w:pPr>
          </w:p>
          <w:p w:rsidR="00A63476" w:rsidRDefault="00D22874">
            <w:pPr>
              <w:pStyle w:val="TableParagraph"/>
              <w:ind w:left="81"/>
              <w:rPr>
                <w:sz w:val="16"/>
              </w:rPr>
            </w:pPr>
            <w:r>
              <w:rPr>
                <w:sz w:val="16"/>
              </w:rPr>
              <w:t>Dúplex</w:t>
            </w:r>
          </w:p>
        </w:tc>
        <w:tc>
          <w:tcPr>
            <w:tcW w:w="2205" w:type="dxa"/>
          </w:tcPr>
          <w:p w:rsidR="00A63476" w:rsidRDefault="00A63476">
            <w:pPr>
              <w:pStyle w:val="TableParagraph"/>
              <w:spacing w:before="10"/>
              <w:rPr>
                <w:sz w:val="15"/>
              </w:rPr>
            </w:pPr>
          </w:p>
          <w:p w:rsidR="00A63476" w:rsidRDefault="00D22874">
            <w:pPr>
              <w:pStyle w:val="TableParagraph"/>
              <w:ind w:left="93"/>
              <w:rPr>
                <w:sz w:val="16"/>
              </w:rPr>
            </w:pPr>
            <w:r>
              <w:rPr>
                <w:sz w:val="16"/>
              </w:rPr>
              <w:t>60</w:t>
            </w:r>
          </w:p>
        </w:tc>
      </w:tr>
      <w:tr w:rsidR="00A63476">
        <w:trPr>
          <w:trHeight w:val="449"/>
        </w:trPr>
        <w:tc>
          <w:tcPr>
            <w:tcW w:w="2591" w:type="dxa"/>
            <w:vMerge/>
            <w:tcBorders>
              <w:top w:val="nil"/>
            </w:tcBorders>
          </w:tcPr>
          <w:p w:rsidR="00A63476" w:rsidRDefault="00A63476">
            <w:pPr>
              <w:rPr>
                <w:sz w:val="2"/>
                <w:szCs w:val="2"/>
              </w:rPr>
            </w:pPr>
          </w:p>
        </w:tc>
        <w:tc>
          <w:tcPr>
            <w:tcW w:w="1637" w:type="dxa"/>
            <w:vMerge w:val="restart"/>
          </w:tcPr>
          <w:p w:rsidR="00A63476" w:rsidRDefault="00A63476">
            <w:pPr>
              <w:pStyle w:val="TableParagraph"/>
              <w:rPr>
                <w:sz w:val="18"/>
              </w:rPr>
            </w:pPr>
          </w:p>
          <w:p w:rsidR="00A63476" w:rsidRDefault="00A63476">
            <w:pPr>
              <w:pStyle w:val="TableParagraph"/>
              <w:spacing w:before="3"/>
              <w:rPr>
                <w:sz w:val="25"/>
              </w:rPr>
            </w:pPr>
          </w:p>
          <w:p w:rsidR="00A63476" w:rsidRDefault="00D22874">
            <w:pPr>
              <w:pStyle w:val="TableParagraph"/>
              <w:spacing w:line="417" w:lineRule="auto"/>
              <w:ind w:left="78" w:right="590"/>
              <w:rPr>
                <w:sz w:val="10"/>
              </w:rPr>
            </w:pPr>
            <w:r>
              <w:rPr>
                <w:sz w:val="16"/>
              </w:rPr>
              <w:t>Densidad del proyecto</w:t>
            </w:r>
            <w:r>
              <w:rPr>
                <w:position w:val="4"/>
                <w:sz w:val="10"/>
              </w:rPr>
              <w:t>3</w:t>
            </w:r>
          </w:p>
        </w:tc>
        <w:tc>
          <w:tcPr>
            <w:tcW w:w="2248" w:type="dxa"/>
          </w:tcPr>
          <w:p w:rsidR="00A63476" w:rsidRDefault="00A63476">
            <w:pPr>
              <w:pStyle w:val="TableParagraph"/>
              <w:spacing w:before="5"/>
              <w:rPr>
                <w:sz w:val="15"/>
              </w:rPr>
            </w:pPr>
          </w:p>
          <w:p w:rsidR="00A63476" w:rsidRDefault="00D22874">
            <w:pPr>
              <w:pStyle w:val="TableParagraph"/>
              <w:ind w:left="81"/>
              <w:rPr>
                <w:sz w:val="16"/>
              </w:rPr>
            </w:pPr>
            <w:r>
              <w:rPr>
                <w:sz w:val="16"/>
              </w:rPr>
              <w:t>&gt; 90 hasta 120 viv/ha</w:t>
            </w:r>
          </w:p>
        </w:tc>
        <w:tc>
          <w:tcPr>
            <w:tcW w:w="2205" w:type="dxa"/>
          </w:tcPr>
          <w:p w:rsidR="00A63476" w:rsidRDefault="00A63476">
            <w:pPr>
              <w:pStyle w:val="TableParagraph"/>
              <w:spacing w:before="5"/>
              <w:rPr>
                <w:sz w:val="15"/>
              </w:rPr>
            </w:pPr>
          </w:p>
          <w:p w:rsidR="00A63476" w:rsidRDefault="00D22874">
            <w:pPr>
              <w:pStyle w:val="TableParagraph"/>
              <w:ind w:left="93"/>
              <w:rPr>
                <w:sz w:val="16"/>
              </w:rPr>
            </w:pPr>
            <w:r>
              <w:rPr>
                <w:sz w:val="16"/>
              </w:rPr>
              <w:t>(Densidad*2.3333)-130</w:t>
            </w:r>
          </w:p>
        </w:tc>
      </w:tr>
      <w:tr w:rsidR="00A63476">
        <w:trPr>
          <w:trHeight w:val="449"/>
        </w:trPr>
        <w:tc>
          <w:tcPr>
            <w:tcW w:w="2591" w:type="dxa"/>
            <w:vMerge/>
            <w:tcBorders>
              <w:top w:val="nil"/>
            </w:tcBorders>
          </w:tcPr>
          <w:p w:rsidR="00A63476" w:rsidRDefault="00A63476">
            <w:pPr>
              <w:rPr>
                <w:sz w:val="2"/>
                <w:szCs w:val="2"/>
              </w:rPr>
            </w:pPr>
          </w:p>
        </w:tc>
        <w:tc>
          <w:tcPr>
            <w:tcW w:w="1637" w:type="dxa"/>
            <w:vMerge/>
            <w:tcBorders>
              <w:top w:val="nil"/>
            </w:tcBorders>
          </w:tcPr>
          <w:p w:rsidR="00A63476" w:rsidRDefault="00A63476">
            <w:pPr>
              <w:rPr>
                <w:sz w:val="2"/>
                <w:szCs w:val="2"/>
              </w:rPr>
            </w:pPr>
          </w:p>
        </w:tc>
        <w:tc>
          <w:tcPr>
            <w:tcW w:w="2248" w:type="dxa"/>
          </w:tcPr>
          <w:p w:rsidR="00A63476" w:rsidRDefault="00A63476">
            <w:pPr>
              <w:pStyle w:val="TableParagraph"/>
              <w:spacing w:before="9"/>
              <w:rPr>
                <w:sz w:val="16"/>
              </w:rPr>
            </w:pPr>
          </w:p>
          <w:p w:rsidR="00A63476" w:rsidRDefault="00D22874">
            <w:pPr>
              <w:pStyle w:val="TableParagraph"/>
              <w:ind w:left="81"/>
              <w:rPr>
                <w:sz w:val="16"/>
              </w:rPr>
            </w:pPr>
            <w:r>
              <w:rPr>
                <w:sz w:val="16"/>
              </w:rPr>
              <w:t>&gt; 60 hasta 90 viv/ha</w:t>
            </w:r>
          </w:p>
        </w:tc>
        <w:tc>
          <w:tcPr>
            <w:tcW w:w="2205" w:type="dxa"/>
          </w:tcPr>
          <w:p w:rsidR="00A63476" w:rsidRDefault="00A63476">
            <w:pPr>
              <w:pStyle w:val="TableParagraph"/>
              <w:spacing w:before="9"/>
              <w:rPr>
                <w:sz w:val="16"/>
              </w:rPr>
            </w:pPr>
          </w:p>
          <w:p w:rsidR="00A63476" w:rsidRDefault="00D22874">
            <w:pPr>
              <w:pStyle w:val="TableParagraph"/>
              <w:ind w:left="93"/>
              <w:rPr>
                <w:sz w:val="16"/>
              </w:rPr>
            </w:pPr>
            <w:r>
              <w:rPr>
                <w:sz w:val="16"/>
              </w:rPr>
              <w:t>(Densidad*2.3333)-60</w:t>
            </w:r>
          </w:p>
        </w:tc>
      </w:tr>
      <w:tr w:rsidR="00A63476">
        <w:trPr>
          <w:trHeight w:val="463"/>
        </w:trPr>
        <w:tc>
          <w:tcPr>
            <w:tcW w:w="2591" w:type="dxa"/>
            <w:vMerge/>
            <w:tcBorders>
              <w:top w:val="nil"/>
            </w:tcBorders>
          </w:tcPr>
          <w:p w:rsidR="00A63476" w:rsidRDefault="00A63476">
            <w:pPr>
              <w:rPr>
                <w:sz w:val="2"/>
                <w:szCs w:val="2"/>
              </w:rPr>
            </w:pPr>
          </w:p>
        </w:tc>
        <w:tc>
          <w:tcPr>
            <w:tcW w:w="1637" w:type="dxa"/>
            <w:vMerge/>
            <w:tcBorders>
              <w:top w:val="nil"/>
            </w:tcBorders>
          </w:tcPr>
          <w:p w:rsidR="00A63476" w:rsidRDefault="00A63476">
            <w:pPr>
              <w:rPr>
                <w:sz w:val="2"/>
                <w:szCs w:val="2"/>
              </w:rPr>
            </w:pPr>
          </w:p>
        </w:tc>
        <w:tc>
          <w:tcPr>
            <w:tcW w:w="2248" w:type="dxa"/>
          </w:tcPr>
          <w:p w:rsidR="00A63476" w:rsidRDefault="00A63476">
            <w:pPr>
              <w:pStyle w:val="TableParagraph"/>
              <w:spacing w:before="5"/>
              <w:rPr>
                <w:sz w:val="15"/>
              </w:rPr>
            </w:pPr>
          </w:p>
          <w:p w:rsidR="00A63476" w:rsidRDefault="00D22874">
            <w:pPr>
              <w:pStyle w:val="TableParagraph"/>
              <w:ind w:left="81"/>
              <w:rPr>
                <w:sz w:val="16"/>
              </w:rPr>
            </w:pPr>
            <w:r>
              <w:rPr>
                <w:rFonts w:ascii="Symbol" w:hAnsi="Symbol"/>
                <w:sz w:val="16"/>
              </w:rPr>
              <w:t></w:t>
            </w:r>
            <w:r>
              <w:rPr>
                <w:sz w:val="16"/>
              </w:rPr>
              <w:t>40 hasta 60 viv/ha</w:t>
            </w:r>
          </w:p>
        </w:tc>
        <w:tc>
          <w:tcPr>
            <w:tcW w:w="2205" w:type="dxa"/>
          </w:tcPr>
          <w:p w:rsidR="00A63476" w:rsidRDefault="00A63476">
            <w:pPr>
              <w:pStyle w:val="TableParagraph"/>
              <w:spacing w:before="4"/>
              <w:rPr>
                <w:sz w:val="16"/>
              </w:rPr>
            </w:pPr>
          </w:p>
          <w:p w:rsidR="00A63476" w:rsidRDefault="00D22874">
            <w:pPr>
              <w:pStyle w:val="TableParagraph"/>
              <w:ind w:left="93"/>
              <w:rPr>
                <w:sz w:val="16"/>
              </w:rPr>
            </w:pPr>
            <w:r>
              <w:rPr>
                <w:sz w:val="16"/>
              </w:rPr>
              <w:t>(Densidad*3.5)-60</w:t>
            </w:r>
          </w:p>
        </w:tc>
      </w:tr>
      <w:tr w:rsidR="00A63476">
        <w:trPr>
          <w:trHeight w:val="2769"/>
        </w:trPr>
        <w:tc>
          <w:tcPr>
            <w:tcW w:w="2591" w:type="dxa"/>
            <w:tcBorders>
              <w:bottom w:val="nil"/>
            </w:tcBorders>
          </w:tcPr>
          <w:p w:rsidR="00A63476" w:rsidRDefault="00A63476">
            <w:pPr>
              <w:pStyle w:val="TableParagraph"/>
              <w:rPr>
                <w:rFonts w:ascii="Times New Roman"/>
                <w:sz w:val="16"/>
              </w:rPr>
            </w:pPr>
          </w:p>
        </w:tc>
        <w:tc>
          <w:tcPr>
            <w:tcW w:w="3885" w:type="dxa"/>
            <w:gridSpan w:val="2"/>
          </w:tcPr>
          <w:p w:rsidR="00A63476" w:rsidRDefault="00A63476">
            <w:pPr>
              <w:pStyle w:val="TableParagraph"/>
              <w:spacing w:before="5"/>
              <w:rPr>
                <w:sz w:val="16"/>
              </w:rPr>
            </w:pPr>
          </w:p>
          <w:p w:rsidR="00A63476" w:rsidRDefault="00D22874">
            <w:pPr>
              <w:pStyle w:val="TableParagraph"/>
              <w:spacing w:line="417" w:lineRule="auto"/>
              <w:ind w:left="78" w:right="77"/>
              <w:jc w:val="both"/>
              <w:rPr>
                <w:sz w:val="16"/>
              </w:rPr>
            </w:pPr>
            <w:r>
              <w:rPr>
                <w:sz w:val="16"/>
              </w:rPr>
              <w:t>Viviendas en climas cálidos y seco y semiseco con reducción de emisiones al menos del 20% de CO2 con IDG al menos en letra "E"</w:t>
            </w:r>
          </w:p>
          <w:p w:rsidR="00A63476" w:rsidRDefault="00D22874">
            <w:pPr>
              <w:pStyle w:val="TableParagraph"/>
              <w:spacing w:before="40" w:line="417" w:lineRule="auto"/>
              <w:ind w:left="78" w:right="78"/>
              <w:jc w:val="both"/>
              <w:rPr>
                <w:sz w:val="16"/>
              </w:rPr>
            </w:pPr>
            <w:r>
              <w:rPr>
                <w:sz w:val="16"/>
              </w:rPr>
              <w:t>Viviendas en climas templados y fríos, con IDG al menos en letra "E", con al menos una reducción de emisiones del 15% de CO2</w:t>
            </w:r>
          </w:p>
          <w:p w:rsidR="00A63476" w:rsidRDefault="00D22874">
            <w:pPr>
              <w:pStyle w:val="TableParagraph"/>
              <w:spacing w:before="39"/>
              <w:ind w:left="78"/>
              <w:jc w:val="both"/>
              <w:rPr>
                <w:sz w:val="16"/>
              </w:rPr>
            </w:pPr>
            <w:r>
              <w:rPr>
                <w:sz w:val="16"/>
              </w:rPr>
              <w:t>Para vivienda vertical con al menos una reducción</w:t>
            </w:r>
          </w:p>
          <w:p w:rsidR="00A63476" w:rsidRDefault="00D22874">
            <w:pPr>
              <w:pStyle w:val="TableParagraph"/>
              <w:spacing w:before="136"/>
              <w:ind w:left="78"/>
              <w:jc w:val="both"/>
              <w:rPr>
                <w:sz w:val="16"/>
              </w:rPr>
            </w:pPr>
            <w:r>
              <w:rPr>
                <w:sz w:val="16"/>
              </w:rPr>
              <w:t>de emisiones del 10% de CO2</w:t>
            </w:r>
          </w:p>
        </w:tc>
        <w:tc>
          <w:tcPr>
            <w:tcW w:w="2205" w:type="dxa"/>
          </w:tcPr>
          <w:p w:rsidR="00A63476" w:rsidRDefault="00A63476">
            <w:pPr>
              <w:pStyle w:val="TableParagraph"/>
              <w:rPr>
                <w:sz w:val="18"/>
              </w:rPr>
            </w:pPr>
          </w:p>
          <w:p w:rsidR="00A63476" w:rsidRDefault="00A63476">
            <w:pPr>
              <w:pStyle w:val="TableParagraph"/>
              <w:rPr>
                <w:sz w:val="18"/>
              </w:rPr>
            </w:pPr>
          </w:p>
          <w:p w:rsidR="00A63476" w:rsidRDefault="00A63476">
            <w:pPr>
              <w:pStyle w:val="TableParagraph"/>
              <w:rPr>
                <w:sz w:val="18"/>
              </w:rPr>
            </w:pPr>
          </w:p>
          <w:p w:rsidR="00A63476" w:rsidRDefault="00A63476">
            <w:pPr>
              <w:pStyle w:val="TableParagraph"/>
              <w:rPr>
                <w:sz w:val="18"/>
              </w:rPr>
            </w:pPr>
          </w:p>
          <w:p w:rsidR="00A63476" w:rsidRDefault="00A63476">
            <w:pPr>
              <w:pStyle w:val="TableParagraph"/>
              <w:rPr>
                <w:sz w:val="18"/>
              </w:rPr>
            </w:pPr>
          </w:p>
          <w:p w:rsidR="00A63476" w:rsidRDefault="00A63476">
            <w:pPr>
              <w:pStyle w:val="TableParagraph"/>
              <w:rPr>
                <w:sz w:val="18"/>
              </w:rPr>
            </w:pPr>
          </w:p>
          <w:p w:rsidR="00A63476" w:rsidRDefault="00D22874">
            <w:pPr>
              <w:pStyle w:val="TableParagraph"/>
              <w:spacing w:before="107"/>
              <w:ind w:left="93"/>
              <w:rPr>
                <w:sz w:val="16"/>
              </w:rPr>
            </w:pPr>
            <w:r>
              <w:rPr>
                <w:sz w:val="16"/>
              </w:rPr>
              <w:t>100</w:t>
            </w:r>
          </w:p>
        </w:tc>
      </w:tr>
    </w:tbl>
    <w:p w:rsidR="00A63476" w:rsidRDefault="00A63476">
      <w:pPr>
        <w:rPr>
          <w:sz w:val="16"/>
        </w:rPr>
        <w:sectPr w:rsidR="00A63476">
          <w:pgSz w:w="12240" w:h="15840"/>
          <w:pgMar w:top="880" w:right="1040" w:bottom="280" w:left="1180" w:header="699" w:footer="0" w:gutter="0"/>
          <w:cols w:space="720"/>
        </w:sectPr>
      </w:pPr>
    </w:p>
    <w:p w:rsidR="00A63476" w:rsidRDefault="00FF0FB3">
      <w:pPr>
        <w:pStyle w:val="Textoindependiente"/>
        <w:spacing w:line="20" w:lineRule="exact"/>
        <w:ind w:left="396" w:right="0" w:firstLine="0"/>
        <w:jc w:val="left"/>
        <w:rPr>
          <w:sz w:val="2"/>
        </w:rPr>
      </w:pPr>
      <w:r>
        <w:rPr>
          <w:noProof/>
          <w:sz w:val="2"/>
        </w:rPr>
        <w:lastRenderedPageBreak/>
        <mc:AlternateContent>
          <mc:Choice Requires="wpg">
            <w:drawing>
              <wp:inline distT="0" distB="0" distL="0" distR="0">
                <wp:extent cx="5852160" cy="9525"/>
                <wp:effectExtent l="10160" t="6985" r="5080" b="2540"/>
                <wp:docPr id="54" name="Group 31"/>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5852160" cy="9525"/>
                          <a:chOff x="0" y="0"/>
                          <a:chExt cx="9216" cy="15"/>
                        </a:xfrm>
                      </wpg:grpSpPr>
                      <wps:wsp>
                        <wps:cNvPr id="55" name="Line 32"/>
                        <wps:cNvCnPr>
                          <a:cxnSpLocks noChangeShapeType="1"/>
                        </wps:cNvCnPr>
                        <wps:spPr bwMode="auto">
                          <a:xfrm>
                            <a:off x="0" y="7"/>
                            <a:ext cx="9216" cy="0"/>
                          </a:xfrm>
                          <a:prstGeom prst="line">
                            <a:avLst/>
                          </a:prstGeom>
                          <a:noFill/>
                          <a:ln w="9525">
                            <a:solidFill>
                              <a:srgbClr val="000000"/>
                            </a:solidFill>
                            <a:prstDash val="solid"/>
                            <a:round/>
                            <a:headEnd/>
                            <a:tailEnd/>
                          </a:ln>
                          <a:extLst>
                            <a:ext uri="{909E8E84-426E-40DD-AFC4-6F175D3DCCD1}">
                              <a14:hiddenFill xmlns:a14="http://schemas.microsoft.com/office/drawing/2010/main">
                                <a:noFill/>
                              </a14:hiddenFill>
                            </a:ext>
                          </a:extLst>
                        </wps:spPr>
                        <wps:bodyPr/>
                      </wps:wsp>
                    </wpg:wgp>
                  </a:graphicData>
                </a:graphic>
              </wp:inline>
            </w:drawing>
          </mc:Choice>
          <mc:Fallback>
            <w:pict>
              <v:group w14:anchorId="6375113B" id="Group 31" o:spid="_x0000_s1026" style="width:460.8pt;height:.75pt;mso-position-horizontal-relative:char;mso-position-vertical-relative:line" coordsize="9216,1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">
                <v:line id="Line 32" o:spid="_x0000_s1027" style="position:absolute;visibility:visible;mso-wrap-style:square" from="0,7" to="9216,7"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"/>
                <w10:anchorlock/>
              </v:group>
            </w:pict>
          </mc:Fallback>
        </mc:AlternateContent>
      </w:r>
    </w:p>
    <w:p w:rsidR="00A63476" w:rsidRDefault="00A63476">
      <w:pPr>
        <w:pStyle w:val="Textoindependiente"/>
        <w:spacing w:before="3"/>
        <w:ind w:left="0" w:right="0" w:firstLine="0"/>
        <w:jc w:val="left"/>
        <w:rPr>
          <w:sz w:val="20"/>
        </w:rPr>
      </w:pPr>
    </w:p>
    <w:tbl>
      <w:tblPr>
        <w:tblStyle w:val="TableNormal"/>
        <w:tblW w:w="0" w:type="auto"/>
        <w:tblInd w:w="678" w:type="dxa"/>
        <w:tblBorders>
          <w:top w:val="single" w:sz="6" w:space="0" w:color="404040"/>
          <w:left w:val="single" w:sz="6" w:space="0" w:color="404040"/>
          <w:bottom w:val="single" w:sz="6" w:space="0" w:color="404040"/>
          <w:right w:val="single" w:sz="6" w:space="0" w:color="404040"/>
          <w:insideH w:val="single" w:sz="6" w:space="0" w:color="404040"/>
          <w:insideV w:val="single" w:sz="6" w:space="0" w:color="404040"/>
        </w:tblBorders>
        <w:tblLayout w:type="fixed"/>
        <w:tblLook w:val="01E0" w:firstRow="1" w:lastRow="1" w:firstColumn="1" w:lastColumn="1" w:noHBand="0" w:noVBand="0"/>
      </w:tblPr>
      <w:tblGrid>
        <w:gridCol w:w="2591"/>
        <w:gridCol w:w="3886"/>
        <w:gridCol w:w="2206"/>
      </w:tblGrid>
      <w:tr w:rsidR="00A63476">
        <w:trPr>
          <w:trHeight w:val="449"/>
        </w:trPr>
        <w:tc>
          <w:tcPr>
            <w:tcW w:w="2591" w:type="dxa"/>
            <w:shd w:val="clear" w:color="auto" w:fill="DFDFDF"/>
          </w:tcPr>
          <w:p w:rsidR="00A63476" w:rsidRDefault="00A63476">
            <w:pPr>
              <w:pStyle w:val="TableParagraph"/>
              <w:spacing w:before="10"/>
              <w:rPr>
                <w:sz w:val="15"/>
              </w:rPr>
            </w:pPr>
          </w:p>
          <w:p w:rsidR="00A63476" w:rsidRDefault="00D22874">
            <w:pPr>
              <w:pStyle w:val="TableParagraph"/>
              <w:ind w:left="849"/>
              <w:rPr>
                <w:b/>
                <w:sz w:val="16"/>
              </w:rPr>
            </w:pPr>
            <w:r>
              <w:rPr>
                <w:b/>
                <w:sz w:val="16"/>
              </w:rPr>
              <w:t>DIMENSIÓN</w:t>
            </w:r>
          </w:p>
        </w:tc>
        <w:tc>
          <w:tcPr>
            <w:tcW w:w="3886" w:type="dxa"/>
            <w:shd w:val="clear" w:color="auto" w:fill="DFDFDF"/>
          </w:tcPr>
          <w:p w:rsidR="00A63476" w:rsidRDefault="00A63476">
            <w:pPr>
              <w:pStyle w:val="TableParagraph"/>
              <w:spacing w:before="10"/>
              <w:rPr>
                <w:sz w:val="15"/>
              </w:rPr>
            </w:pPr>
          </w:p>
          <w:p w:rsidR="00A63476" w:rsidRDefault="00D22874">
            <w:pPr>
              <w:pStyle w:val="TableParagraph"/>
              <w:ind w:left="1412" w:right="1387"/>
              <w:jc w:val="center"/>
              <w:rPr>
                <w:b/>
                <w:sz w:val="16"/>
              </w:rPr>
            </w:pPr>
            <w:r>
              <w:rPr>
                <w:b/>
                <w:sz w:val="16"/>
              </w:rPr>
              <w:t>PARÁMETRO</w:t>
            </w:r>
          </w:p>
        </w:tc>
        <w:tc>
          <w:tcPr>
            <w:tcW w:w="2206" w:type="dxa"/>
            <w:shd w:val="clear" w:color="auto" w:fill="DFDFDF"/>
          </w:tcPr>
          <w:p w:rsidR="00A63476" w:rsidRDefault="00A63476">
            <w:pPr>
              <w:pStyle w:val="TableParagraph"/>
              <w:spacing w:before="10"/>
              <w:rPr>
                <w:sz w:val="15"/>
              </w:rPr>
            </w:pPr>
          </w:p>
          <w:p w:rsidR="00A63476" w:rsidRDefault="00D22874">
            <w:pPr>
              <w:pStyle w:val="TableParagraph"/>
              <w:ind w:left="732"/>
              <w:rPr>
                <w:b/>
                <w:sz w:val="16"/>
              </w:rPr>
            </w:pPr>
            <w:r>
              <w:rPr>
                <w:b/>
                <w:sz w:val="16"/>
              </w:rPr>
              <w:t>PUNTAJE</w:t>
            </w:r>
          </w:p>
        </w:tc>
      </w:tr>
      <w:tr w:rsidR="00A63476">
        <w:trPr>
          <w:trHeight w:val="1042"/>
        </w:trPr>
        <w:tc>
          <w:tcPr>
            <w:tcW w:w="2591" w:type="dxa"/>
            <w:tcBorders>
              <w:bottom w:val="nil"/>
            </w:tcBorders>
          </w:tcPr>
          <w:p w:rsidR="00A63476" w:rsidRDefault="00A63476">
            <w:pPr>
              <w:pStyle w:val="TableParagraph"/>
              <w:rPr>
                <w:rFonts w:ascii="Times New Roman"/>
                <w:sz w:val="16"/>
              </w:rPr>
            </w:pPr>
          </w:p>
        </w:tc>
        <w:tc>
          <w:tcPr>
            <w:tcW w:w="3886" w:type="dxa"/>
            <w:tcBorders>
              <w:bottom w:val="nil"/>
            </w:tcBorders>
          </w:tcPr>
          <w:p w:rsidR="00A63476" w:rsidRDefault="00D22874">
            <w:pPr>
              <w:pStyle w:val="TableParagraph"/>
              <w:spacing w:before="62" w:line="300" w:lineRule="atLeast"/>
              <w:ind w:left="78" w:right="79"/>
              <w:jc w:val="both"/>
              <w:rPr>
                <w:sz w:val="16"/>
              </w:rPr>
            </w:pPr>
            <w:r>
              <w:rPr>
                <w:sz w:val="16"/>
              </w:rPr>
              <w:t>Viviendas en climas cálidos con reducción de emisiones al menos del 30% de CO2 con IDG al menos en letra "D"</w:t>
            </w:r>
          </w:p>
        </w:tc>
        <w:tc>
          <w:tcPr>
            <w:tcW w:w="2206" w:type="dxa"/>
            <w:tcBorders>
              <w:bottom w:val="nil"/>
            </w:tcBorders>
          </w:tcPr>
          <w:p w:rsidR="00A63476" w:rsidRDefault="00A63476">
            <w:pPr>
              <w:pStyle w:val="TableParagraph"/>
              <w:rPr>
                <w:rFonts w:ascii="Times New Roman"/>
                <w:sz w:val="16"/>
              </w:rPr>
            </w:pPr>
          </w:p>
        </w:tc>
      </w:tr>
      <w:tr w:rsidR="00A63476">
        <w:trPr>
          <w:trHeight w:val="1020"/>
        </w:trPr>
        <w:tc>
          <w:tcPr>
            <w:tcW w:w="2591" w:type="dxa"/>
            <w:tcBorders>
              <w:top w:val="nil"/>
              <w:bottom w:val="nil"/>
            </w:tcBorders>
          </w:tcPr>
          <w:p w:rsidR="00A63476" w:rsidRDefault="00A63476">
            <w:pPr>
              <w:pStyle w:val="TableParagraph"/>
              <w:rPr>
                <w:rFonts w:ascii="Times New Roman"/>
                <w:sz w:val="16"/>
              </w:rPr>
            </w:pPr>
          </w:p>
        </w:tc>
        <w:tc>
          <w:tcPr>
            <w:tcW w:w="3886" w:type="dxa"/>
            <w:tcBorders>
              <w:top w:val="nil"/>
              <w:bottom w:val="nil"/>
            </w:tcBorders>
          </w:tcPr>
          <w:p w:rsidR="00A63476" w:rsidRDefault="00D22874">
            <w:pPr>
              <w:pStyle w:val="TableParagraph"/>
              <w:spacing w:before="75" w:line="391" w:lineRule="auto"/>
              <w:ind w:left="78" w:right="80"/>
              <w:jc w:val="both"/>
              <w:rPr>
                <w:sz w:val="16"/>
              </w:rPr>
            </w:pPr>
            <w:r>
              <w:rPr>
                <w:sz w:val="16"/>
              </w:rPr>
              <w:t>Viviendas en climas seco y semiseco con reducción de emisiones al menos del 20% de CO2 con IDG al menos en letra "D"</w:t>
            </w:r>
          </w:p>
        </w:tc>
        <w:tc>
          <w:tcPr>
            <w:tcW w:w="2206" w:type="dxa"/>
            <w:tcBorders>
              <w:top w:val="nil"/>
              <w:bottom w:val="nil"/>
            </w:tcBorders>
          </w:tcPr>
          <w:p w:rsidR="00A63476" w:rsidRDefault="00A63476">
            <w:pPr>
              <w:pStyle w:val="TableParagraph"/>
              <w:rPr>
                <w:sz w:val="18"/>
              </w:rPr>
            </w:pPr>
          </w:p>
          <w:p w:rsidR="00A63476" w:rsidRDefault="00A63476">
            <w:pPr>
              <w:pStyle w:val="TableParagraph"/>
              <w:rPr>
                <w:sz w:val="18"/>
              </w:rPr>
            </w:pPr>
          </w:p>
          <w:p w:rsidR="00A63476" w:rsidRDefault="00A63476">
            <w:pPr>
              <w:pStyle w:val="TableParagraph"/>
              <w:rPr>
                <w:sz w:val="18"/>
              </w:rPr>
            </w:pPr>
          </w:p>
          <w:p w:rsidR="00A63476" w:rsidRDefault="00A63476">
            <w:pPr>
              <w:pStyle w:val="TableParagraph"/>
              <w:spacing w:before="7"/>
              <w:rPr>
                <w:sz w:val="18"/>
              </w:rPr>
            </w:pPr>
          </w:p>
          <w:p w:rsidR="00A63476" w:rsidRDefault="00D22874">
            <w:pPr>
              <w:pStyle w:val="TableParagraph"/>
              <w:spacing w:line="165" w:lineRule="exact"/>
              <w:ind w:left="92"/>
              <w:rPr>
                <w:sz w:val="16"/>
              </w:rPr>
            </w:pPr>
            <w:r>
              <w:rPr>
                <w:sz w:val="16"/>
              </w:rPr>
              <w:t>125</w:t>
            </w:r>
          </w:p>
        </w:tc>
      </w:tr>
      <w:tr w:rsidR="00A63476">
        <w:trPr>
          <w:trHeight w:val="810"/>
        </w:trPr>
        <w:tc>
          <w:tcPr>
            <w:tcW w:w="2591" w:type="dxa"/>
            <w:tcBorders>
              <w:top w:val="nil"/>
              <w:bottom w:val="nil"/>
            </w:tcBorders>
          </w:tcPr>
          <w:p w:rsidR="00A63476" w:rsidRDefault="00D22874">
            <w:pPr>
              <w:pStyle w:val="TableParagraph"/>
              <w:spacing w:before="115"/>
              <w:ind w:left="89"/>
              <w:rPr>
                <w:b/>
                <w:sz w:val="16"/>
              </w:rPr>
            </w:pPr>
            <w:r>
              <w:rPr>
                <w:b/>
                <w:sz w:val="16"/>
              </w:rPr>
              <w:t>SUSTENTABILIDAD</w:t>
            </w:r>
          </w:p>
          <w:p w:rsidR="00A63476" w:rsidRDefault="00A63476">
            <w:pPr>
              <w:pStyle w:val="TableParagraph"/>
              <w:spacing w:before="3"/>
              <w:rPr>
                <w:sz w:val="15"/>
              </w:rPr>
            </w:pPr>
          </w:p>
          <w:p w:rsidR="00A63476" w:rsidRDefault="00D22874">
            <w:pPr>
              <w:pStyle w:val="TableParagraph"/>
              <w:spacing w:before="1"/>
              <w:ind w:left="89"/>
              <w:rPr>
                <w:b/>
                <w:sz w:val="16"/>
              </w:rPr>
            </w:pPr>
            <w:r>
              <w:rPr>
                <w:b/>
                <w:sz w:val="16"/>
              </w:rPr>
              <w:t>AMBIENTAL</w:t>
            </w:r>
          </w:p>
        </w:tc>
        <w:tc>
          <w:tcPr>
            <w:tcW w:w="3886" w:type="dxa"/>
            <w:tcBorders>
              <w:top w:val="nil"/>
              <w:bottom w:val="nil"/>
            </w:tcBorders>
          </w:tcPr>
          <w:p w:rsidR="00A63476" w:rsidRDefault="00D22874">
            <w:pPr>
              <w:pStyle w:val="TableParagraph"/>
              <w:spacing w:line="391" w:lineRule="auto"/>
              <w:ind w:left="78"/>
              <w:rPr>
                <w:sz w:val="16"/>
              </w:rPr>
            </w:pPr>
            <w:r>
              <w:rPr>
                <w:sz w:val="16"/>
              </w:rPr>
              <w:t>Viviendas en climas templados y fríos, con IDG al menos en letra "D" y al menos el 20% de reducción</w:t>
            </w:r>
          </w:p>
          <w:p w:rsidR="00A63476" w:rsidRDefault="00D22874">
            <w:pPr>
              <w:pStyle w:val="TableParagraph"/>
              <w:ind w:left="78"/>
              <w:rPr>
                <w:sz w:val="16"/>
              </w:rPr>
            </w:pPr>
            <w:r>
              <w:rPr>
                <w:sz w:val="16"/>
              </w:rPr>
              <w:t>CO2</w:t>
            </w:r>
          </w:p>
        </w:tc>
        <w:tc>
          <w:tcPr>
            <w:tcW w:w="2206" w:type="dxa"/>
            <w:tcBorders>
              <w:top w:val="nil"/>
              <w:bottom w:val="nil"/>
            </w:tcBorders>
          </w:tcPr>
          <w:p w:rsidR="00A63476" w:rsidRDefault="00A63476">
            <w:pPr>
              <w:pStyle w:val="TableParagraph"/>
              <w:rPr>
                <w:rFonts w:ascii="Times New Roman"/>
                <w:sz w:val="16"/>
              </w:rPr>
            </w:pPr>
          </w:p>
        </w:tc>
      </w:tr>
      <w:tr w:rsidR="00A63476">
        <w:trPr>
          <w:trHeight w:val="981"/>
        </w:trPr>
        <w:tc>
          <w:tcPr>
            <w:tcW w:w="2591" w:type="dxa"/>
            <w:tcBorders>
              <w:top w:val="nil"/>
              <w:bottom w:val="nil"/>
            </w:tcBorders>
          </w:tcPr>
          <w:p w:rsidR="00A63476" w:rsidRDefault="00D22874">
            <w:pPr>
              <w:pStyle w:val="TableParagraph"/>
              <w:spacing w:before="25"/>
              <w:ind w:left="89"/>
              <w:rPr>
                <w:b/>
                <w:sz w:val="16"/>
              </w:rPr>
            </w:pPr>
            <w:r>
              <w:rPr>
                <w:b/>
                <w:sz w:val="16"/>
              </w:rPr>
              <w:t>(máx: 150 pts.)</w:t>
            </w:r>
          </w:p>
        </w:tc>
        <w:tc>
          <w:tcPr>
            <w:tcW w:w="3886" w:type="dxa"/>
            <w:tcBorders>
              <w:top w:val="nil"/>
            </w:tcBorders>
          </w:tcPr>
          <w:p w:rsidR="00A63476" w:rsidRDefault="00D22874">
            <w:pPr>
              <w:pStyle w:val="TableParagraph"/>
              <w:spacing w:before="9" w:line="300" w:lineRule="atLeast"/>
              <w:ind w:left="78" w:right="79"/>
              <w:jc w:val="both"/>
              <w:rPr>
                <w:sz w:val="16"/>
              </w:rPr>
            </w:pPr>
            <w:r>
              <w:rPr>
                <w:sz w:val="16"/>
              </w:rPr>
              <w:t>Para vivienda vertical con al menos una reducción de emisiones del 20% de CO2 con IDG al menos en letra "E"</w:t>
            </w:r>
          </w:p>
        </w:tc>
        <w:tc>
          <w:tcPr>
            <w:tcW w:w="2206" w:type="dxa"/>
            <w:tcBorders>
              <w:top w:val="nil"/>
            </w:tcBorders>
          </w:tcPr>
          <w:p w:rsidR="00A63476" w:rsidRDefault="00A63476">
            <w:pPr>
              <w:pStyle w:val="TableParagraph"/>
              <w:rPr>
                <w:rFonts w:ascii="Times New Roman"/>
                <w:sz w:val="16"/>
              </w:rPr>
            </w:pPr>
          </w:p>
        </w:tc>
      </w:tr>
      <w:tr w:rsidR="00A63476">
        <w:trPr>
          <w:trHeight w:val="443"/>
        </w:trPr>
        <w:tc>
          <w:tcPr>
            <w:tcW w:w="2591" w:type="dxa"/>
            <w:tcBorders>
              <w:top w:val="nil"/>
              <w:bottom w:val="nil"/>
            </w:tcBorders>
          </w:tcPr>
          <w:p w:rsidR="00A63476" w:rsidRDefault="00A63476">
            <w:pPr>
              <w:pStyle w:val="TableParagraph"/>
              <w:rPr>
                <w:rFonts w:ascii="Times New Roman"/>
                <w:sz w:val="16"/>
              </w:rPr>
            </w:pPr>
          </w:p>
        </w:tc>
        <w:tc>
          <w:tcPr>
            <w:tcW w:w="3886" w:type="dxa"/>
            <w:tcBorders>
              <w:bottom w:val="nil"/>
            </w:tcBorders>
          </w:tcPr>
          <w:p w:rsidR="00A63476" w:rsidRDefault="00A63476">
            <w:pPr>
              <w:pStyle w:val="TableParagraph"/>
              <w:spacing w:before="5"/>
              <w:rPr>
                <w:sz w:val="16"/>
              </w:rPr>
            </w:pPr>
          </w:p>
          <w:p w:rsidR="00A63476" w:rsidRDefault="00D22874">
            <w:pPr>
              <w:pStyle w:val="TableParagraph"/>
              <w:ind w:left="78"/>
              <w:rPr>
                <w:sz w:val="16"/>
              </w:rPr>
            </w:pPr>
            <w:r>
              <w:rPr>
                <w:sz w:val="16"/>
              </w:rPr>
              <w:t>Viviendas en climas cálidos con reducción de</w:t>
            </w:r>
          </w:p>
        </w:tc>
        <w:tc>
          <w:tcPr>
            <w:tcW w:w="2206" w:type="dxa"/>
            <w:tcBorders>
              <w:bottom w:val="nil"/>
            </w:tcBorders>
          </w:tcPr>
          <w:p w:rsidR="00A63476" w:rsidRDefault="00A63476">
            <w:pPr>
              <w:pStyle w:val="TableParagraph"/>
              <w:rPr>
                <w:rFonts w:ascii="Times New Roman"/>
                <w:sz w:val="16"/>
              </w:rPr>
            </w:pPr>
          </w:p>
        </w:tc>
      </w:tr>
      <w:tr w:rsidR="00A63476">
        <w:trPr>
          <w:trHeight w:val="320"/>
        </w:trPr>
        <w:tc>
          <w:tcPr>
            <w:tcW w:w="2591" w:type="dxa"/>
            <w:tcBorders>
              <w:top w:val="nil"/>
              <w:bottom w:val="nil"/>
            </w:tcBorders>
          </w:tcPr>
          <w:p w:rsidR="00A63476" w:rsidRDefault="00A63476">
            <w:pPr>
              <w:pStyle w:val="TableParagraph"/>
              <w:rPr>
                <w:rFonts w:ascii="Times New Roman"/>
                <w:sz w:val="16"/>
              </w:rPr>
            </w:pPr>
          </w:p>
        </w:tc>
        <w:tc>
          <w:tcPr>
            <w:tcW w:w="3886" w:type="dxa"/>
            <w:tcBorders>
              <w:top w:val="nil"/>
              <w:bottom w:val="nil"/>
            </w:tcBorders>
          </w:tcPr>
          <w:p w:rsidR="00A63476" w:rsidRDefault="00D22874">
            <w:pPr>
              <w:pStyle w:val="TableParagraph"/>
              <w:spacing w:before="65"/>
              <w:ind w:left="78"/>
              <w:rPr>
                <w:sz w:val="16"/>
              </w:rPr>
            </w:pPr>
            <w:r>
              <w:rPr>
                <w:sz w:val="16"/>
              </w:rPr>
              <w:t>emisiones al menos del 40% de CO2 con IDG al</w:t>
            </w:r>
          </w:p>
        </w:tc>
        <w:tc>
          <w:tcPr>
            <w:tcW w:w="2206" w:type="dxa"/>
            <w:tcBorders>
              <w:top w:val="nil"/>
              <w:bottom w:val="nil"/>
            </w:tcBorders>
          </w:tcPr>
          <w:p w:rsidR="00A63476" w:rsidRDefault="00A63476">
            <w:pPr>
              <w:pStyle w:val="TableParagraph"/>
              <w:rPr>
                <w:rFonts w:ascii="Times New Roman"/>
                <w:sz w:val="16"/>
              </w:rPr>
            </w:pPr>
          </w:p>
        </w:tc>
      </w:tr>
      <w:tr w:rsidR="00A63476">
        <w:trPr>
          <w:trHeight w:val="340"/>
        </w:trPr>
        <w:tc>
          <w:tcPr>
            <w:tcW w:w="2591" w:type="dxa"/>
            <w:tcBorders>
              <w:top w:val="nil"/>
              <w:bottom w:val="nil"/>
            </w:tcBorders>
          </w:tcPr>
          <w:p w:rsidR="00A63476" w:rsidRDefault="00A63476">
            <w:pPr>
              <w:pStyle w:val="TableParagraph"/>
              <w:rPr>
                <w:rFonts w:ascii="Times New Roman"/>
                <w:sz w:val="16"/>
              </w:rPr>
            </w:pPr>
          </w:p>
        </w:tc>
        <w:tc>
          <w:tcPr>
            <w:tcW w:w="3886" w:type="dxa"/>
            <w:tcBorders>
              <w:top w:val="nil"/>
              <w:bottom w:val="nil"/>
            </w:tcBorders>
          </w:tcPr>
          <w:p w:rsidR="00A63476" w:rsidRDefault="00D22874">
            <w:pPr>
              <w:pStyle w:val="TableParagraph"/>
              <w:spacing w:before="65"/>
              <w:ind w:left="78"/>
              <w:rPr>
                <w:sz w:val="16"/>
              </w:rPr>
            </w:pPr>
            <w:r>
              <w:rPr>
                <w:sz w:val="16"/>
              </w:rPr>
              <w:t>menos en letra "C"</w:t>
            </w:r>
          </w:p>
        </w:tc>
        <w:tc>
          <w:tcPr>
            <w:tcW w:w="2206" w:type="dxa"/>
            <w:tcBorders>
              <w:top w:val="nil"/>
              <w:bottom w:val="nil"/>
            </w:tcBorders>
          </w:tcPr>
          <w:p w:rsidR="00A63476" w:rsidRDefault="00A63476">
            <w:pPr>
              <w:pStyle w:val="TableParagraph"/>
              <w:rPr>
                <w:rFonts w:ascii="Times New Roman"/>
                <w:sz w:val="16"/>
              </w:rPr>
            </w:pPr>
          </w:p>
        </w:tc>
      </w:tr>
      <w:tr w:rsidR="00A63476">
        <w:trPr>
          <w:trHeight w:val="340"/>
        </w:trPr>
        <w:tc>
          <w:tcPr>
            <w:tcW w:w="2591" w:type="dxa"/>
            <w:tcBorders>
              <w:top w:val="nil"/>
              <w:bottom w:val="nil"/>
            </w:tcBorders>
          </w:tcPr>
          <w:p w:rsidR="00A63476" w:rsidRDefault="00A63476">
            <w:pPr>
              <w:pStyle w:val="TableParagraph"/>
              <w:rPr>
                <w:rFonts w:ascii="Times New Roman"/>
                <w:sz w:val="16"/>
              </w:rPr>
            </w:pPr>
          </w:p>
        </w:tc>
        <w:tc>
          <w:tcPr>
            <w:tcW w:w="3886" w:type="dxa"/>
            <w:tcBorders>
              <w:top w:val="nil"/>
              <w:bottom w:val="nil"/>
            </w:tcBorders>
          </w:tcPr>
          <w:p w:rsidR="00A63476" w:rsidRDefault="00D22874">
            <w:pPr>
              <w:pStyle w:val="TableParagraph"/>
              <w:spacing w:before="85"/>
              <w:ind w:left="78"/>
              <w:rPr>
                <w:sz w:val="16"/>
              </w:rPr>
            </w:pPr>
            <w:r>
              <w:rPr>
                <w:sz w:val="16"/>
              </w:rPr>
              <w:t>Viviendas en climas seco y semiseco con reducción</w:t>
            </w:r>
          </w:p>
        </w:tc>
        <w:tc>
          <w:tcPr>
            <w:tcW w:w="2206" w:type="dxa"/>
            <w:tcBorders>
              <w:top w:val="nil"/>
              <w:bottom w:val="nil"/>
            </w:tcBorders>
          </w:tcPr>
          <w:p w:rsidR="00A63476" w:rsidRDefault="00A63476">
            <w:pPr>
              <w:pStyle w:val="TableParagraph"/>
              <w:rPr>
                <w:rFonts w:ascii="Times New Roman"/>
                <w:sz w:val="16"/>
              </w:rPr>
            </w:pPr>
          </w:p>
        </w:tc>
      </w:tr>
      <w:tr w:rsidR="00A63476">
        <w:trPr>
          <w:trHeight w:val="320"/>
        </w:trPr>
        <w:tc>
          <w:tcPr>
            <w:tcW w:w="2591" w:type="dxa"/>
            <w:tcBorders>
              <w:top w:val="nil"/>
              <w:bottom w:val="nil"/>
            </w:tcBorders>
          </w:tcPr>
          <w:p w:rsidR="00A63476" w:rsidRDefault="00A63476">
            <w:pPr>
              <w:pStyle w:val="TableParagraph"/>
              <w:rPr>
                <w:rFonts w:ascii="Times New Roman"/>
                <w:sz w:val="16"/>
              </w:rPr>
            </w:pPr>
          </w:p>
        </w:tc>
        <w:tc>
          <w:tcPr>
            <w:tcW w:w="3886" w:type="dxa"/>
            <w:tcBorders>
              <w:top w:val="nil"/>
              <w:bottom w:val="nil"/>
            </w:tcBorders>
          </w:tcPr>
          <w:p w:rsidR="00A63476" w:rsidRDefault="00D22874">
            <w:pPr>
              <w:pStyle w:val="TableParagraph"/>
              <w:spacing w:before="65"/>
              <w:ind w:left="78"/>
              <w:rPr>
                <w:sz w:val="16"/>
              </w:rPr>
            </w:pPr>
            <w:r>
              <w:rPr>
                <w:sz w:val="16"/>
              </w:rPr>
              <w:t>de emisiones al menos del 30% de CO2 con IDG al</w:t>
            </w:r>
          </w:p>
        </w:tc>
        <w:tc>
          <w:tcPr>
            <w:tcW w:w="2206" w:type="dxa"/>
            <w:tcBorders>
              <w:top w:val="nil"/>
              <w:bottom w:val="nil"/>
            </w:tcBorders>
          </w:tcPr>
          <w:p w:rsidR="00A63476" w:rsidRDefault="00A63476">
            <w:pPr>
              <w:pStyle w:val="TableParagraph"/>
              <w:rPr>
                <w:rFonts w:ascii="Times New Roman"/>
                <w:sz w:val="16"/>
              </w:rPr>
            </w:pPr>
          </w:p>
        </w:tc>
      </w:tr>
      <w:tr w:rsidR="00A63476">
        <w:trPr>
          <w:trHeight w:val="250"/>
        </w:trPr>
        <w:tc>
          <w:tcPr>
            <w:tcW w:w="2591" w:type="dxa"/>
            <w:tcBorders>
              <w:top w:val="nil"/>
              <w:bottom w:val="nil"/>
            </w:tcBorders>
          </w:tcPr>
          <w:p w:rsidR="00A63476" w:rsidRDefault="00A63476">
            <w:pPr>
              <w:pStyle w:val="TableParagraph"/>
              <w:rPr>
                <w:rFonts w:ascii="Times New Roman"/>
                <w:sz w:val="16"/>
              </w:rPr>
            </w:pPr>
          </w:p>
        </w:tc>
        <w:tc>
          <w:tcPr>
            <w:tcW w:w="3886" w:type="dxa"/>
            <w:tcBorders>
              <w:top w:val="nil"/>
              <w:bottom w:val="nil"/>
            </w:tcBorders>
          </w:tcPr>
          <w:p w:rsidR="00A63476" w:rsidRDefault="00D22874">
            <w:pPr>
              <w:pStyle w:val="TableParagraph"/>
              <w:spacing w:before="65" w:line="165" w:lineRule="exact"/>
              <w:ind w:left="78"/>
              <w:rPr>
                <w:sz w:val="16"/>
              </w:rPr>
            </w:pPr>
            <w:r>
              <w:rPr>
                <w:sz w:val="16"/>
              </w:rPr>
              <w:t>menos en letra "D"</w:t>
            </w:r>
          </w:p>
        </w:tc>
        <w:tc>
          <w:tcPr>
            <w:tcW w:w="2206" w:type="dxa"/>
            <w:tcBorders>
              <w:top w:val="nil"/>
              <w:bottom w:val="nil"/>
            </w:tcBorders>
          </w:tcPr>
          <w:p w:rsidR="00A63476" w:rsidRDefault="00A63476">
            <w:pPr>
              <w:pStyle w:val="TableParagraph"/>
              <w:rPr>
                <w:rFonts w:ascii="Times New Roman"/>
                <w:sz w:val="16"/>
              </w:rPr>
            </w:pPr>
          </w:p>
        </w:tc>
      </w:tr>
      <w:tr w:rsidR="00A63476">
        <w:trPr>
          <w:trHeight w:val="180"/>
        </w:trPr>
        <w:tc>
          <w:tcPr>
            <w:tcW w:w="2591" w:type="dxa"/>
            <w:tcBorders>
              <w:top w:val="nil"/>
              <w:bottom w:val="nil"/>
            </w:tcBorders>
          </w:tcPr>
          <w:p w:rsidR="00A63476" w:rsidRDefault="00A63476">
            <w:pPr>
              <w:pStyle w:val="TableParagraph"/>
              <w:rPr>
                <w:rFonts w:ascii="Times New Roman"/>
                <w:sz w:val="12"/>
              </w:rPr>
            </w:pPr>
          </w:p>
        </w:tc>
        <w:tc>
          <w:tcPr>
            <w:tcW w:w="3886" w:type="dxa"/>
            <w:tcBorders>
              <w:top w:val="nil"/>
              <w:bottom w:val="nil"/>
            </w:tcBorders>
          </w:tcPr>
          <w:p w:rsidR="00A63476" w:rsidRDefault="00A63476">
            <w:pPr>
              <w:pStyle w:val="TableParagraph"/>
              <w:rPr>
                <w:rFonts w:ascii="Times New Roman"/>
                <w:sz w:val="12"/>
              </w:rPr>
            </w:pPr>
          </w:p>
        </w:tc>
        <w:tc>
          <w:tcPr>
            <w:tcW w:w="2206" w:type="dxa"/>
            <w:tcBorders>
              <w:top w:val="nil"/>
              <w:bottom w:val="nil"/>
            </w:tcBorders>
          </w:tcPr>
          <w:p w:rsidR="00A63476" w:rsidRDefault="00D22874">
            <w:pPr>
              <w:pStyle w:val="TableParagraph"/>
              <w:spacing w:line="160" w:lineRule="exact"/>
              <w:ind w:left="92"/>
              <w:rPr>
                <w:sz w:val="16"/>
              </w:rPr>
            </w:pPr>
            <w:r>
              <w:rPr>
                <w:sz w:val="16"/>
              </w:rPr>
              <w:t>150</w:t>
            </w:r>
          </w:p>
        </w:tc>
      </w:tr>
      <w:tr w:rsidR="00A63476">
        <w:trPr>
          <w:trHeight w:val="250"/>
        </w:trPr>
        <w:tc>
          <w:tcPr>
            <w:tcW w:w="2591" w:type="dxa"/>
            <w:tcBorders>
              <w:top w:val="nil"/>
              <w:bottom w:val="nil"/>
            </w:tcBorders>
          </w:tcPr>
          <w:p w:rsidR="00A63476" w:rsidRDefault="00A63476">
            <w:pPr>
              <w:pStyle w:val="TableParagraph"/>
              <w:rPr>
                <w:rFonts w:ascii="Times New Roman"/>
                <w:sz w:val="16"/>
              </w:rPr>
            </w:pPr>
          </w:p>
        </w:tc>
        <w:tc>
          <w:tcPr>
            <w:tcW w:w="3886" w:type="dxa"/>
            <w:tcBorders>
              <w:top w:val="nil"/>
              <w:bottom w:val="nil"/>
            </w:tcBorders>
          </w:tcPr>
          <w:p w:rsidR="00A63476" w:rsidRDefault="00D22874">
            <w:pPr>
              <w:pStyle w:val="TableParagraph"/>
              <w:spacing w:line="179" w:lineRule="exact"/>
              <w:ind w:left="78"/>
              <w:rPr>
                <w:sz w:val="16"/>
              </w:rPr>
            </w:pPr>
            <w:r>
              <w:rPr>
                <w:sz w:val="16"/>
              </w:rPr>
              <w:t>Viviendas en climas templados y fríos, con IDG al</w:t>
            </w:r>
          </w:p>
        </w:tc>
        <w:tc>
          <w:tcPr>
            <w:tcW w:w="2206" w:type="dxa"/>
            <w:tcBorders>
              <w:top w:val="nil"/>
              <w:bottom w:val="nil"/>
            </w:tcBorders>
          </w:tcPr>
          <w:p w:rsidR="00A63476" w:rsidRDefault="00A63476">
            <w:pPr>
              <w:pStyle w:val="TableParagraph"/>
              <w:rPr>
                <w:rFonts w:ascii="Times New Roman"/>
                <w:sz w:val="16"/>
              </w:rPr>
            </w:pPr>
          </w:p>
        </w:tc>
      </w:tr>
      <w:tr w:rsidR="00A63476">
        <w:trPr>
          <w:trHeight w:val="320"/>
        </w:trPr>
        <w:tc>
          <w:tcPr>
            <w:tcW w:w="2591" w:type="dxa"/>
            <w:tcBorders>
              <w:top w:val="nil"/>
              <w:bottom w:val="nil"/>
            </w:tcBorders>
          </w:tcPr>
          <w:p w:rsidR="00A63476" w:rsidRDefault="00A63476">
            <w:pPr>
              <w:pStyle w:val="TableParagraph"/>
              <w:rPr>
                <w:rFonts w:ascii="Times New Roman"/>
                <w:sz w:val="16"/>
              </w:rPr>
            </w:pPr>
          </w:p>
        </w:tc>
        <w:tc>
          <w:tcPr>
            <w:tcW w:w="3886" w:type="dxa"/>
            <w:tcBorders>
              <w:top w:val="nil"/>
              <w:bottom w:val="nil"/>
            </w:tcBorders>
          </w:tcPr>
          <w:p w:rsidR="00A63476" w:rsidRDefault="00D22874">
            <w:pPr>
              <w:pStyle w:val="TableParagraph"/>
              <w:spacing w:before="65"/>
              <w:ind w:left="78"/>
              <w:rPr>
                <w:sz w:val="16"/>
              </w:rPr>
            </w:pPr>
            <w:r>
              <w:rPr>
                <w:sz w:val="16"/>
              </w:rPr>
              <w:t>menos en letra "D" y al menos el 25% de reducción</w:t>
            </w:r>
          </w:p>
        </w:tc>
        <w:tc>
          <w:tcPr>
            <w:tcW w:w="2206" w:type="dxa"/>
            <w:tcBorders>
              <w:top w:val="nil"/>
              <w:bottom w:val="nil"/>
            </w:tcBorders>
          </w:tcPr>
          <w:p w:rsidR="00A63476" w:rsidRDefault="00A63476">
            <w:pPr>
              <w:pStyle w:val="TableParagraph"/>
              <w:rPr>
                <w:rFonts w:ascii="Times New Roman"/>
                <w:sz w:val="16"/>
              </w:rPr>
            </w:pPr>
          </w:p>
        </w:tc>
      </w:tr>
      <w:tr w:rsidR="00A63476">
        <w:trPr>
          <w:trHeight w:val="340"/>
        </w:trPr>
        <w:tc>
          <w:tcPr>
            <w:tcW w:w="2591" w:type="dxa"/>
            <w:tcBorders>
              <w:top w:val="nil"/>
              <w:bottom w:val="nil"/>
            </w:tcBorders>
          </w:tcPr>
          <w:p w:rsidR="00A63476" w:rsidRDefault="00A63476">
            <w:pPr>
              <w:pStyle w:val="TableParagraph"/>
              <w:rPr>
                <w:rFonts w:ascii="Times New Roman"/>
                <w:sz w:val="16"/>
              </w:rPr>
            </w:pPr>
          </w:p>
        </w:tc>
        <w:tc>
          <w:tcPr>
            <w:tcW w:w="3886" w:type="dxa"/>
            <w:tcBorders>
              <w:top w:val="nil"/>
              <w:bottom w:val="nil"/>
            </w:tcBorders>
          </w:tcPr>
          <w:p w:rsidR="00A63476" w:rsidRDefault="00D22874">
            <w:pPr>
              <w:pStyle w:val="TableParagraph"/>
              <w:spacing w:before="65"/>
              <w:ind w:left="78"/>
              <w:rPr>
                <w:sz w:val="16"/>
              </w:rPr>
            </w:pPr>
            <w:r>
              <w:rPr>
                <w:sz w:val="16"/>
              </w:rPr>
              <w:t>CO2</w:t>
            </w:r>
          </w:p>
        </w:tc>
        <w:tc>
          <w:tcPr>
            <w:tcW w:w="2206" w:type="dxa"/>
            <w:tcBorders>
              <w:top w:val="nil"/>
              <w:bottom w:val="nil"/>
            </w:tcBorders>
          </w:tcPr>
          <w:p w:rsidR="00A63476" w:rsidRDefault="00A63476">
            <w:pPr>
              <w:pStyle w:val="TableParagraph"/>
              <w:rPr>
                <w:rFonts w:ascii="Times New Roman"/>
                <w:sz w:val="16"/>
              </w:rPr>
            </w:pPr>
          </w:p>
        </w:tc>
      </w:tr>
      <w:tr w:rsidR="00A63476">
        <w:trPr>
          <w:trHeight w:val="340"/>
        </w:trPr>
        <w:tc>
          <w:tcPr>
            <w:tcW w:w="2591" w:type="dxa"/>
            <w:tcBorders>
              <w:top w:val="nil"/>
              <w:bottom w:val="nil"/>
            </w:tcBorders>
          </w:tcPr>
          <w:p w:rsidR="00A63476" w:rsidRDefault="00A63476">
            <w:pPr>
              <w:pStyle w:val="TableParagraph"/>
              <w:rPr>
                <w:rFonts w:ascii="Times New Roman"/>
                <w:sz w:val="16"/>
              </w:rPr>
            </w:pPr>
          </w:p>
        </w:tc>
        <w:tc>
          <w:tcPr>
            <w:tcW w:w="3886" w:type="dxa"/>
            <w:tcBorders>
              <w:top w:val="nil"/>
              <w:bottom w:val="nil"/>
            </w:tcBorders>
          </w:tcPr>
          <w:p w:rsidR="00A63476" w:rsidRDefault="00D22874">
            <w:pPr>
              <w:pStyle w:val="TableParagraph"/>
              <w:spacing w:before="85"/>
              <w:ind w:left="78"/>
              <w:rPr>
                <w:sz w:val="16"/>
              </w:rPr>
            </w:pPr>
            <w:r>
              <w:rPr>
                <w:sz w:val="16"/>
              </w:rPr>
              <w:t>Para vivienda vertical con al menos una reducción</w:t>
            </w:r>
          </w:p>
        </w:tc>
        <w:tc>
          <w:tcPr>
            <w:tcW w:w="2206" w:type="dxa"/>
            <w:tcBorders>
              <w:top w:val="nil"/>
              <w:bottom w:val="nil"/>
            </w:tcBorders>
          </w:tcPr>
          <w:p w:rsidR="00A63476" w:rsidRDefault="00A63476">
            <w:pPr>
              <w:pStyle w:val="TableParagraph"/>
              <w:rPr>
                <w:rFonts w:ascii="Times New Roman"/>
                <w:sz w:val="16"/>
              </w:rPr>
            </w:pPr>
          </w:p>
        </w:tc>
      </w:tr>
      <w:tr w:rsidR="00A63476">
        <w:trPr>
          <w:trHeight w:val="320"/>
        </w:trPr>
        <w:tc>
          <w:tcPr>
            <w:tcW w:w="2591" w:type="dxa"/>
            <w:tcBorders>
              <w:top w:val="nil"/>
              <w:bottom w:val="nil"/>
            </w:tcBorders>
          </w:tcPr>
          <w:p w:rsidR="00A63476" w:rsidRDefault="00A63476">
            <w:pPr>
              <w:pStyle w:val="TableParagraph"/>
              <w:rPr>
                <w:rFonts w:ascii="Times New Roman"/>
                <w:sz w:val="16"/>
              </w:rPr>
            </w:pPr>
          </w:p>
        </w:tc>
        <w:tc>
          <w:tcPr>
            <w:tcW w:w="3886" w:type="dxa"/>
            <w:tcBorders>
              <w:top w:val="nil"/>
              <w:bottom w:val="nil"/>
            </w:tcBorders>
          </w:tcPr>
          <w:p w:rsidR="00A63476" w:rsidRDefault="00D22874">
            <w:pPr>
              <w:pStyle w:val="TableParagraph"/>
              <w:spacing w:before="65"/>
              <w:ind w:left="78"/>
              <w:rPr>
                <w:sz w:val="16"/>
              </w:rPr>
            </w:pPr>
            <w:r>
              <w:rPr>
                <w:sz w:val="16"/>
              </w:rPr>
              <w:t>de emisiones del 25% de CO2 con IDG al menos en</w:t>
            </w:r>
          </w:p>
        </w:tc>
        <w:tc>
          <w:tcPr>
            <w:tcW w:w="2206" w:type="dxa"/>
            <w:tcBorders>
              <w:top w:val="nil"/>
              <w:bottom w:val="nil"/>
            </w:tcBorders>
          </w:tcPr>
          <w:p w:rsidR="00A63476" w:rsidRDefault="00A63476">
            <w:pPr>
              <w:pStyle w:val="TableParagraph"/>
              <w:rPr>
                <w:rFonts w:ascii="Times New Roman"/>
                <w:sz w:val="16"/>
              </w:rPr>
            </w:pPr>
          </w:p>
        </w:tc>
      </w:tr>
      <w:tr w:rsidR="00A63476">
        <w:trPr>
          <w:trHeight w:val="326"/>
        </w:trPr>
        <w:tc>
          <w:tcPr>
            <w:tcW w:w="2591" w:type="dxa"/>
            <w:tcBorders>
              <w:top w:val="nil"/>
            </w:tcBorders>
          </w:tcPr>
          <w:p w:rsidR="00A63476" w:rsidRDefault="00A63476">
            <w:pPr>
              <w:pStyle w:val="TableParagraph"/>
              <w:rPr>
                <w:rFonts w:ascii="Times New Roman"/>
                <w:sz w:val="16"/>
              </w:rPr>
            </w:pPr>
          </w:p>
        </w:tc>
        <w:tc>
          <w:tcPr>
            <w:tcW w:w="3886" w:type="dxa"/>
            <w:tcBorders>
              <w:top w:val="nil"/>
            </w:tcBorders>
          </w:tcPr>
          <w:p w:rsidR="00A63476" w:rsidRDefault="00D22874">
            <w:pPr>
              <w:pStyle w:val="TableParagraph"/>
              <w:spacing w:before="65"/>
              <w:ind w:left="78"/>
              <w:rPr>
                <w:sz w:val="16"/>
              </w:rPr>
            </w:pPr>
            <w:r>
              <w:rPr>
                <w:sz w:val="16"/>
              </w:rPr>
              <w:t>letra "E"</w:t>
            </w:r>
          </w:p>
        </w:tc>
        <w:tc>
          <w:tcPr>
            <w:tcW w:w="2206" w:type="dxa"/>
            <w:tcBorders>
              <w:top w:val="nil"/>
            </w:tcBorders>
          </w:tcPr>
          <w:p w:rsidR="00A63476" w:rsidRDefault="00A63476">
            <w:pPr>
              <w:pStyle w:val="TableParagraph"/>
              <w:rPr>
                <w:rFonts w:ascii="Times New Roman"/>
                <w:sz w:val="16"/>
              </w:rPr>
            </w:pPr>
          </w:p>
        </w:tc>
      </w:tr>
    </w:tbl>
    <w:p w:rsidR="00A63476" w:rsidRDefault="00A63476">
      <w:pPr>
        <w:rPr>
          <w:rFonts w:ascii="Times New Roman"/>
          <w:sz w:val="16"/>
        </w:rPr>
        <w:sectPr w:rsidR="00A63476">
          <w:pgSz w:w="12240" w:h="15840"/>
          <w:pgMar w:top="880" w:right="1040" w:bottom="280" w:left="1180" w:header="699" w:footer="0" w:gutter="0"/>
          <w:cols w:space="720"/>
        </w:sectPr>
      </w:pPr>
    </w:p>
    <w:p w:rsidR="00A63476" w:rsidRDefault="00FF0FB3">
      <w:pPr>
        <w:pStyle w:val="Textoindependiente"/>
        <w:spacing w:line="20" w:lineRule="exact"/>
        <w:ind w:left="396" w:right="0" w:firstLine="0"/>
        <w:jc w:val="left"/>
        <w:rPr>
          <w:sz w:val="2"/>
        </w:rPr>
      </w:pPr>
      <w:r>
        <w:rPr>
          <w:noProof/>
          <w:sz w:val="2"/>
        </w:rPr>
        <w:lastRenderedPageBreak/>
        <mc:AlternateContent>
          <mc:Choice Requires="wpg">
            <w:drawing>
              <wp:inline distT="0" distB="0" distL="0" distR="0">
                <wp:extent cx="5852160" cy="9525"/>
                <wp:effectExtent l="10160" t="6985" r="5080" b="2540"/>
                <wp:docPr id="52" name="Group 29"/>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5852160" cy="9525"/>
                          <a:chOff x="0" y="0"/>
                          <a:chExt cx="9216" cy="15"/>
                        </a:xfrm>
                      </wpg:grpSpPr>
                      <wps:wsp>
                        <wps:cNvPr id="53" name="Line 30"/>
                        <wps:cNvCnPr>
                          <a:cxnSpLocks noChangeShapeType="1"/>
                        </wps:cNvCnPr>
                        <wps:spPr bwMode="auto">
                          <a:xfrm>
                            <a:off x="0" y="7"/>
                            <a:ext cx="9216" cy="0"/>
                          </a:xfrm>
                          <a:prstGeom prst="line">
                            <a:avLst/>
                          </a:prstGeom>
                          <a:noFill/>
                          <a:ln w="9525">
                            <a:solidFill>
                              <a:srgbClr val="000000"/>
                            </a:solidFill>
                            <a:prstDash val="solid"/>
                            <a:round/>
                            <a:headEnd/>
                            <a:tailEnd/>
                          </a:ln>
                          <a:extLst>
                            <a:ext uri="{909E8E84-426E-40DD-AFC4-6F175D3DCCD1}">
                              <a14:hiddenFill xmlns:a14="http://schemas.microsoft.com/office/drawing/2010/main">
                                <a:noFill/>
                              </a14:hiddenFill>
                            </a:ext>
                          </a:extLst>
                        </wps:spPr>
                        <wps:bodyPr/>
                      </wps:wsp>
                    </wpg:wgp>
                  </a:graphicData>
                </a:graphic>
              </wp:inline>
            </w:drawing>
          </mc:Choice>
          <mc:Fallback>
            <w:pict>
              <v:group w14:anchorId="67264A0F" id="Group 29" o:spid="_x0000_s1026" style="width:460.8pt;height:.75pt;mso-position-horizontal-relative:char;mso-position-vertical-relative:line" coordsize="9216,1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">
                <v:line id="Line 30" o:spid="_x0000_s1027" style="position:absolute;visibility:visible;mso-wrap-style:square" from="0,7" to="9216,7"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"/>
                <w10:anchorlock/>
              </v:group>
            </w:pict>
          </mc:Fallback>
        </mc:AlternateContent>
      </w:r>
    </w:p>
    <w:p w:rsidR="00A63476" w:rsidRDefault="00A63476">
      <w:pPr>
        <w:pStyle w:val="Textoindependiente"/>
        <w:spacing w:before="3"/>
        <w:ind w:left="0" w:right="0" w:firstLine="0"/>
        <w:jc w:val="left"/>
        <w:rPr>
          <w:sz w:val="20"/>
        </w:rPr>
      </w:pPr>
    </w:p>
    <w:tbl>
      <w:tblPr>
        <w:tblStyle w:val="TableNormal"/>
        <w:tblW w:w="0" w:type="auto"/>
        <w:tblInd w:w="678" w:type="dxa"/>
        <w:tblBorders>
          <w:top w:val="single" w:sz="6" w:space="0" w:color="404040"/>
          <w:left w:val="single" w:sz="6" w:space="0" w:color="404040"/>
          <w:bottom w:val="single" w:sz="6" w:space="0" w:color="404040"/>
          <w:right w:val="single" w:sz="6" w:space="0" w:color="404040"/>
          <w:insideH w:val="single" w:sz="6" w:space="0" w:color="404040"/>
          <w:insideV w:val="single" w:sz="6" w:space="0" w:color="404040"/>
        </w:tblBorders>
        <w:tblLayout w:type="fixed"/>
        <w:tblLook w:val="01E0" w:firstRow="1" w:lastRow="1" w:firstColumn="1" w:lastColumn="1" w:noHBand="0" w:noVBand="0"/>
      </w:tblPr>
      <w:tblGrid>
        <w:gridCol w:w="2591"/>
        <w:gridCol w:w="3886"/>
        <w:gridCol w:w="2206"/>
      </w:tblGrid>
      <w:tr w:rsidR="00A63476">
        <w:trPr>
          <w:trHeight w:val="433"/>
        </w:trPr>
        <w:tc>
          <w:tcPr>
            <w:tcW w:w="2591" w:type="dxa"/>
            <w:shd w:val="clear" w:color="auto" w:fill="DFDFDF"/>
          </w:tcPr>
          <w:p w:rsidR="00A63476" w:rsidRDefault="00A63476">
            <w:pPr>
              <w:pStyle w:val="TableParagraph"/>
              <w:spacing w:before="1"/>
              <w:rPr>
                <w:sz w:val="14"/>
              </w:rPr>
            </w:pPr>
          </w:p>
          <w:p w:rsidR="00A63476" w:rsidRDefault="00D22874">
            <w:pPr>
              <w:pStyle w:val="TableParagraph"/>
              <w:spacing w:before="1"/>
              <w:ind w:left="849"/>
              <w:rPr>
                <w:b/>
                <w:sz w:val="16"/>
              </w:rPr>
            </w:pPr>
            <w:r>
              <w:rPr>
                <w:b/>
                <w:sz w:val="16"/>
              </w:rPr>
              <w:t>DIMENSIÓN</w:t>
            </w:r>
          </w:p>
        </w:tc>
        <w:tc>
          <w:tcPr>
            <w:tcW w:w="3886" w:type="dxa"/>
            <w:shd w:val="clear" w:color="auto" w:fill="DFDFDF"/>
          </w:tcPr>
          <w:p w:rsidR="00A63476" w:rsidRDefault="00A63476">
            <w:pPr>
              <w:pStyle w:val="TableParagraph"/>
              <w:spacing w:before="1"/>
              <w:rPr>
                <w:sz w:val="14"/>
              </w:rPr>
            </w:pPr>
          </w:p>
          <w:p w:rsidR="00A63476" w:rsidRDefault="00D22874">
            <w:pPr>
              <w:pStyle w:val="TableParagraph"/>
              <w:spacing w:before="1"/>
              <w:ind w:left="1412" w:right="1387"/>
              <w:jc w:val="center"/>
              <w:rPr>
                <w:b/>
                <w:sz w:val="16"/>
              </w:rPr>
            </w:pPr>
            <w:r>
              <w:rPr>
                <w:b/>
                <w:sz w:val="16"/>
              </w:rPr>
              <w:t>PARÁMETRO</w:t>
            </w:r>
          </w:p>
        </w:tc>
        <w:tc>
          <w:tcPr>
            <w:tcW w:w="2206" w:type="dxa"/>
            <w:shd w:val="clear" w:color="auto" w:fill="DFDFDF"/>
          </w:tcPr>
          <w:p w:rsidR="00A63476" w:rsidRDefault="00A63476">
            <w:pPr>
              <w:pStyle w:val="TableParagraph"/>
              <w:spacing w:before="1"/>
              <w:rPr>
                <w:sz w:val="14"/>
              </w:rPr>
            </w:pPr>
          </w:p>
          <w:p w:rsidR="00A63476" w:rsidRDefault="00D22874">
            <w:pPr>
              <w:pStyle w:val="TableParagraph"/>
              <w:spacing w:before="1"/>
              <w:ind w:left="732"/>
              <w:rPr>
                <w:b/>
                <w:sz w:val="16"/>
              </w:rPr>
            </w:pPr>
            <w:r>
              <w:rPr>
                <w:b/>
                <w:sz w:val="16"/>
              </w:rPr>
              <w:t>PUNTAJE</w:t>
            </w:r>
          </w:p>
        </w:tc>
      </w:tr>
      <w:tr w:rsidR="00A63476">
        <w:trPr>
          <w:trHeight w:val="6929"/>
        </w:trPr>
        <w:tc>
          <w:tcPr>
            <w:tcW w:w="2591" w:type="dxa"/>
          </w:tcPr>
          <w:p w:rsidR="00A63476" w:rsidRDefault="00A63476">
            <w:pPr>
              <w:pStyle w:val="TableParagraph"/>
              <w:rPr>
                <w:sz w:val="18"/>
              </w:rPr>
            </w:pPr>
          </w:p>
          <w:p w:rsidR="00A63476" w:rsidRDefault="00A63476">
            <w:pPr>
              <w:pStyle w:val="TableParagraph"/>
              <w:rPr>
                <w:sz w:val="18"/>
              </w:rPr>
            </w:pPr>
          </w:p>
          <w:p w:rsidR="00A63476" w:rsidRDefault="00A63476">
            <w:pPr>
              <w:pStyle w:val="TableParagraph"/>
              <w:rPr>
                <w:sz w:val="18"/>
              </w:rPr>
            </w:pPr>
          </w:p>
          <w:p w:rsidR="00A63476" w:rsidRDefault="00A63476">
            <w:pPr>
              <w:pStyle w:val="TableParagraph"/>
              <w:rPr>
                <w:sz w:val="18"/>
              </w:rPr>
            </w:pPr>
          </w:p>
          <w:p w:rsidR="00A63476" w:rsidRDefault="00A63476">
            <w:pPr>
              <w:pStyle w:val="TableParagraph"/>
              <w:rPr>
                <w:sz w:val="18"/>
              </w:rPr>
            </w:pPr>
          </w:p>
          <w:p w:rsidR="00A63476" w:rsidRDefault="00A63476">
            <w:pPr>
              <w:pStyle w:val="TableParagraph"/>
              <w:rPr>
                <w:sz w:val="18"/>
              </w:rPr>
            </w:pPr>
          </w:p>
          <w:p w:rsidR="00A63476" w:rsidRDefault="00A63476">
            <w:pPr>
              <w:pStyle w:val="TableParagraph"/>
              <w:rPr>
                <w:sz w:val="18"/>
              </w:rPr>
            </w:pPr>
          </w:p>
          <w:p w:rsidR="00A63476" w:rsidRDefault="00A63476">
            <w:pPr>
              <w:pStyle w:val="TableParagraph"/>
              <w:rPr>
                <w:sz w:val="18"/>
              </w:rPr>
            </w:pPr>
          </w:p>
          <w:p w:rsidR="00A63476" w:rsidRDefault="00A63476">
            <w:pPr>
              <w:pStyle w:val="TableParagraph"/>
              <w:rPr>
                <w:sz w:val="18"/>
              </w:rPr>
            </w:pPr>
          </w:p>
          <w:p w:rsidR="00A63476" w:rsidRDefault="00A63476">
            <w:pPr>
              <w:pStyle w:val="TableParagraph"/>
              <w:rPr>
                <w:sz w:val="18"/>
              </w:rPr>
            </w:pPr>
          </w:p>
          <w:p w:rsidR="00A63476" w:rsidRDefault="00A63476">
            <w:pPr>
              <w:pStyle w:val="TableParagraph"/>
              <w:rPr>
                <w:sz w:val="18"/>
              </w:rPr>
            </w:pPr>
          </w:p>
          <w:p w:rsidR="00A63476" w:rsidRDefault="00A63476">
            <w:pPr>
              <w:pStyle w:val="TableParagraph"/>
              <w:rPr>
                <w:sz w:val="18"/>
              </w:rPr>
            </w:pPr>
          </w:p>
          <w:p w:rsidR="00A63476" w:rsidRDefault="00A63476">
            <w:pPr>
              <w:pStyle w:val="TableParagraph"/>
              <w:rPr>
                <w:sz w:val="18"/>
              </w:rPr>
            </w:pPr>
          </w:p>
          <w:p w:rsidR="00A63476" w:rsidRDefault="00A63476">
            <w:pPr>
              <w:pStyle w:val="TableParagraph"/>
              <w:rPr>
                <w:sz w:val="18"/>
              </w:rPr>
            </w:pPr>
          </w:p>
          <w:p w:rsidR="00A63476" w:rsidRDefault="00A63476">
            <w:pPr>
              <w:pStyle w:val="TableParagraph"/>
              <w:rPr>
                <w:sz w:val="18"/>
              </w:rPr>
            </w:pPr>
          </w:p>
          <w:p w:rsidR="00A63476" w:rsidRDefault="00D22874">
            <w:pPr>
              <w:pStyle w:val="TableParagraph"/>
              <w:spacing w:before="149"/>
              <w:ind w:left="89"/>
              <w:rPr>
                <w:b/>
                <w:sz w:val="16"/>
              </w:rPr>
            </w:pPr>
            <w:r>
              <w:rPr>
                <w:b/>
                <w:sz w:val="16"/>
              </w:rPr>
              <w:t>MEJORES PRÁCTICAS</w:t>
            </w:r>
          </w:p>
          <w:p w:rsidR="00A63476" w:rsidRDefault="00A63476">
            <w:pPr>
              <w:pStyle w:val="TableParagraph"/>
              <w:spacing w:before="3"/>
              <w:rPr>
                <w:sz w:val="15"/>
              </w:rPr>
            </w:pPr>
          </w:p>
          <w:p w:rsidR="00A63476" w:rsidRDefault="00D22874">
            <w:pPr>
              <w:pStyle w:val="TableParagraph"/>
              <w:spacing w:before="1"/>
              <w:ind w:left="89"/>
              <w:rPr>
                <w:b/>
                <w:sz w:val="16"/>
              </w:rPr>
            </w:pPr>
            <w:r>
              <w:rPr>
                <w:b/>
                <w:sz w:val="16"/>
              </w:rPr>
              <w:t>(máx: 100 pts.)</w:t>
            </w:r>
          </w:p>
        </w:tc>
        <w:tc>
          <w:tcPr>
            <w:tcW w:w="3886" w:type="dxa"/>
          </w:tcPr>
          <w:p w:rsidR="00A63476" w:rsidRDefault="00A63476">
            <w:pPr>
              <w:pStyle w:val="TableParagraph"/>
              <w:spacing w:before="10"/>
              <w:rPr>
                <w:sz w:val="16"/>
              </w:rPr>
            </w:pPr>
          </w:p>
          <w:p w:rsidR="00A63476" w:rsidRDefault="00D22874">
            <w:pPr>
              <w:pStyle w:val="TableParagraph"/>
              <w:numPr>
                <w:ilvl w:val="0"/>
                <w:numId w:val="17"/>
              </w:numPr>
              <w:tabs>
                <w:tab w:val="left" w:pos="439"/>
              </w:tabs>
              <w:spacing w:line="417" w:lineRule="auto"/>
              <w:ind w:right="79"/>
              <w:jc w:val="both"/>
              <w:rPr>
                <w:sz w:val="16"/>
              </w:rPr>
            </w:pPr>
            <w:r>
              <w:rPr>
                <w:spacing w:val="13"/>
                <w:sz w:val="16"/>
              </w:rPr>
              <w:t xml:space="preserve">Viviendas </w:t>
            </w:r>
            <w:r>
              <w:rPr>
                <w:spacing w:val="10"/>
                <w:sz w:val="16"/>
              </w:rPr>
              <w:t xml:space="preserve">que </w:t>
            </w:r>
            <w:r>
              <w:rPr>
                <w:spacing w:val="7"/>
                <w:sz w:val="16"/>
              </w:rPr>
              <w:t xml:space="preserve">se </w:t>
            </w:r>
            <w:r>
              <w:rPr>
                <w:spacing w:val="12"/>
                <w:sz w:val="16"/>
              </w:rPr>
              <w:t xml:space="preserve">ubiquen dentro </w:t>
            </w:r>
            <w:r>
              <w:rPr>
                <w:spacing w:val="7"/>
                <w:sz w:val="16"/>
              </w:rPr>
              <w:t xml:space="preserve">de </w:t>
            </w:r>
            <w:r>
              <w:rPr>
                <w:sz w:val="16"/>
              </w:rPr>
              <w:t xml:space="preserve">desarrollos con una densidad de 150 viv/ha </w:t>
            </w:r>
            <w:r>
              <w:rPr>
                <w:spacing w:val="-11"/>
                <w:sz w:val="16"/>
              </w:rPr>
              <w:t xml:space="preserve">o </w:t>
            </w:r>
            <w:r>
              <w:rPr>
                <w:sz w:val="16"/>
              </w:rPr>
              <w:t>más.</w:t>
            </w:r>
          </w:p>
          <w:p w:rsidR="00A63476" w:rsidRDefault="00D22874">
            <w:pPr>
              <w:pStyle w:val="TableParagraph"/>
              <w:numPr>
                <w:ilvl w:val="0"/>
                <w:numId w:val="17"/>
              </w:numPr>
              <w:tabs>
                <w:tab w:val="left" w:pos="439"/>
              </w:tabs>
              <w:spacing w:before="39" w:line="417" w:lineRule="auto"/>
              <w:ind w:right="79"/>
              <w:jc w:val="both"/>
              <w:rPr>
                <w:sz w:val="16"/>
              </w:rPr>
            </w:pPr>
            <w:r>
              <w:rPr>
                <w:sz w:val="16"/>
              </w:rPr>
              <w:t>Vivienda equipada y diseñada para personas con discapacidad (DS)</w:t>
            </w:r>
          </w:p>
          <w:p w:rsidR="00A63476" w:rsidRDefault="00D22874">
            <w:pPr>
              <w:pStyle w:val="TableParagraph"/>
              <w:numPr>
                <w:ilvl w:val="0"/>
                <w:numId w:val="17"/>
              </w:numPr>
              <w:tabs>
                <w:tab w:val="left" w:pos="439"/>
              </w:tabs>
              <w:spacing w:before="40" w:line="417" w:lineRule="auto"/>
              <w:ind w:right="79"/>
              <w:jc w:val="both"/>
              <w:rPr>
                <w:sz w:val="16"/>
              </w:rPr>
            </w:pPr>
            <w:r>
              <w:rPr>
                <w:sz w:val="16"/>
              </w:rPr>
              <w:t xml:space="preserve">Sistema de captación y aprovechamiento </w:t>
            </w:r>
            <w:r>
              <w:rPr>
                <w:spacing w:val="-8"/>
                <w:sz w:val="16"/>
              </w:rPr>
              <w:t xml:space="preserve">de </w:t>
            </w:r>
            <w:r>
              <w:rPr>
                <w:sz w:val="16"/>
              </w:rPr>
              <w:t>agua pluvial en el conjunto (ECO)</w:t>
            </w:r>
          </w:p>
          <w:p w:rsidR="00A63476" w:rsidRDefault="00D22874">
            <w:pPr>
              <w:pStyle w:val="TableParagraph"/>
              <w:numPr>
                <w:ilvl w:val="0"/>
                <w:numId w:val="17"/>
              </w:numPr>
              <w:tabs>
                <w:tab w:val="left" w:pos="439"/>
              </w:tabs>
              <w:spacing w:before="40" w:line="417" w:lineRule="auto"/>
              <w:ind w:right="78"/>
              <w:jc w:val="both"/>
              <w:rPr>
                <w:sz w:val="16"/>
              </w:rPr>
            </w:pPr>
            <w:r>
              <w:rPr>
                <w:spacing w:val="5"/>
                <w:sz w:val="16"/>
              </w:rPr>
              <w:t xml:space="preserve">Sistema </w:t>
            </w:r>
            <w:r>
              <w:rPr>
                <w:spacing w:val="3"/>
                <w:sz w:val="16"/>
              </w:rPr>
              <w:t xml:space="preserve">de </w:t>
            </w:r>
            <w:r>
              <w:rPr>
                <w:spacing w:val="5"/>
                <w:sz w:val="16"/>
              </w:rPr>
              <w:t xml:space="preserve">suministro </w:t>
            </w:r>
            <w:r>
              <w:rPr>
                <w:spacing w:val="3"/>
                <w:sz w:val="16"/>
              </w:rPr>
              <w:t xml:space="preserve">de </w:t>
            </w:r>
            <w:r>
              <w:rPr>
                <w:spacing w:val="4"/>
                <w:sz w:val="16"/>
              </w:rPr>
              <w:t xml:space="preserve">agua </w:t>
            </w:r>
            <w:r>
              <w:rPr>
                <w:spacing w:val="5"/>
                <w:sz w:val="16"/>
              </w:rPr>
              <w:t xml:space="preserve">potable </w:t>
            </w:r>
            <w:r>
              <w:rPr>
                <w:sz w:val="16"/>
              </w:rPr>
              <w:t>constante por sistema presurizado</w:t>
            </w:r>
            <w:r>
              <w:rPr>
                <w:spacing w:val="-1"/>
                <w:sz w:val="16"/>
              </w:rPr>
              <w:t xml:space="preserve"> </w:t>
            </w:r>
            <w:r>
              <w:rPr>
                <w:sz w:val="16"/>
              </w:rPr>
              <w:t>(DS).</w:t>
            </w:r>
          </w:p>
          <w:p w:rsidR="00A63476" w:rsidRDefault="00D22874">
            <w:pPr>
              <w:pStyle w:val="TableParagraph"/>
              <w:numPr>
                <w:ilvl w:val="0"/>
                <w:numId w:val="17"/>
              </w:numPr>
              <w:tabs>
                <w:tab w:val="left" w:pos="439"/>
              </w:tabs>
              <w:spacing w:before="40" w:line="417" w:lineRule="auto"/>
              <w:ind w:right="79"/>
              <w:jc w:val="both"/>
              <w:rPr>
                <w:sz w:val="16"/>
              </w:rPr>
            </w:pPr>
            <w:r>
              <w:rPr>
                <w:sz w:val="16"/>
              </w:rPr>
              <w:t xml:space="preserve">Fuentes renovables (fotovoltaico o eólico) </w:t>
            </w:r>
            <w:r>
              <w:rPr>
                <w:spacing w:val="-3"/>
                <w:sz w:val="16"/>
              </w:rPr>
              <w:t xml:space="preserve">para </w:t>
            </w:r>
            <w:r>
              <w:rPr>
                <w:sz w:val="16"/>
              </w:rPr>
              <w:t>el conjunto interconectados a red</w:t>
            </w:r>
            <w:r>
              <w:rPr>
                <w:spacing w:val="-1"/>
                <w:sz w:val="16"/>
              </w:rPr>
              <w:t xml:space="preserve"> </w:t>
            </w:r>
            <w:r>
              <w:rPr>
                <w:sz w:val="16"/>
              </w:rPr>
              <w:t>(ECO).</w:t>
            </w:r>
          </w:p>
          <w:p w:rsidR="00A63476" w:rsidRDefault="00D22874">
            <w:pPr>
              <w:pStyle w:val="TableParagraph"/>
              <w:numPr>
                <w:ilvl w:val="0"/>
                <w:numId w:val="17"/>
              </w:numPr>
              <w:tabs>
                <w:tab w:val="left" w:pos="439"/>
              </w:tabs>
              <w:spacing w:before="39" w:line="417" w:lineRule="auto"/>
              <w:ind w:right="79"/>
              <w:jc w:val="both"/>
              <w:rPr>
                <w:sz w:val="16"/>
              </w:rPr>
            </w:pPr>
            <w:r>
              <w:rPr>
                <w:sz w:val="16"/>
              </w:rPr>
              <w:t xml:space="preserve">Alumbrado público LED en la vialidad </w:t>
            </w:r>
            <w:r>
              <w:rPr>
                <w:spacing w:val="-5"/>
                <w:sz w:val="16"/>
              </w:rPr>
              <w:t xml:space="preserve">del </w:t>
            </w:r>
            <w:r>
              <w:rPr>
                <w:sz w:val="16"/>
              </w:rPr>
              <w:t>conjunto.</w:t>
            </w:r>
            <w:r>
              <w:rPr>
                <w:spacing w:val="-1"/>
                <w:sz w:val="16"/>
              </w:rPr>
              <w:t xml:space="preserve"> </w:t>
            </w:r>
            <w:r>
              <w:rPr>
                <w:sz w:val="16"/>
              </w:rPr>
              <w:t>(DS)</w:t>
            </w:r>
          </w:p>
          <w:p w:rsidR="00A63476" w:rsidRDefault="00D22874">
            <w:pPr>
              <w:pStyle w:val="TableParagraph"/>
              <w:numPr>
                <w:ilvl w:val="0"/>
                <w:numId w:val="17"/>
              </w:numPr>
              <w:tabs>
                <w:tab w:val="left" w:pos="439"/>
              </w:tabs>
              <w:spacing w:before="40"/>
              <w:ind w:hanging="361"/>
              <w:jc w:val="both"/>
              <w:rPr>
                <w:sz w:val="16"/>
              </w:rPr>
            </w:pPr>
            <w:r>
              <w:rPr>
                <w:sz w:val="16"/>
              </w:rPr>
              <w:t>Conexión a red de gas natural (DS).</w:t>
            </w:r>
          </w:p>
          <w:p w:rsidR="00A63476" w:rsidRDefault="00A63476">
            <w:pPr>
              <w:pStyle w:val="TableParagraph"/>
              <w:spacing w:before="3"/>
              <w:rPr>
                <w:sz w:val="15"/>
              </w:rPr>
            </w:pPr>
          </w:p>
          <w:p w:rsidR="00A63476" w:rsidRDefault="00D22874">
            <w:pPr>
              <w:pStyle w:val="TableParagraph"/>
              <w:numPr>
                <w:ilvl w:val="0"/>
                <w:numId w:val="17"/>
              </w:numPr>
              <w:tabs>
                <w:tab w:val="left" w:pos="439"/>
              </w:tabs>
              <w:spacing w:before="1" w:line="417" w:lineRule="auto"/>
              <w:ind w:right="79"/>
              <w:jc w:val="both"/>
              <w:rPr>
                <w:sz w:val="16"/>
              </w:rPr>
            </w:pPr>
            <w:r>
              <w:rPr>
                <w:sz w:val="16"/>
              </w:rPr>
              <w:t xml:space="preserve">Uso de concreto hidráulico en la vialidad </w:t>
            </w:r>
            <w:r>
              <w:rPr>
                <w:spacing w:val="-6"/>
                <w:sz w:val="16"/>
              </w:rPr>
              <w:t xml:space="preserve">del </w:t>
            </w:r>
            <w:r>
              <w:rPr>
                <w:sz w:val="16"/>
              </w:rPr>
              <w:t>conjunto.</w:t>
            </w:r>
            <w:r>
              <w:rPr>
                <w:spacing w:val="-1"/>
                <w:sz w:val="16"/>
              </w:rPr>
              <w:t xml:space="preserve"> </w:t>
            </w:r>
            <w:r>
              <w:rPr>
                <w:sz w:val="16"/>
              </w:rPr>
              <w:t>(DS).</w:t>
            </w:r>
          </w:p>
          <w:p w:rsidR="00A63476" w:rsidRDefault="00D22874">
            <w:pPr>
              <w:pStyle w:val="TableParagraph"/>
              <w:numPr>
                <w:ilvl w:val="0"/>
                <w:numId w:val="17"/>
              </w:numPr>
              <w:tabs>
                <w:tab w:val="left" w:pos="439"/>
              </w:tabs>
              <w:spacing w:before="39"/>
              <w:ind w:hanging="361"/>
              <w:jc w:val="both"/>
              <w:rPr>
                <w:sz w:val="16"/>
              </w:rPr>
            </w:pPr>
            <w:r>
              <w:rPr>
                <w:sz w:val="16"/>
              </w:rPr>
              <w:t>Azoteas verd</w:t>
            </w:r>
            <w:r>
              <w:rPr>
                <w:sz w:val="16"/>
              </w:rPr>
              <w:t>es (ECO)</w:t>
            </w:r>
          </w:p>
          <w:p w:rsidR="00A63476" w:rsidRDefault="00A63476">
            <w:pPr>
              <w:pStyle w:val="TableParagraph"/>
              <w:spacing w:before="4"/>
              <w:rPr>
                <w:sz w:val="15"/>
              </w:rPr>
            </w:pPr>
          </w:p>
          <w:p w:rsidR="00A63476" w:rsidRDefault="00D22874">
            <w:pPr>
              <w:pStyle w:val="TableParagraph"/>
              <w:numPr>
                <w:ilvl w:val="0"/>
                <w:numId w:val="17"/>
              </w:numPr>
              <w:tabs>
                <w:tab w:val="left" w:pos="439"/>
              </w:tabs>
              <w:ind w:hanging="361"/>
              <w:jc w:val="both"/>
              <w:rPr>
                <w:sz w:val="16"/>
              </w:rPr>
            </w:pPr>
            <w:r>
              <w:rPr>
                <w:sz w:val="16"/>
              </w:rPr>
              <w:t>Mosquiteros en ventanas (DS).</w:t>
            </w:r>
          </w:p>
          <w:p w:rsidR="00A63476" w:rsidRDefault="00D22874">
            <w:pPr>
              <w:pStyle w:val="TableParagraph"/>
              <w:numPr>
                <w:ilvl w:val="0"/>
                <w:numId w:val="17"/>
              </w:numPr>
              <w:tabs>
                <w:tab w:val="left" w:pos="439"/>
              </w:tabs>
              <w:spacing w:before="40" w:line="320" w:lineRule="atLeast"/>
              <w:ind w:right="79"/>
              <w:jc w:val="both"/>
              <w:rPr>
                <w:sz w:val="16"/>
              </w:rPr>
            </w:pPr>
            <w:r>
              <w:rPr>
                <w:spacing w:val="4"/>
                <w:sz w:val="16"/>
              </w:rPr>
              <w:t xml:space="preserve">Intervenciones artísticas permanentes </w:t>
            </w:r>
            <w:r>
              <w:rPr>
                <w:spacing w:val="2"/>
                <w:sz w:val="16"/>
              </w:rPr>
              <w:t xml:space="preserve">en </w:t>
            </w:r>
            <w:r>
              <w:rPr>
                <w:sz w:val="16"/>
              </w:rPr>
              <w:t>espacios públicos</w:t>
            </w:r>
          </w:p>
        </w:tc>
        <w:tc>
          <w:tcPr>
            <w:tcW w:w="2206" w:type="dxa"/>
          </w:tcPr>
          <w:p w:rsidR="00A63476" w:rsidRDefault="00A63476">
            <w:pPr>
              <w:pStyle w:val="TableParagraph"/>
              <w:rPr>
                <w:sz w:val="18"/>
              </w:rPr>
            </w:pPr>
          </w:p>
          <w:p w:rsidR="00A63476" w:rsidRDefault="00A63476">
            <w:pPr>
              <w:pStyle w:val="TableParagraph"/>
              <w:rPr>
                <w:sz w:val="18"/>
              </w:rPr>
            </w:pPr>
          </w:p>
          <w:p w:rsidR="00A63476" w:rsidRDefault="00A63476">
            <w:pPr>
              <w:pStyle w:val="TableParagraph"/>
              <w:rPr>
                <w:sz w:val="18"/>
              </w:rPr>
            </w:pPr>
          </w:p>
          <w:p w:rsidR="00A63476" w:rsidRDefault="00A63476">
            <w:pPr>
              <w:pStyle w:val="TableParagraph"/>
              <w:rPr>
                <w:sz w:val="18"/>
              </w:rPr>
            </w:pPr>
          </w:p>
          <w:p w:rsidR="00A63476" w:rsidRDefault="00A63476">
            <w:pPr>
              <w:pStyle w:val="TableParagraph"/>
              <w:rPr>
                <w:sz w:val="18"/>
              </w:rPr>
            </w:pPr>
          </w:p>
          <w:p w:rsidR="00A63476" w:rsidRDefault="00A63476">
            <w:pPr>
              <w:pStyle w:val="TableParagraph"/>
              <w:rPr>
                <w:sz w:val="18"/>
              </w:rPr>
            </w:pPr>
          </w:p>
          <w:p w:rsidR="00A63476" w:rsidRDefault="00A63476">
            <w:pPr>
              <w:pStyle w:val="TableParagraph"/>
              <w:rPr>
                <w:sz w:val="18"/>
              </w:rPr>
            </w:pPr>
          </w:p>
          <w:p w:rsidR="00A63476" w:rsidRDefault="00A63476">
            <w:pPr>
              <w:pStyle w:val="TableParagraph"/>
              <w:rPr>
                <w:sz w:val="18"/>
              </w:rPr>
            </w:pPr>
          </w:p>
          <w:p w:rsidR="00A63476" w:rsidRDefault="00A63476">
            <w:pPr>
              <w:pStyle w:val="TableParagraph"/>
              <w:rPr>
                <w:sz w:val="18"/>
              </w:rPr>
            </w:pPr>
          </w:p>
          <w:p w:rsidR="00A63476" w:rsidRDefault="00A63476">
            <w:pPr>
              <w:pStyle w:val="TableParagraph"/>
              <w:rPr>
                <w:sz w:val="18"/>
              </w:rPr>
            </w:pPr>
          </w:p>
          <w:p w:rsidR="00A63476" w:rsidRDefault="00A63476">
            <w:pPr>
              <w:pStyle w:val="TableParagraph"/>
              <w:rPr>
                <w:sz w:val="18"/>
              </w:rPr>
            </w:pPr>
          </w:p>
          <w:p w:rsidR="00A63476" w:rsidRDefault="00A63476">
            <w:pPr>
              <w:pStyle w:val="TableParagraph"/>
              <w:rPr>
                <w:sz w:val="18"/>
              </w:rPr>
            </w:pPr>
          </w:p>
          <w:p w:rsidR="00A63476" w:rsidRDefault="00A63476">
            <w:pPr>
              <w:pStyle w:val="TableParagraph"/>
              <w:rPr>
                <w:sz w:val="18"/>
              </w:rPr>
            </w:pPr>
          </w:p>
          <w:p w:rsidR="00A63476" w:rsidRDefault="00A63476">
            <w:pPr>
              <w:pStyle w:val="TableParagraph"/>
              <w:rPr>
                <w:sz w:val="18"/>
              </w:rPr>
            </w:pPr>
          </w:p>
          <w:p w:rsidR="00A63476" w:rsidRDefault="00A63476">
            <w:pPr>
              <w:pStyle w:val="TableParagraph"/>
              <w:spacing w:before="9"/>
              <w:rPr>
                <w:sz w:val="18"/>
              </w:rPr>
            </w:pPr>
          </w:p>
          <w:p w:rsidR="00A63476" w:rsidRDefault="00D22874">
            <w:pPr>
              <w:pStyle w:val="TableParagraph"/>
              <w:spacing w:line="417" w:lineRule="auto"/>
              <w:ind w:left="92" w:right="65"/>
              <w:jc w:val="both"/>
              <w:rPr>
                <w:sz w:val="16"/>
              </w:rPr>
            </w:pPr>
            <w:r>
              <w:rPr>
                <w:sz w:val="16"/>
              </w:rPr>
              <w:t>25 puntos adicionales por acción hasta un máximo de 100 puntos</w:t>
            </w:r>
          </w:p>
        </w:tc>
      </w:tr>
    </w:tbl>
    <w:p w:rsidR="00A63476" w:rsidRDefault="00A63476">
      <w:pPr>
        <w:pStyle w:val="Textoindependiente"/>
        <w:ind w:left="0" w:right="0" w:firstLine="0"/>
        <w:jc w:val="left"/>
        <w:rPr>
          <w:sz w:val="20"/>
        </w:rPr>
      </w:pPr>
    </w:p>
    <w:p w:rsidR="00A63476" w:rsidRDefault="00FF0FB3">
      <w:pPr>
        <w:pStyle w:val="Textoindependiente"/>
        <w:spacing w:before="7"/>
        <w:ind w:left="0" w:right="0" w:firstLine="0"/>
        <w:jc w:val="left"/>
        <w:rPr>
          <w:sz w:val="15"/>
        </w:rPr>
      </w:pPr>
      <w:r>
        <w:rPr>
          <w:noProof/>
        </w:rPr>
        <mc:AlternateContent>
          <mc:Choice Requires="wps">
            <w:drawing>
              <wp:anchor distT="0" distB="0" distL="0" distR="0" simplePos="0" relativeHeight="487604736" behindDoc="1" locked="0" layoutInCell="1" allowOverlap="1">
                <wp:simplePos x="0" y="0"/>
                <wp:positionH relativeFrom="page">
                  <wp:posOffset>1175385</wp:posOffset>
                </wp:positionH>
                <wp:positionV relativeFrom="paragraph">
                  <wp:posOffset>144145</wp:posOffset>
                </wp:positionV>
                <wp:extent cx="5514340" cy="2809875"/>
                <wp:effectExtent l="0" t="0" r="0" b="0"/>
                <wp:wrapTopAndBottom/>
                <wp:docPr id="51" name="Text Box 2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514340" cy="2809875"/>
                        </a:xfrm>
                        <a:prstGeom prst="rect">
                          <a:avLst/>
                        </a:prstGeom>
                        <a:noFill/>
                        <a:ln w="9525">
                          <a:solidFill>
                            <a:srgbClr val="404040"/>
                          </a:solidFill>
                          <a:prstDash val="solid"/>
                          <a:miter lim="800000"/>
                          <a:headEnd/>
                          <a:tailEnd/>
                        </a:ln>
                        <a:extLst>
                          <a:ext uri="{909E8E84-426E-40DD-AFC4-6F175D3DCCD1}">
                            <a14:hiddenFill xmlns:a14="http://schemas.microsoft.com/office/drawing/2010/main">
                              <a:solidFill>
                                <a:srgbClr val="FFFFFF"/>
                              </a:solidFill>
                            </a14:hiddenFill>
                          </a:ext>
                        </a:extLst>
                      </wps:spPr>
                      <wps:txbx>
                        <w:txbxContent>
                          <w:p w:rsidR="00A63476" w:rsidRDefault="00A63476">
                            <w:pPr>
                              <w:pStyle w:val="Textoindependiente"/>
                              <w:ind w:left="0" w:right="0" w:firstLine="0"/>
                              <w:jc w:val="left"/>
                              <w:rPr>
                                <w:sz w:val="16"/>
                              </w:rPr>
                            </w:pPr>
                          </w:p>
                          <w:p w:rsidR="00A63476" w:rsidRDefault="00D22874">
                            <w:pPr>
                              <w:ind w:left="81"/>
                              <w:rPr>
                                <w:b/>
                                <w:sz w:val="16"/>
                              </w:rPr>
                            </w:pPr>
                            <w:r>
                              <w:rPr>
                                <w:b/>
                                <w:sz w:val="16"/>
                              </w:rPr>
                              <w:t>NOTAS:</w:t>
                            </w:r>
                          </w:p>
                          <w:p w:rsidR="00A63476" w:rsidRDefault="00A63476">
                            <w:pPr>
                              <w:pStyle w:val="Textoindependiente"/>
                              <w:spacing w:before="3"/>
                              <w:ind w:left="0" w:right="0" w:firstLine="0"/>
                              <w:jc w:val="left"/>
                              <w:rPr>
                                <w:b/>
                                <w:sz w:val="15"/>
                              </w:rPr>
                            </w:pPr>
                          </w:p>
                          <w:p w:rsidR="00A63476" w:rsidRDefault="00D22874">
                            <w:pPr>
                              <w:numPr>
                                <w:ilvl w:val="0"/>
                                <w:numId w:val="16"/>
                              </w:numPr>
                              <w:tabs>
                                <w:tab w:val="left" w:pos="265"/>
                              </w:tabs>
                              <w:spacing w:line="417" w:lineRule="auto"/>
                              <w:ind w:left="81" w:right="75" w:firstLine="0"/>
                              <w:jc w:val="both"/>
                              <w:rPr>
                                <w:sz w:val="16"/>
                              </w:rPr>
                            </w:pPr>
                            <w:r>
                              <w:rPr>
                                <w:sz w:val="16"/>
                              </w:rPr>
                              <w:t>Los Planes de Desarrollo Urbano son los instrumentos normativos que por Ley definen la normatividad de desarrollo urbano para las ciudades del país; por lo que los ámbitos territoriales definidos en mapas para cada una de las 384 ciudades del Sistema Urban</w:t>
                            </w:r>
                            <w:r>
                              <w:rPr>
                                <w:sz w:val="16"/>
                              </w:rPr>
                              <w:t xml:space="preserve">o Nacional, únicamente constituyen una herramienta para identificar la vivienda mejor ubicada y de ninguna manera sustituyen a la normatividad definida en los planes de desarrollo urbano. Por lo anterior, es indispensable que los permisos y licencias para </w:t>
                            </w:r>
                            <w:r>
                              <w:rPr>
                                <w:sz w:val="16"/>
                              </w:rPr>
                              <w:t>la construcción de la vivienda se originen en la autorización de usos del suelo de acuerdo al Plan de Desarrollo Urbano vigente.</w:t>
                            </w:r>
                          </w:p>
                          <w:p w:rsidR="00A63476" w:rsidRDefault="00D22874">
                            <w:pPr>
                              <w:numPr>
                                <w:ilvl w:val="0"/>
                                <w:numId w:val="16"/>
                              </w:numPr>
                              <w:tabs>
                                <w:tab w:val="left" w:pos="264"/>
                              </w:tabs>
                              <w:spacing w:before="40" w:line="417" w:lineRule="auto"/>
                              <w:ind w:left="81" w:right="75" w:firstLine="0"/>
                              <w:jc w:val="both"/>
                              <w:rPr>
                                <w:sz w:val="16"/>
                              </w:rPr>
                            </w:pPr>
                            <w:r>
                              <w:rPr>
                                <w:sz w:val="16"/>
                              </w:rPr>
                              <w:t>La vivienda podrá obtener el puntaje de ubicación única y exclusivamente cuando coincidan el ámbito definido por el modelo geoe</w:t>
                            </w:r>
                            <w:r>
                              <w:rPr>
                                <w:sz w:val="16"/>
                              </w:rPr>
                              <w:t>stadístico y la normatividad urbana del plan de desarrollo urbano para usos habitacionales u otro compatible con</w:t>
                            </w:r>
                            <w:r>
                              <w:rPr>
                                <w:spacing w:val="-1"/>
                                <w:sz w:val="16"/>
                              </w:rPr>
                              <w:t xml:space="preserve"> </w:t>
                            </w:r>
                            <w:r>
                              <w:rPr>
                                <w:sz w:val="16"/>
                              </w:rPr>
                              <w:t>éste.</w:t>
                            </w:r>
                          </w:p>
                          <w:p w:rsidR="00A63476" w:rsidRDefault="00D22874">
                            <w:pPr>
                              <w:numPr>
                                <w:ilvl w:val="0"/>
                                <w:numId w:val="16"/>
                              </w:numPr>
                              <w:tabs>
                                <w:tab w:val="left" w:pos="262"/>
                              </w:tabs>
                              <w:spacing w:before="39" w:line="417" w:lineRule="auto"/>
                              <w:ind w:left="81" w:right="75" w:firstLine="0"/>
                              <w:jc w:val="both"/>
                              <w:rPr>
                                <w:sz w:val="16"/>
                              </w:rPr>
                            </w:pPr>
                            <w:r>
                              <w:rPr>
                                <w:sz w:val="16"/>
                              </w:rPr>
                              <w:t>Se reconocen las viviendas con calificación de Índice de Desempeño Global (IDG) registrada en el Registro Único de Vivienda</w:t>
                            </w:r>
                            <w:r>
                              <w:rPr>
                                <w:spacing w:val="11"/>
                                <w:sz w:val="16"/>
                              </w:rPr>
                              <w:t xml:space="preserve"> </w:t>
                            </w:r>
                            <w:r>
                              <w:rPr>
                                <w:sz w:val="16"/>
                              </w:rPr>
                              <w:t>(RUV)</w:t>
                            </w:r>
                            <w:r>
                              <w:rPr>
                                <w:spacing w:val="12"/>
                                <w:sz w:val="16"/>
                              </w:rPr>
                              <w:t xml:space="preserve"> </w:t>
                            </w:r>
                            <w:r>
                              <w:rPr>
                                <w:sz w:val="16"/>
                              </w:rPr>
                              <w:t>hasta</w:t>
                            </w:r>
                            <w:r>
                              <w:rPr>
                                <w:spacing w:val="12"/>
                                <w:sz w:val="16"/>
                              </w:rPr>
                              <w:t xml:space="preserve"> </w:t>
                            </w:r>
                            <w:r>
                              <w:rPr>
                                <w:sz w:val="16"/>
                              </w:rPr>
                              <w:t>e</w:t>
                            </w:r>
                            <w:r>
                              <w:rPr>
                                <w:sz w:val="16"/>
                              </w:rPr>
                              <w:t>l</w:t>
                            </w:r>
                            <w:r>
                              <w:rPr>
                                <w:spacing w:val="12"/>
                                <w:sz w:val="16"/>
                              </w:rPr>
                              <w:t xml:space="preserve"> </w:t>
                            </w:r>
                            <w:r>
                              <w:rPr>
                                <w:sz w:val="16"/>
                              </w:rPr>
                              <w:t>31</w:t>
                            </w:r>
                            <w:r>
                              <w:rPr>
                                <w:spacing w:val="11"/>
                                <w:sz w:val="16"/>
                              </w:rPr>
                              <w:t xml:space="preserve"> </w:t>
                            </w:r>
                            <w:r>
                              <w:rPr>
                                <w:sz w:val="16"/>
                              </w:rPr>
                              <w:t>de</w:t>
                            </w:r>
                            <w:r>
                              <w:rPr>
                                <w:spacing w:val="12"/>
                                <w:sz w:val="16"/>
                              </w:rPr>
                              <w:t xml:space="preserve"> </w:t>
                            </w:r>
                            <w:r>
                              <w:rPr>
                                <w:sz w:val="16"/>
                              </w:rPr>
                              <w:t>diciembre</w:t>
                            </w:r>
                            <w:r>
                              <w:rPr>
                                <w:spacing w:val="12"/>
                                <w:sz w:val="16"/>
                              </w:rPr>
                              <w:t xml:space="preserve"> </w:t>
                            </w:r>
                            <w:r>
                              <w:rPr>
                                <w:sz w:val="16"/>
                              </w:rPr>
                              <w:t>de</w:t>
                            </w:r>
                            <w:r>
                              <w:rPr>
                                <w:spacing w:val="12"/>
                                <w:sz w:val="16"/>
                              </w:rPr>
                              <w:t xml:space="preserve"> </w:t>
                            </w:r>
                            <w:r>
                              <w:rPr>
                                <w:sz w:val="16"/>
                              </w:rPr>
                              <w:t>2017,</w:t>
                            </w:r>
                            <w:r>
                              <w:rPr>
                                <w:spacing w:val="11"/>
                                <w:sz w:val="16"/>
                              </w:rPr>
                              <w:t xml:space="preserve"> </w:t>
                            </w:r>
                            <w:r>
                              <w:rPr>
                                <w:sz w:val="16"/>
                              </w:rPr>
                              <w:t>a</w:t>
                            </w:r>
                            <w:r>
                              <w:rPr>
                                <w:spacing w:val="12"/>
                                <w:sz w:val="16"/>
                              </w:rPr>
                              <w:t xml:space="preserve"> </w:t>
                            </w:r>
                            <w:r>
                              <w:rPr>
                                <w:sz w:val="16"/>
                              </w:rPr>
                              <w:t>partir</w:t>
                            </w:r>
                            <w:r>
                              <w:rPr>
                                <w:spacing w:val="12"/>
                                <w:sz w:val="16"/>
                              </w:rPr>
                              <w:t xml:space="preserve"> </w:t>
                            </w:r>
                            <w:r>
                              <w:rPr>
                                <w:sz w:val="16"/>
                              </w:rPr>
                              <w:t>de</w:t>
                            </w:r>
                            <w:r>
                              <w:rPr>
                                <w:spacing w:val="12"/>
                                <w:sz w:val="16"/>
                              </w:rPr>
                              <w:t xml:space="preserve"> </w:t>
                            </w:r>
                            <w:r>
                              <w:rPr>
                                <w:sz w:val="16"/>
                              </w:rPr>
                              <w:t>la</w:t>
                            </w:r>
                            <w:r>
                              <w:rPr>
                                <w:spacing w:val="12"/>
                                <w:sz w:val="16"/>
                              </w:rPr>
                              <w:t xml:space="preserve"> </w:t>
                            </w:r>
                            <w:r>
                              <w:rPr>
                                <w:sz w:val="16"/>
                              </w:rPr>
                              <w:t>entrada</w:t>
                            </w:r>
                            <w:r>
                              <w:rPr>
                                <w:spacing w:val="11"/>
                                <w:sz w:val="16"/>
                              </w:rPr>
                              <w:t xml:space="preserve"> </w:t>
                            </w:r>
                            <w:r>
                              <w:rPr>
                                <w:sz w:val="16"/>
                              </w:rPr>
                              <w:t>en</w:t>
                            </w:r>
                            <w:r>
                              <w:rPr>
                                <w:spacing w:val="12"/>
                                <w:sz w:val="16"/>
                              </w:rPr>
                              <w:t xml:space="preserve"> </w:t>
                            </w:r>
                            <w:r>
                              <w:rPr>
                                <w:sz w:val="16"/>
                              </w:rPr>
                              <w:t>vigor</w:t>
                            </w:r>
                            <w:r>
                              <w:rPr>
                                <w:spacing w:val="12"/>
                                <w:sz w:val="16"/>
                              </w:rPr>
                              <w:t xml:space="preserve"> </w:t>
                            </w:r>
                            <w:r>
                              <w:rPr>
                                <w:sz w:val="16"/>
                              </w:rPr>
                              <w:t>de</w:t>
                            </w:r>
                            <w:r>
                              <w:rPr>
                                <w:spacing w:val="12"/>
                                <w:sz w:val="16"/>
                              </w:rPr>
                              <w:t xml:space="preserve"> </w:t>
                            </w:r>
                            <w:r>
                              <w:rPr>
                                <w:sz w:val="16"/>
                              </w:rPr>
                              <w:t>las</w:t>
                            </w:r>
                            <w:r>
                              <w:rPr>
                                <w:spacing w:val="11"/>
                                <w:sz w:val="16"/>
                              </w:rPr>
                              <w:t xml:space="preserve"> </w:t>
                            </w:r>
                            <w:r>
                              <w:rPr>
                                <w:sz w:val="16"/>
                              </w:rPr>
                              <w:t>presentes</w:t>
                            </w:r>
                            <w:r>
                              <w:rPr>
                                <w:spacing w:val="12"/>
                                <w:sz w:val="16"/>
                              </w:rPr>
                              <w:t xml:space="preserve"> </w:t>
                            </w:r>
                            <w:r>
                              <w:rPr>
                                <w:sz w:val="16"/>
                              </w:rPr>
                              <w:t>reglas</w:t>
                            </w:r>
                            <w:r>
                              <w:rPr>
                                <w:spacing w:val="12"/>
                                <w:sz w:val="16"/>
                              </w:rPr>
                              <w:t xml:space="preserve"> </w:t>
                            </w:r>
                            <w:r>
                              <w:rPr>
                                <w:sz w:val="16"/>
                              </w:rPr>
                              <w:t>se</w:t>
                            </w:r>
                            <w:r>
                              <w:rPr>
                                <w:spacing w:val="12"/>
                                <w:sz w:val="16"/>
                              </w:rPr>
                              <w:t xml:space="preserve"> </w:t>
                            </w:r>
                            <w:r>
                              <w:rPr>
                                <w:sz w:val="16"/>
                              </w:rPr>
                              <w:t>aplica</w:t>
                            </w:r>
                            <w:r>
                              <w:rPr>
                                <w:spacing w:val="12"/>
                                <w:sz w:val="16"/>
                              </w:rPr>
                              <w:t xml:space="preserve"> </w:t>
                            </w:r>
                            <w:r>
                              <w:rPr>
                                <w:sz w:val="16"/>
                              </w:rPr>
                              <w:t>la</w:t>
                            </w:r>
                          </w:p>
                          <w:p w:rsidR="00A63476" w:rsidRDefault="00D22874">
                            <w:pPr>
                              <w:spacing w:line="184" w:lineRule="exact"/>
                              <w:ind w:left="81"/>
                              <w:jc w:val="both"/>
                              <w:rPr>
                                <w:sz w:val="16"/>
                              </w:rPr>
                            </w:pPr>
                            <w:r>
                              <w:rPr>
                                <w:sz w:val="16"/>
                              </w:rPr>
                              <w:t>evaluación del puntaje de la dimensión de Sustentabilidad Ambiental.</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28" o:spid="_x0000_s1026" type="#_x0000_t202" style="position:absolute;margin-left:92.55pt;margin-top:11.35pt;width:434.2pt;height:221.25pt;z-index:-15711744;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" filled="f" strokecolor="#404040">
                <v:textbox inset="0,0,0,0">
                  <w:txbxContent>
                    <w:p w:rsidR="00A63476" w:rsidRDefault="00A63476">
                      <w:pPr>
                        <w:pStyle w:val="Textoindependiente"/>
                        <w:ind w:left="0" w:right="0" w:firstLine="0"/>
                        <w:jc w:val="left"/>
                        <w:rPr>
                          <w:sz w:val="16"/>
                        </w:rPr>
                      </w:pPr>
                    </w:p>
                    <w:p w:rsidR="00A63476" w:rsidRDefault="00D22874">
                      <w:pPr>
                        <w:ind w:left="81"/>
                        <w:rPr>
                          <w:b/>
                          <w:sz w:val="16"/>
                        </w:rPr>
                      </w:pPr>
                      <w:r>
                        <w:rPr>
                          <w:b/>
                          <w:sz w:val="16"/>
                        </w:rPr>
                        <w:t>NOTAS:</w:t>
                      </w:r>
                    </w:p>
                    <w:p w:rsidR="00A63476" w:rsidRDefault="00A63476">
                      <w:pPr>
                        <w:pStyle w:val="Textoindependiente"/>
                        <w:spacing w:before="3"/>
                        <w:ind w:left="0" w:right="0" w:firstLine="0"/>
                        <w:jc w:val="left"/>
                        <w:rPr>
                          <w:b/>
                          <w:sz w:val="15"/>
                        </w:rPr>
                      </w:pPr>
                    </w:p>
                    <w:p w:rsidR="00A63476" w:rsidRDefault="00D22874">
                      <w:pPr>
                        <w:numPr>
                          <w:ilvl w:val="0"/>
                          <w:numId w:val="16"/>
                        </w:numPr>
                        <w:tabs>
                          <w:tab w:val="left" w:pos="265"/>
                        </w:tabs>
                        <w:spacing w:line="417" w:lineRule="auto"/>
                        <w:ind w:left="81" w:right="75" w:firstLine="0"/>
                        <w:jc w:val="both"/>
                        <w:rPr>
                          <w:sz w:val="16"/>
                        </w:rPr>
                      </w:pPr>
                      <w:r>
                        <w:rPr>
                          <w:sz w:val="16"/>
                        </w:rPr>
                        <w:t>Los Planes de Desarrollo Urbano son los instrumentos normativos que por Ley definen la normatividad de desarrollo urbano para las ciudades del país; por lo que los ámbitos territoriales definidos en mapas para cada una de las 384 ciudades del Sistema Urban</w:t>
                      </w:r>
                      <w:r>
                        <w:rPr>
                          <w:sz w:val="16"/>
                        </w:rPr>
                        <w:t xml:space="preserve">o Nacional, únicamente constituyen una herramienta para identificar la vivienda mejor ubicada y de ninguna manera sustituyen a la normatividad definida en los planes de desarrollo urbano. Por lo anterior, es indispensable que los permisos y licencias para </w:t>
                      </w:r>
                      <w:r>
                        <w:rPr>
                          <w:sz w:val="16"/>
                        </w:rPr>
                        <w:t>la construcción de la vivienda se originen en la autorización de usos del suelo de acuerdo al Plan de Desarrollo Urbano vigente.</w:t>
                      </w:r>
                    </w:p>
                    <w:p w:rsidR="00A63476" w:rsidRDefault="00D22874">
                      <w:pPr>
                        <w:numPr>
                          <w:ilvl w:val="0"/>
                          <w:numId w:val="16"/>
                        </w:numPr>
                        <w:tabs>
                          <w:tab w:val="left" w:pos="264"/>
                        </w:tabs>
                        <w:spacing w:before="40" w:line="417" w:lineRule="auto"/>
                        <w:ind w:left="81" w:right="75" w:firstLine="0"/>
                        <w:jc w:val="both"/>
                        <w:rPr>
                          <w:sz w:val="16"/>
                        </w:rPr>
                      </w:pPr>
                      <w:r>
                        <w:rPr>
                          <w:sz w:val="16"/>
                        </w:rPr>
                        <w:t>La vivienda podrá obtener el puntaje de ubicación única y exclusivamente cuando coincidan el ámbito definido por el modelo geoe</w:t>
                      </w:r>
                      <w:r>
                        <w:rPr>
                          <w:sz w:val="16"/>
                        </w:rPr>
                        <w:t>stadístico y la normatividad urbana del plan de desarrollo urbano para usos habitacionales u otro compatible con</w:t>
                      </w:r>
                      <w:r>
                        <w:rPr>
                          <w:spacing w:val="-1"/>
                          <w:sz w:val="16"/>
                        </w:rPr>
                        <w:t xml:space="preserve"> </w:t>
                      </w:r>
                      <w:r>
                        <w:rPr>
                          <w:sz w:val="16"/>
                        </w:rPr>
                        <w:t>éste.</w:t>
                      </w:r>
                    </w:p>
                    <w:p w:rsidR="00A63476" w:rsidRDefault="00D22874">
                      <w:pPr>
                        <w:numPr>
                          <w:ilvl w:val="0"/>
                          <w:numId w:val="16"/>
                        </w:numPr>
                        <w:tabs>
                          <w:tab w:val="left" w:pos="262"/>
                        </w:tabs>
                        <w:spacing w:before="39" w:line="417" w:lineRule="auto"/>
                        <w:ind w:left="81" w:right="75" w:firstLine="0"/>
                        <w:jc w:val="both"/>
                        <w:rPr>
                          <w:sz w:val="16"/>
                        </w:rPr>
                      </w:pPr>
                      <w:r>
                        <w:rPr>
                          <w:sz w:val="16"/>
                        </w:rPr>
                        <w:t>Se reconocen las viviendas con calificación de Índice de Desempeño Global (IDG) registrada en el Registro Único de Vivienda</w:t>
                      </w:r>
                      <w:r>
                        <w:rPr>
                          <w:spacing w:val="11"/>
                          <w:sz w:val="16"/>
                        </w:rPr>
                        <w:t xml:space="preserve"> </w:t>
                      </w:r>
                      <w:r>
                        <w:rPr>
                          <w:sz w:val="16"/>
                        </w:rPr>
                        <w:t>(RUV)</w:t>
                      </w:r>
                      <w:r>
                        <w:rPr>
                          <w:spacing w:val="12"/>
                          <w:sz w:val="16"/>
                        </w:rPr>
                        <w:t xml:space="preserve"> </w:t>
                      </w:r>
                      <w:r>
                        <w:rPr>
                          <w:sz w:val="16"/>
                        </w:rPr>
                        <w:t>hasta</w:t>
                      </w:r>
                      <w:r>
                        <w:rPr>
                          <w:spacing w:val="12"/>
                          <w:sz w:val="16"/>
                        </w:rPr>
                        <w:t xml:space="preserve"> </w:t>
                      </w:r>
                      <w:r>
                        <w:rPr>
                          <w:sz w:val="16"/>
                        </w:rPr>
                        <w:t>e</w:t>
                      </w:r>
                      <w:r>
                        <w:rPr>
                          <w:sz w:val="16"/>
                        </w:rPr>
                        <w:t>l</w:t>
                      </w:r>
                      <w:r>
                        <w:rPr>
                          <w:spacing w:val="12"/>
                          <w:sz w:val="16"/>
                        </w:rPr>
                        <w:t xml:space="preserve"> </w:t>
                      </w:r>
                      <w:r>
                        <w:rPr>
                          <w:sz w:val="16"/>
                        </w:rPr>
                        <w:t>31</w:t>
                      </w:r>
                      <w:r>
                        <w:rPr>
                          <w:spacing w:val="11"/>
                          <w:sz w:val="16"/>
                        </w:rPr>
                        <w:t xml:space="preserve"> </w:t>
                      </w:r>
                      <w:r>
                        <w:rPr>
                          <w:sz w:val="16"/>
                        </w:rPr>
                        <w:t>de</w:t>
                      </w:r>
                      <w:r>
                        <w:rPr>
                          <w:spacing w:val="12"/>
                          <w:sz w:val="16"/>
                        </w:rPr>
                        <w:t xml:space="preserve"> </w:t>
                      </w:r>
                      <w:r>
                        <w:rPr>
                          <w:sz w:val="16"/>
                        </w:rPr>
                        <w:t>diciembre</w:t>
                      </w:r>
                      <w:r>
                        <w:rPr>
                          <w:spacing w:val="12"/>
                          <w:sz w:val="16"/>
                        </w:rPr>
                        <w:t xml:space="preserve"> </w:t>
                      </w:r>
                      <w:r>
                        <w:rPr>
                          <w:sz w:val="16"/>
                        </w:rPr>
                        <w:t>de</w:t>
                      </w:r>
                      <w:r>
                        <w:rPr>
                          <w:spacing w:val="12"/>
                          <w:sz w:val="16"/>
                        </w:rPr>
                        <w:t xml:space="preserve"> </w:t>
                      </w:r>
                      <w:r>
                        <w:rPr>
                          <w:sz w:val="16"/>
                        </w:rPr>
                        <w:t>2017,</w:t>
                      </w:r>
                      <w:r>
                        <w:rPr>
                          <w:spacing w:val="11"/>
                          <w:sz w:val="16"/>
                        </w:rPr>
                        <w:t xml:space="preserve"> </w:t>
                      </w:r>
                      <w:r>
                        <w:rPr>
                          <w:sz w:val="16"/>
                        </w:rPr>
                        <w:t>a</w:t>
                      </w:r>
                      <w:r>
                        <w:rPr>
                          <w:spacing w:val="12"/>
                          <w:sz w:val="16"/>
                        </w:rPr>
                        <w:t xml:space="preserve"> </w:t>
                      </w:r>
                      <w:r>
                        <w:rPr>
                          <w:sz w:val="16"/>
                        </w:rPr>
                        <w:t>partir</w:t>
                      </w:r>
                      <w:r>
                        <w:rPr>
                          <w:spacing w:val="12"/>
                          <w:sz w:val="16"/>
                        </w:rPr>
                        <w:t xml:space="preserve"> </w:t>
                      </w:r>
                      <w:r>
                        <w:rPr>
                          <w:sz w:val="16"/>
                        </w:rPr>
                        <w:t>de</w:t>
                      </w:r>
                      <w:r>
                        <w:rPr>
                          <w:spacing w:val="12"/>
                          <w:sz w:val="16"/>
                        </w:rPr>
                        <w:t xml:space="preserve"> </w:t>
                      </w:r>
                      <w:r>
                        <w:rPr>
                          <w:sz w:val="16"/>
                        </w:rPr>
                        <w:t>la</w:t>
                      </w:r>
                      <w:r>
                        <w:rPr>
                          <w:spacing w:val="12"/>
                          <w:sz w:val="16"/>
                        </w:rPr>
                        <w:t xml:space="preserve"> </w:t>
                      </w:r>
                      <w:r>
                        <w:rPr>
                          <w:sz w:val="16"/>
                        </w:rPr>
                        <w:t>entrada</w:t>
                      </w:r>
                      <w:r>
                        <w:rPr>
                          <w:spacing w:val="11"/>
                          <w:sz w:val="16"/>
                        </w:rPr>
                        <w:t xml:space="preserve"> </w:t>
                      </w:r>
                      <w:r>
                        <w:rPr>
                          <w:sz w:val="16"/>
                        </w:rPr>
                        <w:t>en</w:t>
                      </w:r>
                      <w:r>
                        <w:rPr>
                          <w:spacing w:val="12"/>
                          <w:sz w:val="16"/>
                        </w:rPr>
                        <w:t xml:space="preserve"> </w:t>
                      </w:r>
                      <w:r>
                        <w:rPr>
                          <w:sz w:val="16"/>
                        </w:rPr>
                        <w:t>vigor</w:t>
                      </w:r>
                      <w:r>
                        <w:rPr>
                          <w:spacing w:val="12"/>
                          <w:sz w:val="16"/>
                        </w:rPr>
                        <w:t xml:space="preserve"> </w:t>
                      </w:r>
                      <w:r>
                        <w:rPr>
                          <w:sz w:val="16"/>
                        </w:rPr>
                        <w:t>de</w:t>
                      </w:r>
                      <w:r>
                        <w:rPr>
                          <w:spacing w:val="12"/>
                          <w:sz w:val="16"/>
                        </w:rPr>
                        <w:t xml:space="preserve"> </w:t>
                      </w:r>
                      <w:r>
                        <w:rPr>
                          <w:sz w:val="16"/>
                        </w:rPr>
                        <w:t>las</w:t>
                      </w:r>
                      <w:r>
                        <w:rPr>
                          <w:spacing w:val="11"/>
                          <w:sz w:val="16"/>
                        </w:rPr>
                        <w:t xml:space="preserve"> </w:t>
                      </w:r>
                      <w:r>
                        <w:rPr>
                          <w:sz w:val="16"/>
                        </w:rPr>
                        <w:t>presentes</w:t>
                      </w:r>
                      <w:r>
                        <w:rPr>
                          <w:spacing w:val="12"/>
                          <w:sz w:val="16"/>
                        </w:rPr>
                        <w:t xml:space="preserve"> </w:t>
                      </w:r>
                      <w:r>
                        <w:rPr>
                          <w:sz w:val="16"/>
                        </w:rPr>
                        <w:t>reglas</w:t>
                      </w:r>
                      <w:r>
                        <w:rPr>
                          <w:spacing w:val="12"/>
                          <w:sz w:val="16"/>
                        </w:rPr>
                        <w:t xml:space="preserve"> </w:t>
                      </w:r>
                      <w:r>
                        <w:rPr>
                          <w:sz w:val="16"/>
                        </w:rPr>
                        <w:t>se</w:t>
                      </w:r>
                      <w:r>
                        <w:rPr>
                          <w:spacing w:val="12"/>
                          <w:sz w:val="16"/>
                        </w:rPr>
                        <w:t xml:space="preserve"> </w:t>
                      </w:r>
                      <w:r>
                        <w:rPr>
                          <w:sz w:val="16"/>
                        </w:rPr>
                        <w:t>aplica</w:t>
                      </w:r>
                      <w:r>
                        <w:rPr>
                          <w:spacing w:val="12"/>
                          <w:sz w:val="16"/>
                        </w:rPr>
                        <w:t xml:space="preserve"> </w:t>
                      </w:r>
                      <w:r>
                        <w:rPr>
                          <w:sz w:val="16"/>
                        </w:rPr>
                        <w:t>la</w:t>
                      </w:r>
                    </w:p>
                    <w:p w:rsidR="00A63476" w:rsidRDefault="00D22874">
                      <w:pPr>
                        <w:spacing w:line="184" w:lineRule="exact"/>
                        <w:ind w:left="81"/>
                        <w:jc w:val="both"/>
                        <w:rPr>
                          <w:sz w:val="16"/>
                        </w:rPr>
                      </w:pPr>
                      <w:r>
                        <w:rPr>
                          <w:sz w:val="16"/>
                        </w:rPr>
                        <w:t>evaluación del puntaje de la dimensión de Sustentabilidad Ambiental.</w:t>
                      </w:r>
                    </w:p>
                  </w:txbxContent>
                </v:textbox>
                <w10:wrap type="topAndBottom" anchorx="page"/>
              </v:shape>
            </w:pict>
          </mc:Fallback>
        </mc:AlternateContent>
      </w:r>
    </w:p>
    <w:p w:rsidR="00A63476" w:rsidRDefault="00A63476">
      <w:pPr>
        <w:pStyle w:val="Textoindependiente"/>
        <w:spacing w:before="10"/>
        <w:ind w:left="0" w:right="0" w:firstLine="0"/>
        <w:jc w:val="left"/>
        <w:rPr>
          <w:sz w:val="23"/>
        </w:rPr>
      </w:pPr>
    </w:p>
    <w:p w:rsidR="00A63476" w:rsidRDefault="00D22874">
      <w:pPr>
        <w:spacing w:before="95"/>
        <w:ind w:left="800"/>
        <w:rPr>
          <w:sz w:val="16"/>
        </w:rPr>
      </w:pPr>
      <w:r>
        <w:rPr>
          <w:sz w:val="16"/>
        </w:rPr>
        <w:t>Abreviaciones:</w:t>
      </w:r>
    </w:p>
    <w:p w:rsidR="00A63476" w:rsidRDefault="00D22874">
      <w:pPr>
        <w:spacing w:before="156"/>
        <w:ind w:left="800"/>
        <w:rPr>
          <w:sz w:val="16"/>
        </w:rPr>
      </w:pPr>
      <w:r>
        <w:rPr>
          <w:sz w:val="16"/>
        </w:rPr>
        <w:t>DS: Diseño sustentable</w:t>
      </w:r>
    </w:p>
    <w:p w:rsidR="00A63476" w:rsidRDefault="00A63476">
      <w:pPr>
        <w:rPr>
          <w:sz w:val="16"/>
        </w:rPr>
        <w:sectPr w:rsidR="00A63476">
          <w:pgSz w:w="12240" w:h="15840"/>
          <w:pgMar w:top="880" w:right="1040" w:bottom="280" w:left="1180" w:header="699" w:footer="0" w:gutter="0"/>
          <w:cols w:space="720"/>
        </w:sectPr>
      </w:pPr>
    </w:p>
    <w:p w:rsidR="00A63476" w:rsidRDefault="00FF0FB3">
      <w:pPr>
        <w:pStyle w:val="Textoindependiente"/>
        <w:spacing w:line="20" w:lineRule="exact"/>
        <w:ind w:left="396" w:right="0" w:firstLine="0"/>
        <w:jc w:val="left"/>
        <w:rPr>
          <w:sz w:val="2"/>
        </w:rPr>
      </w:pPr>
      <w:r>
        <w:rPr>
          <w:noProof/>
          <w:sz w:val="2"/>
        </w:rPr>
        <w:lastRenderedPageBreak/>
        <mc:AlternateContent>
          <mc:Choice Requires="wpg">
            <w:drawing>
              <wp:inline distT="0" distB="0" distL="0" distR="0">
                <wp:extent cx="5852160" cy="9525"/>
                <wp:effectExtent l="10160" t="6985" r="5080" b="2540"/>
                <wp:docPr id="49" name="Group 26"/>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5852160" cy="9525"/>
                          <a:chOff x="0" y="0"/>
                          <a:chExt cx="9216" cy="15"/>
                        </a:xfrm>
                      </wpg:grpSpPr>
                      <wps:wsp>
                        <wps:cNvPr id="50" name="Line 27"/>
                        <wps:cNvCnPr>
                          <a:cxnSpLocks noChangeShapeType="1"/>
                        </wps:cNvCnPr>
                        <wps:spPr bwMode="auto">
                          <a:xfrm>
                            <a:off x="0" y="7"/>
                            <a:ext cx="9216" cy="0"/>
                          </a:xfrm>
                          <a:prstGeom prst="line">
                            <a:avLst/>
                          </a:prstGeom>
                          <a:noFill/>
                          <a:ln w="9525">
                            <a:solidFill>
                              <a:srgbClr val="000000"/>
                            </a:solidFill>
                            <a:prstDash val="solid"/>
                            <a:round/>
                            <a:headEnd/>
                            <a:tailEnd/>
                          </a:ln>
                          <a:extLst>
                            <a:ext uri="{909E8E84-426E-40DD-AFC4-6F175D3DCCD1}">
                              <a14:hiddenFill xmlns:a14="http://schemas.microsoft.com/office/drawing/2010/main">
                                <a:noFill/>
                              </a14:hiddenFill>
                            </a:ext>
                          </a:extLst>
                        </wps:spPr>
                        <wps:bodyPr/>
                      </wps:wsp>
                    </wpg:wgp>
                  </a:graphicData>
                </a:graphic>
              </wp:inline>
            </w:drawing>
          </mc:Choice>
          <mc:Fallback>
            <w:pict>
              <v:group w14:anchorId="08E3095D" id="Group 26" o:spid="_x0000_s1026" style="width:460.8pt;height:.75pt;mso-position-horizontal-relative:char;mso-position-vertical-relative:line" coordsize="9216,1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">
                <v:line id="Line 27" o:spid="_x0000_s1027" style="position:absolute;visibility:visible;mso-wrap-style:square" from="0,7" to="9216,7"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"/>
                <w10:anchorlock/>
              </v:group>
            </w:pict>
          </mc:Fallback>
        </mc:AlternateContent>
      </w:r>
    </w:p>
    <w:p w:rsidR="00A63476" w:rsidRDefault="00A63476">
      <w:pPr>
        <w:pStyle w:val="Textoindependiente"/>
        <w:spacing w:before="6"/>
        <w:ind w:left="0" w:right="0" w:firstLine="0"/>
        <w:jc w:val="left"/>
        <w:rPr>
          <w:sz w:val="20"/>
        </w:rPr>
      </w:pPr>
    </w:p>
    <w:p w:rsidR="00A63476" w:rsidRDefault="00D22874">
      <w:pPr>
        <w:spacing w:before="95"/>
        <w:ind w:left="800"/>
        <w:rPr>
          <w:sz w:val="16"/>
        </w:rPr>
      </w:pPr>
      <w:r>
        <w:rPr>
          <w:sz w:val="16"/>
        </w:rPr>
        <w:t>ECO: Ecotecnologías</w:t>
      </w:r>
    </w:p>
    <w:p w:rsidR="00A63476" w:rsidRDefault="00FF0FB3">
      <w:pPr>
        <w:spacing w:before="156"/>
        <w:ind w:left="800"/>
        <w:rPr>
          <w:sz w:val="16"/>
        </w:rPr>
      </w:pPr>
      <w:r>
        <w:rPr>
          <w:noProof/>
        </w:rPr>
        <mc:AlternateContent>
          <mc:Choice Requires="wpg">
            <w:drawing>
              <wp:anchor distT="0" distB="0" distL="0" distR="0" simplePos="0" relativeHeight="487606784" behindDoc="1" locked="0" layoutInCell="1" allowOverlap="1">
                <wp:simplePos x="0" y="0"/>
                <wp:positionH relativeFrom="page">
                  <wp:posOffset>1170305</wp:posOffset>
                </wp:positionH>
                <wp:positionV relativeFrom="paragraph">
                  <wp:posOffset>265430</wp:posOffset>
                </wp:positionV>
                <wp:extent cx="5523865" cy="2964815"/>
                <wp:effectExtent l="0" t="0" r="0" b="0"/>
                <wp:wrapTopAndBottom/>
                <wp:docPr id="46" name="Group 23"/>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5523865" cy="2964815"/>
                          <a:chOff x="1843" y="418"/>
                          <a:chExt cx="8699" cy="4669"/>
                        </a:xfrm>
                      </wpg:grpSpPr>
                      <wps:wsp>
                        <wps:cNvPr id="47" name="Text Box 25"/>
                        <wps:cNvSpPr txBox="1">
                          <a:spLocks noChangeArrowheads="1"/>
                        </wps:cNvSpPr>
                        <wps:spPr bwMode="auto">
                          <a:xfrm>
                            <a:off x="1850" y="1142"/>
                            <a:ext cx="8684" cy="3937"/>
                          </a:xfrm>
                          <a:prstGeom prst="rect">
                            <a:avLst/>
                          </a:prstGeom>
                          <a:noFill/>
                          <a:ln w="9525">
                            <a:solidFill>
                              <a:srgbClr val="404040"/>
                            </a:solidFill>
                            <a:prstDash val="solid"/>
                            <a:miter lim="800000"/>
                            <a:headEnd/>
                            <a:tailEnd/>
                          </a:ln>
                          <a:extLst>
                            <a:ext uri="{909E8E84-426E-40DD-AFC4-6F175D3DCCD1}">
                              <a14:hiddenFill xmlns:a14="http://schemas.microsoft.com/office/drawing/2010/main">
                                <a:solidFill>
                                  <a:srgbClr val="FFFFFF"/>
                                </a:solidFill>
                              </a14:hiddenFill>
                            </a:ext>
                          </a:extLst>
                        </wps:spPr>
                        <wps:txbx>
                          <w:txbxContent>
                            <w:p w:rsidR="00A63476" w:rsidRDefault="00D22874">
                              <w:pPr>
                                <w:spacing w:before="146"/>
                                <w:ind w:left="81"/>
                                <w:rPr>
                                  <w:sz w:val="16"/>
                                </w:rPr>
                              </w:pPr>
                              <w:r>
                                <w:rPr>
                                  <w:sz w:val="16"/>
                                </w:rPr>
                                <w:t>Se dice que una vivienda es precaria si:</w:t>
                              </w:r>
                            </w:p>
                            <w:p w:rsidR="00A63476" w:rsidRDefault="00D22874">
                              <w:pPr>
                                <w:numPr>
                                  <w:ilvl w:val="0"/>
                                  <w:numId w:val="15"/>
                                </w:numPr>
                                <w:tabs>
                                  <w:tab w:val="left" w:pos="441"/>
                                  <w:tab w:val="left" w:pos="442"/>
                                </w:tabs>
                                <w:spacing w:before="85"/>
                                <w:ind w:hanging="361"/>
                                <w:rPr>
                                  <w:sz w:val="16"/>
                                </w:rPr>
                              </w:pPr>
                              <w:r>
                                <w:rPr>
                                  <w:sz w:val="16"/>
                                </w:rPr>
                                <w:t>El piso es de tierra.</w:t>
                              </w:r>
                            </w:p>
                            <w:p w:rsidR="00A63476" w:rsidRDefault="00D22874">
                              <w:pPr>
                                <w:numPr>
                                  <w:ilvl w:val="0"/>
                                  <w:numId w:val="15"/>
                                </w:numPr>
                                <w:tabs>
                                  <w:tab w:val="left" w:pos="441"/>
                                  <w:tab w:val="left" w:pos="442"/>
                                </w:tabs>
                                <w:spacing w:before="85" w:line="333" w:lineRule="auto"/>
                                <w:ind w:left="441" w:right="75"/>
                                <w:rPr>
                                  <w:sz w:val="16"/>
                                </w:rPr>
                              </w:pPr>
                              <w:r>
                                <w:rPr>
                                  <w:sz w:val="16"/>
                                </w:rPr>
                                <w:t>El techo de la vivienda está construido con material de desecho, de lámina de cartón, lámina metálica o de asbesto.</w:t>
                              </w:r>
                            </w:p>
                            <w:p w:rsidR="00A63476" w:rsidRDefault="00D22874">
                              <w:pPr>
                                <w:numPr>
                                  <w:ilvl w:val="0"/>
                                  <w:numId w:val="15"/>
                                </w:numPr>
                                <w:tabs>
                                  <w:tab w:val="left" w:pos="441"/>
                                  <w:tab w:val="left" w:pos="442"/>
                                </w:tabs>
                                <w:spacing w:before="13" w:line="333" w:lineRule="auto"/>
                                <w:ind w:left="441" w:right="75"/>
                                <w:rPr>
                                  <w:sz w:val="16"/>
                                </w:rPr>
                              </w:pPr>
                              <w:r>
                                <w:rPr>
                                  <w:sz w:val="16"/>
                                </w:rPr>
                                <w:t xml:space="preserve">Los muros de la vivienda están elaborados con material de desecho, lámina de cartón lámina metálica o </w:t>
                              </w:r>
                              <w:r>
                                <w:rPr>
                                  <w:spacing w:val="-7"/>
                                  <w:sz w:val="16"/>
                                </w:rPr>
                                <w:t xml:space="preserve">de </w:t>
                              </w:r>
                              <w:r>
                                <w:rPr>
                                  <w:sz w:val="16"/>
                                </w:rPr>
                                <w:t>asbesto.</w:t>
                              </w:r>
                            </w:p>
                            <w:p w:rsidR="00A63476" w:rsidRDefault="00D22874">
                              <w:pPr>
                                <w:numPr>
                                  <w:ilvl w:val="0"/>
                                  <w:numId w:val="15"/>
                                </w:numPr>
                                <w:tabs>
                                  <w:tab w:val="left" w:pos="441"/>
                                  <w:tab w:val="left" w:pos="442"/>
                                </w:tabs>
                                <w:spacing w:before="13"/>
                                <w:ind w:hanging="361"/>
                                <w:rPr>
                                  <w:sz w:val="16"/>
                                </w:rPr>
                              </w:pPr>
                              <w:r>
                                <w:rPr>
                                  <w:sz w:val="16"/>
                                </w:rPr>
                                <w:t>El baño es</w:t>
                              </w:r>
                              <w:r>
                                <w:rPr>
                                  <w:spacing w:val="-1"/>
                                  <w:sz w:val="16"/>
                                </w:rPr>
                                <w:t xml:space="preserve"> </w:t>
                              </w:r>
                              <w:r>
                                <w:rPr>
                                  <w:sz w:val="16"/>
                                </w:rPr>
                                <w:t>compartido.</w:t>
                              </w:r>
                            </w:p>
                            <w:p w:rsidR="00A63476" w:rsidRDefault="00D22874">
                              <w:pPr>
                                <w:numPr>
                                  <w:ilvl w:val="0"/>
                                  <w:numId w:val="15"/>
                                </w:numPr>
                                <w:tabs>
                                  <w:tab w:val="left" w:pos="441"/>
                                  <w:tab w:val="left" w:pos="442"/>
                                </w:tabs>
                                <w:spacing w:before="86"/>
                                <w:ind w:hanging="361"/>
                                <w:rPr>
                                  <w:sz w:val="16"/>
                                </w:rPr>
                              </w:pPr>
                              <w:r>
                                <w:rPr>
                                  <w:sz w:val="16"/>
                                </w:rPr>
                                <w:t xml:space="preserve">No </w:t>
                              </w:r>
                              <w:r>
                                <w:rPr>
                                  <w:sz w:val="16"/>
                                </w:rPr>
                                <w:t>hay conexión de agua dentro de la vivienda, pero sí hay dentro del</w:t>
                              </w:r>
                              <w:r>
                                <w:rPr>
                                  <w:spacing w:val="-2"/>
                                  <w:sz w:val="16"/>
                                </w:rPr>
                                <w:t xml:space="preserve"> </w:t>
                              </w:r>
                              <w:r>
                                <w:rPr>
                                  <w:sz w:val="16"/>
                                </w:rPr>
                                <w:t>terreno.</w:t>
                              </w:r>
                            </w:p>
                            <w:p w:rsidR="00A63476" w:rsidRDefault="00D22874">
                              <w:pPr>
                                <w:numPr>
                                  <w:ilvl w:val="0"/>
                                  <w:numId w:val="15"/>
                                </w:numPr>
                                <w:tabs>
                                  <w:tab w:val="left" w:pos="441"/>
                                  <w:tab w:val="left" w:pos="442"/>
                                </w:tabs>
                                <w:spacing w:before="85"/>
                                <w:ind w:hanging="361"/>
                                <w:rPr>
                                  <w:sz w:val="16"/>
                                </w:rPr>
                              </w:pPr>
                              <w:r>
                                <w:rPr>
                                  <w:sz w:val="16"/>
                                </w:rPr>
                                <w:t>No existe conexión de drenaje que va a dar a la red</w:t>
                              </w:r>
                              <w:r>
                                <w:rPr>
                                  <w:spacing w:val="-1"/>
                                  <w:sz w:val="16"/>
                                </w:rPr>
                                <w:t xml:space="preserve"> </w:t>
                              </w:r>
                              <w:r>
                                <w:rPr>
                                  <w:sz w:val="16"/>
                                </w:rPr>
                                <w:t>pública.</w:t>
                              </w:r>
                            </w:p>
                            <w:p w:rsidR="00A63476" w:rsidRDefault="00D22874">
                              <w:pPr>
                                <w:numPr>
                                  <w:ilvl w:val="0"/>
                                  <w:numId w:val="15"/>
                                </w:numPr>
                                <w:tabs>
                                  <w:tab w:val="left" w:pos="441"/>
                                  <w:tab w:val="left" w:pos="442"/>
                                </w:tabs>
                                <w:spacing w:before="85"/>
                                <w:ind w:hanging="361"/>
                                <w:rPr>
                                  <w:sz w:val="16"/>
                                </w:rPr>
                              </w:pPr>
                              <w:r>
                                <w:rPr>
                                  <w:sz w:val="16"/>
                                </w:rPr>
                                <w:t>No cuenta con energía</w:t>
                              </w:r>
                              <w:r>
                                <w:rPr>
                                  <w:spacing w:val="-1"/>
                                  <w:sz w:val="16"/>
                                </w:rPr>
                                <w:t xml:space="preserve"> </w:t>
                              </w:r>
                              <w:r>
                                <w:rPr>
                                  <w:sz w:val="16"/>
                                </w:rPr>
                                <w:t>eléctrica.</w:t>
                              </w:r>
                            </w:p>
                            <w:p w:rsidR="00A63476" w:rsidRDefault="00D22874">
                              <w:pPr>
                                <w:numPr>
                                  <w:ilvl w:val="0"/>
                                  <w:numId w:val="15"/>
                                </w:numPr>
                                <w:tabs>
                                  <w:tab w:val="left" w:pos="441"/>
                                  <w:tab w:val="left" w:pos="442"/>
                                </w:tabs>
                                <w:spacing w:before="85"/>
                                <w:ind w:hanging="361"/>
                                <w:rPr>
                                  <w:sz w:val="16"/>
                                </w:rPr>
                              </w:pPr>
                              <w:r>
                                <w:rPr>
                                  <w:sz w:val="16"/>
                                </w:rPr>
                                <w:t>Se cocina con leña o carbón sin contar con chimenea.</w:t>
                              </w:r>
                            </w:p>
                            <w:p w:rsidR="00A63476" w:rsidRDefault="00D22874">
                              <w:pPr>
                                <w:numPr>
                                  <w:ilvl w:val="0"/>
                                  <w:numId w:val="15"/>
                                </w:numPr>
                                <w:tabs>
                                  <w:tab w:val="left" w:pos="441"/>
                                  <w:tab w:val="left" w:pos="442"/>
                                </w:tabs>
                                <w:spacing w:before="85"/>
                                <w:ind w:hanging="361"/>
                                <w:rPr>
                                  <w:sz w:val="16"/>
                                </w:rPr>
                              </w:pPr>
                              <w:r>
                                <w:rPr>
                                  <w:sz w:val="16"/>
                                </w:rPr>
                                <w:t>No existe excusado en la vivienda o, si existe, no se le puede echar</w:t>
                              </w:r>
                              <w:r>
                                <w:rPr>
                                  <w:spacing w:val="-3"/>
                                  <w:sz w:val="16"/>
                                </w:rPr>
                                <w:t xml:space="preserve"> </w:t>
                              </w:r>
                              <w:r>
                                <w:rPr>
                                  <w:sz w:val="16"/>
                                </w:rPr>
                                <w:t>agua.</w:t>
                              </w:r>
                            </w:p>
                            <w:p w:rsidR="00A63476" w:rsidRDefault="00D22874">
                              <w:pPr>
                                <w:numPr>
                                  <w:ilvl w:val="0"/>
                                  <w:numId w:val="15"/>
                                </w:numPr>
                                <w:tabs>
                                  <w:tab w:val="left" w:pos="441"/>
                                  <w:tab w:val="left" w:pos="442"/>
                                </w:tabs>
                                <w:spacing w:before="86"/>
                                <w:ind w:hanging="361"/>
                                <w:rPr>
                                  <w:sz w:val="16"/>
                                </w:rPr>
                              </w:pPr>
                              <w:r>
                                <w:rPr>
                                  <w:sz w:val="16"/>
                                </w:rPr>
                                <w:t>Tiene problemas de hacinamiento, esto es, más de 2.5 personas por</w:t>
                              </w:r>
                              <w:r>
                                <w:rPr>
                                  <w:spacing w:val="-4"/>
                                  <w:sz w:val="16"/>
                                </w:rPr>
                                <w:t xml:space="preserve"> </w:t>
                              </w:r>
                              <w:r>
                                <w:rPr>
                                  <w:sz w:val="16"/>
                                </w:rPr>
                                <w:t>dormitorio.</w:t>
                              </w:r>
                            </w:p>
                          </w:txbxContent>
                        </wps:txbx>
                        <wps:bodyPr rot="0" vert="horz" wrap="square" lIns="0" tIns="0" rIns="0" bIns="0" anchor="t" anchorCtr="0" upright="1">
                          <a:noAutofit/>
                        </wps:bodyPr>
                      </wps:wsp>
                      <wps:wsp>
                        <wps:cNvPr id="48" name="Text Box 24"/>
                        <wps:cNvSpPr txBox="1">
                          <a:spLocks noChangeArrowheads="1"/>
                        </wps:cNvSpPr>
                        <wps:spPr bwMode="auto">
                          <a:xfrm>
                            <a:off x="1850" y="425"/>
                            <a:ext cx="8684" cy="717"/>
                          </a:xfrm>
                          <a:prstGeom prst="rect">
                            <a:avLst/>
                          </a:prstGeom>
                          <a:solidFill>
                            <a:srgbClr val="DFDFDF"/>
                          </a:solidFill>
                          <a:ln w="9525">
                            <a:solidFill>
                              <a:srgbClr val="404040"/>
                            </a:solidFill>
                            <a:prstDash val="solid"/>
                            <a:miter lim="800000"/>
                            <a:headEnd/>
                            <a:tailEnd/>
                          </a:ln>
                        </wps:spPr>
                        <wps:txbx>
                          <w:txbxContent>
                            <w:p w:rsidR="00A63476" w:rsidRDefault="00D22874">
                              <w:pPr>
                                <w:spacing w:before="143"/>
                                <w:ind w:left="520" w:right="532"/>
                                <w:jc w:val="center"/>
                                <w:rPr>
                                  <w:b/>
                                  <w:sz w:val="16"/>
                                </w:rPr>
                              </w:pPr>
                              <w:r>
                                <w:rPr>
                                  <w:b/>
                                  <w:sz w:val="16"/>
                                </w:rPr>
                                <w:t>B.- CATÁLOGO DE CONDICIONES DE PRECARIEDAD DE L</w:t>
                              </w:r>
                              <w:r>
                                <w:rPr>
                                  <w:b/>
                                  <w:sz w:val="16"/>
                                </w:rPr>
                                <w:t>A VIVIENDA.</w:t>
                              </w:r>
                            </w:p>
                            <w:p w:rsidR="00A63476" w:rsidRDefault="00D22874">
                              <w:pPr>
                                <w:spacing w:before="116"/>
                                <w:ind w:left="520" w:right="532"/>
                                <w:jc w:val="center"/>
                                <w:rPr>
                                  <w:b/>
                                  <w:sz w:val="16"/>
                                </w:rPr>
                              </w:pPr>
                              <w:r>
                                <w:rPr>
                                  <w:b/>
                                  <w:sz w:val="16"/>
                                </w:rPr>
                                <w:t>(Preferentemente, las acciones de Mejoramiento y/o Ampliación buscarán abatir estas condiciones)</w:t>
                              </w:r>
                            </w:p>
                          </w:txbxContent>
                        </wps:txbx>
                        <wps:bodyPr rot="0" vert="horz" wrap="square" lIns="0" tIns="0" rIns="0" bIns="0" anchor="t" anchorCtr="0" upright="1">
                          <a:noAutofit/>
                        </wps:bodyPr>
                      </wps:wsp>
                    </wpg:wgp>
                  </a:graphicData>
                </a:graphic>
                <wp14:sizeRelH relativeFrom="page">
                  <wp14:pctWidth>0</wp14:pctWidth>
                </wp14:sizeRelH>
                <wp14:sizeRelV relativeFrom="page">
                  <wp14:pctHeight>0</wp14:pctHeight>
                </wp14:sizeRelV>
              </wp:anchor>
            </w:drawing>
          </mc:Choice>
          <mc:Fallback>
            <w:pict>
              <v:group id="Group 23" o:spid="_x0000_s1027" style="position:absolute;left:0;text-align:left;margin-left:92.15pt;margin-top:20.9pt;width:434.95pt;height:233.45pt;z-index:-15709696;mso-wrap-distance-left:0;mso-wrap-distance-right:0;mso-position-horizontal-relative:page" coordorigin="1843,418" coordsize="8699,466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">
                <v:shape id="Text Box 25" o:spid="_x0000_s1028" type="#_x0000_t202" style="position:absolute;left:1850;top:1142;width:8684;height:393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" filled="f" strokecolor="#404040">
                  <v:textbox inset="0,0,0,0">
                    <w:txbxContent>
                      <w:p w:rsidR="00A63476" w:rsidRDefault="00D22874">
                        <w:pPr>
                          <w:spacing w:before="146"/>
                          <w:ind w:left="81"/>
                          <w:rPr>
                            <w:sz w:val="16"/>
                          </w:rPr>
                        </w:pPr>
                        <w:r>
                          <w:rPr>
                            <w:sz w:val="16"/>
                          </w:rPr>
                          <w:t>Se dice que una vivienda es precaria si:</w:t>
                        </w:r>
                      </w:p>
                      <w:p w:rsidR="00A63476" w:rsidRDefault="00D22874">
                        <w:pPr>
                          <w:numPr>
                            <w:ilvl w:val="0"/>
                            <w:numId w:val="15"/>
                          </w:numPr>
                          <w:tabs>
                            <w:tab w:val="left" w:pos="441"/>
                            <w:tab w:val="left" w:pos="442"/>
                          </w:tabs>
                          <w:spacing w:before="85"/>
                          <w:ind w:hanging="361"/>
                          <w:rPr>
                            <w:sz w:val="16"/>
                          </w:rPr>
                        </w:pPr>
                        <w:r>
                          <w:rPr>
                            <w:sz w:val="16"/>
                          </w:rPr>
                          <w:t>El piso es de tierra.</w:t>
                        </w:r>
                      </w:p>
                      <w:p w:rsidR="00A63476" w:rsidRDefault="00D22874">
                        <w:pPr>
                          <w:numPr>
                            <w:ilvl w:val="0"/>
                            <w:numId w:val="15"/>
                          </w:numPr>
                          <w:tabs>
                            <w:tab w:val="left" w:pos="441"/>
                            <w:tab w:val="left" w:pos="442"/>
                          </w:tabs>
                          <w:spacing w:before="85" w:line="333" w:lineRule="auto"/>
                          <w:ind w:left="441" w:right="75"/>
                          <w:rPr>
                            <w:sz w:val="16"/>
                          </w:rPr>
                        </w:pPr>
                        <w:r>
                          <w:rPr>
                            <w:sz w:val="16"/>
                          </w:rPr>
                          <w:t>El techo de la vivienda está construido con material de desecho, de lámina de cartón, lámina metálica o de asbesto.</w:t>
                        </w:r>
                      </w:p>
                      <w:p w:rsidR="00A63476" w:rsidRDefault="00D22874">
                        <w:pPr>
                          <w:numPr>
                            <w:ilvl w:val="0"/>
                            <w:numId w:val="15"/>
                          </w:numPr>
                          <w:tabs>
                            <w:tab w:val="left" w:pos="441"/>
                            <w:tab w:val="left" w:pos="442"/>
                          </w:tabs>
                          <w:spacing w:before="13" w:line="333" w:lineRule="auto"/>
                          <w:ind w:left="441" w:right="75"/>
                          <w:rPr>
                            <w:sz w:val="16"/>
                          </w:rPr>
                        </w:pPr>
                        <w:r>
                          <w:rPr>
                            <w:sz w:val="16"/>
                          </w:rPr>
                          <w:t xml:space="preserve">Los muros de la vivienda están elaborados con material de desecho, lámina de cartón lámina metálica o </w:t>
                        </w:r>
                        <w:r>
                          <w:rPr>
                            <w:spacing w:val="-7"/>
                            <w:sz w:val="16"/>
                          </w:rPr>
                          <w:t xml:space="preserve">de </w:t>
                        </w:r>
                        <w:r>
                          <w:rPr>
                            <w:sz w:val="16"/>
                          </w:rPr>
                          <w:t>asbesto.</w:t>
                        </w:r>
                      </w:p>
                      <w:p w:rsidR="00A63476" w:rsidRDefault="00D22874">
                        <w:pPr>
                          <w:numPr>
                            <w:ilvl w:val="0"/>
                            <w:numId w:val="15"/>
                          </w:numPr>
                          <w:tabs>
                            <w:tab w:val="left" w:pos="441"/>
                            <w:tab w:val="left" w:pos="442"/>
                          </w:tabs>
                          <w:spacing w:before="13"/>
                          <w:ind w:hanging="361"/>
                          <w:rPr>
                            <w:sz w:val="16"/>
                          </w:rPr>
                        </w:pPr>
                        <w:r>
                          <w:rPr>
                            <w:sz w:val="16"/>
                          </w:rPr>
                          <w:t>El baño es</w:t>
                        </w:r>
                        <w:r>
                          <w:rPr>
                            <w:spacing w:val="-1"/>
                            <w:sz w:val="16"/>
                          </w:rPr>
                          <w:t xml:space="preserve"> </w:t>
                        </w:r>
                        <w:r>
                          <w:rPr>
                            <w:sz w:val="16"/>
                          </w:rPr>
                          <w:t>compartido.</w:t>
                        </w:r>
                      </w:p>
                      <w:p w:rsidR="00A63476" w:rsidRDefault="00D22874">
                        <w:pPr>
                          <w:numPr>
                            <w:ilvl w:val="0"/>
                            <w:numId w:val="15"/>
                          </w:numPr>
                          <w:tabs>
                            <w:tab w:val="left" w:pos="441"/>
                            <w:tab w:val="left" w:pos="442"/>
                          </w:tabs>
                          <w:spacing w:before="86"/>
                          <w:ind w:hanging="361"/>
                          <w:rPr>
                            <w:sz w:val="16"/>
                          </w:rPr>
                        </w:pPr>
                        <w:r>
                          <w:rPr>
                            <w:sz w:val="16"/>
                          </w:rPr>
                          <w:t xml:space="preserve">No </w:t>
                        </w:r>
                        <w:r>
                          <w:rPr>
                            <w:sz w:val="16"/>
                          </w:rPr>
                          <w:t>hay conexión de agua dentro de la vivienda, pero sí hay dentro del</w:t>
                        </w:r>
                        <w:r>
                          <w:rPr>
                            <w:spacing w:val="-2"/>
                            <w:sz w:val="16"/>
                          </w:rPr>
                          <w:t xml:space="preserve"> </w:t>
                        </w:r>
                        <w:r>
                          <w:rPr>
                            <w:sz w:val="16"/>
                          </w:rPr>
                          <w:t>terreno.</w:t>
                        </w:r>
                      </w:p>
                      <w:p w:rsidR="00A63476" w:rsidRDefault="00D22874">
                        <w:pPr>
                          <w:numPr>
                            <w:ilvl w:val="0"/>
                            <w:numId w:val="15"/>
                          </w:numPr>
                          <w:tabs>
                            <w:tab w:val="left" w:pos="441"/>
                            <w:tab w:val="left" w:pos="442"/>
                          </w:tabs>
                          <w:spacing w:before="85"/>
                          <w:ind w:hanging="361"/>
                          <w:rPr>
                            <w:sz w:val="16"/>
                          </w:rPr>
                        </w:pPr>
                        <w:r>
                          <w:rPr>
                            <w:sz w:val="16"/>
                          </w:rPr>
                          <w:t>No existe conexión de drenaje que va a dar a la red</w:t>
                        </w:r>
                        <w:r>
                          <w:rPr>
                            <w:spacing w:val="-1"/>
                            <w:sz w:val="16"/>
                          </w:rPr>
                          <w:t xml:space="preserve"> </w:t>
                        </w:r>
                        <w:r>
                          <w:rPr>
                            <w:sz w:val="16"/>
                          </w:rPr>
                          <w:t>pública.</w:t>
                        </w:r>
                      </w:p>
                      <w:p w:rsidR="00A63476" w:rsidRDefault="00D22874">
                        <w:pPr>
                          <w:numPr>
                            <w:ilvl w:val="0"/>
                            <w:numId w:val="15"/>
                          </w:numPr>
                          <w:tabs>
                            <w:tab w:val="left" w:pos="441"/>
                            <w:tab w:val="left" w:pos="442"/>
                          </w:tabs>
                          <w:spacing w:before="85"/>
                          <w:ind w:hanging="361"/>
                          <w:rPr>
                            <w:sz w:val="16"/>
                          </w:rPr>
                        </w:pPr>
                        <w:r>
                          <w:rPr>
                            <w:sz w:val="16"/>
                          </w:rPr>
                          <w:t>No cuenta con energía</w:t>
                        </w:r>
                        <w:r>
                          <w:rPr>
                            <w:spacing w:val="-1"/>
                            <w:sz w:val="16"/>
                          </w:rPr>
                          <w:t xml:space="preserve"> </w:t>
                        </w:r>
                        <w:r>
                          <w:rPr>
                            <w:sz w:val="16"/>
                          </w:rPr>
                          <w:t>eléctrica.</w:t>
                        </w:r>
                      </w:p>
                      <w:p w:rsidR="00A63476" w:rsidRDefault="00D22874">
                        <w:pPr>
                          <w:numPr>
                            <w:ilvl w:val="0"/>
                            <w:numId w:val="15"/>
                          </w:numPr>
                          <w:tabs>
                            <w:tab w:val="left" w:pos="441"/>
                            <w:tab w:val="left" w:pos="442"/>
                          </w:tabs>
                          <w:spacing w:before="85"/>
                          <w:ind w:hanging="361"/>
                          <w:rPr>
                            <w:sz w:val="16"/>
                          </w:rPr>
                        </w:pPr>
                        <w:r>
                          <w:rPr>
                            <w:sz w:val="16"/>
                          </w:rPr>
                          <w:t>Se cocina con leña o carbón sin contar con chimenea.</w:t>
                        </w:r>
                      </w:p>
                      <w:p w:rsidR="00A63476" w:rsidRDefault="00D22874">
                        <w:pPr>
                          <w:numPr>
                            <w:ilvl w:val="0"/>
                            <w:numId w:val="15"/>
                          </w:numPr>
                          <w:tabs>
                            <w:tab w:val="left" w:pos="441"/>
                            <w:tab w:val="left" w:pos="442"/>
                          </w:tabs>
                          <w:spacing w:before="85"/>
                          <w:ind w:hanging="361"/>
                          <w:rPr>
                            <w:sz w:val="16"/>
                          </w:rPr>
                        </w:pPr>
                        <w:r>
                          <w:rPr>
                            <w:sz w:val="16"/>
                          </w:rPr>
                          <w:t>No existe excusado en la vivienda o, si existe, no se le puede echar</w:t>
                        </w:r>
                        <w:r>
                          <w:rPr>
                            <w:spacing w:val="-3"/>
                            <w:sz w:val="16"/>
                          </w:rPr>
                          <w:t xml:space="preserve"> </w:t>
                        </w:r>
                        <w:r>
                          <w:rPr>
                            <w:sz w:val="16"/>
                          </w:rPr>
                          <w:t>agua.</w:t>
                        </w:r>
                      </w:p>
                      <w:p w:rsidR="00A63476" w:rsidRDefault="00D22874">
                        <w:pPr>
                          <w:numPr>
                            <w:ilvl w:val="0"/>
                            <w:numId w:val="15"/>
                          </w:numPr>
                          <w:tabs>
                            <w:tab w:val="left" w:pos="441"/>
                            <w:tab w:val="left" w:pos="442"/>
                          </w:tabs>
                          <w:spacing w:before="86"/>
                          <w:ind w:hanging="361"/>
                          <w:rPr>
                            <w:sz w:val="16"/>
                          </w:rPr>
                        </w:pPr>
                        <w:r>
                          <w:rPr>
                            <w:sz w:val="16"/>
                          </w:rPr>
                          <w:t>Tiene problemas de hacinamiento, esto es, más de 2.5 personas por</w:t>
                        </w:r>
                        <w:r>
                          <w:rPr>
                            <w:spacing w:val="-4"/>
                            <w:sz w:val="16"/>
                          </w:rPr>
                          <w:t xml:space="preserve"> </w:t>
                        </w:r>
                        <w:r>
                          <w:rPr>
                            <w:sz w:val="16"/>
                          </w:rPr>
                          <w:t>dormitorio.</w:t>
                        </w:r>
                      </w:p>
                    </w:txbxContent>
                  </v:textbox>
                </v:shape>
                <v:shape id="Text Box 24" o:spid="_x0000_s1029" type="#_x0000_t202" style="position:absolute;left:1850;top:425;width:8684;height:71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" fillcolor="#dfdfdf" strokecolor="#404040">
                  <v:textbox inset="0,0,0,0">
                    <w:txbxContent>
                      <w:p w:rsidR="00A63476" w:rsidRDefault="00D22874">
                        <w:pPr>
                          <w:spacing w:before="143"/>
                          <w:ind w:left="520" w:right="532"/>
                          <w:jc w:val="center"/>
                          <w:rPr>
                            <w:b/>
                            <w:sz w:val="16"/>
                          </w:rPr>
                        </w:pPr>
                        <w:r>
                          <w:rPr>
                            <w:b/>
                            <w:sz w:val="16"/>
                          </w:rPr>
                          <w:t>B.- CATÁLOGO DE CONDICIONES DE PRECARIEDAD DE L</w:t>
                        </w:r>
                        <w:r>
                          <w:rPr>
                            <w:b/>
                            <w:sz w:val="16"/>
                          </w:rPr>
                          <w:t>A VIVIENDA.</w:t>
                        </w:r>
                      </w:p>
                      <w:p w:rsidR="00A63476" w:rsidRDefault="00D22874">
                        <w:pPr>
                          <w:spacing w:before="116"/>
                          <w:ind w:left="520" w:right="532"/>
                          <w:jc w:val="center"/>
                          <w:rPr>
                            <w:b/>
                            <w:sz w:val="16"/>
                          </w:rPr>
                        </w:pPr>
                        <w:r>
                          <w:rPr>
                            <w:b/>
                            <w:sz w:val="16"/>
                          </w:rPr>
                          <w:t>(Preferentemente, las acciones de Mejoramiento y/o Ampliación buscarán abatir estas condiciones)</w:t>
                        </w:r>
                      </w:p>
                    </w:txbxContent>
                  </v:textbox>
                </v:shape>
                <w10:wrap type="topAndBottom" anchorx="page"/>
              </v:group>
            </w:pict>
          </mc:Fallback>
        </mc:AlternateContent>
      </w:r>
      <w:r w:rsidR="00D22874">
        <w:rPr>
          <w:sz w:val="16"/>
        </w:rPr>
        <w:t>PB: Prerrequisitos obligatorios para Vivienda vertical mismo que además suma puntaje.</w:t>
      </w:r>
    </w:p>
    <w:p w:rsidR="00A63476" w:rsidRDefault="00A63476">
      <w:pPr>
        <w:pStyle w:val="Textoindependiente"/>
        <w:ind w:left="0" w:right="0" w:firstLine="0"/>
        <w:jc w:val="left"/>
        <w:rPr>
          <w:sz w:val="20"/>
        </w:rPr>
      </w:pPr>
    </w:p>
    <w:p w:rsidR="00A63476" w:rsidRDefault="00A63476">
      <w:pPr>
        <w:pStyle w:val="Textoindependiente"/>
        <w:spacing w:before="5"/>
        <w:ind w:left="0" w:right="0" w:firstLine="0"/>
        <w:jc w:val="left"/>
        <w:rPr>
          <w:sz w:val="10"/>
        </w:rPr>
      </w:pPr>
    </w:p>
    <w:tbl>
      <w:tblPr>
        <w:tblStyle w:val="TableNormal"/>
        <w:tblW w:w="0" w:type="auto"/>
        <w:tblInd w:w="678" w:type="dxa"/>
        <w:tblBorders>
          <w:top w:val="single" w:sz="6" w:space="0" w:color="404040"/>
          <w:left w:val="single" w:sz="6" w:space="0" w:color="404040"/>
          <w:bottom w:val="single" w:sz="6" w:space="0" w:color="404040"/>
          <w:right w:val="single" w:sz="6" w:space="0" w:color="404040"/>
          <w:insideH w:val="single" w:sz="6" w:space="0" w:color="404040"/>
          <w:insideV w:val="single" w:sz="6" w:space="0" w:color="404040"/>
        </w:tblBorders>
        <w:tblLayout w:type="fixed"/>
        <w:tblLook w:val="01E0" w:firstRow="1" w:lastRow="1" w:firstColumn="1" w:lastColumn="1" w:noHBand="0" w:noVBand="0"/>
      </w:tblPr>
      <w:tblGrid>
        <w:gridCol w:w="1937"/>
        <w:gridCol w:w="2319"/>
        <w:gridCol w:w="2843"/>
        <w:gridCol w:w="1586"/>
      </w:tblGrid>
      <w:tr w:rsidR="00A63476">
        <w:trPr>
          <w:trHeight w:val="661"/>
        </w:trPr>
        <w:tc>
          <w:tcPr>
            <w:tcW w:w="8685" w:type="dxa"/>
            <w:gridSpan w:val="4"/>
            <w:shd w:val="clear" w:color="auto" w:fill="DFDFDF"/>
          </w:tcPr>
          <w:p w:rsidR="00A63476" w:rsidRDefault="00D22874">
            <w:pPr>
              <w:pStyle w:val="TableParagraph"/>
              <w:spacing w:before="58" w:line="260" w:lineRule="atLeast"/>
              <w:ind w:left="3829" w:right="7" w:hanging="3720"/>
              <w:rPr>
                <w:b/>
                <w:sz w:val="16"/>
              </w:rPr>
            </w:pPr>
            <w:r>
              <w:rPr>
                <w:b/>
                <w:sz w:val="16"/>
              </w:rPr>
              <w:t>C.- FICHA DE PUNTAJE DE UBICACIÓN Y SUSTENTABILIDAD DEL EN</w:t>
            </w:r>
            <w:r>
              <w:rPr>
                <w:b/>
                <w:sz w:val="16"/>
              </w:rPr>
              <w:t>TORNO DE AUTOPRODUCCIÓN URBANA DE VIVIENDA</w:t>
            </w:r>
          </w:p>
        </w:tc>
      </w:tr>
      <w:tr w:rsidR="00A63476">
        <w:trPr>
          <w:trHeight w:val="401"/>
        </w:trPr>
        <w:tc>
          <w:tcPr>
            <w:tcW w:w="1937" w:type="dxa"/>
            <w:shd w:val="clear" w:color="auto" w:fill="DFDFDF"/>
          </w:tcPr>
          <w:p w:rsidR="00A63476" w:rsidRDefault="00D22874">
            <w:pPr>
              <w:pStyle w:val="TableParagraph"/>
              <w:spacing w:before="137"/>
              <w:ind w:left="509"/>
              <w:rPr>
                <w:b/>
                <w:sz w:val="16"/>
              </w:rPr>
            </w:pPr>
            <w:r>
              <w:rPr>
                <w:b/>
                <w:sz w:val="16"/>
              </w:rPr>
              <w:t>DIMENSIÓN</w:t>
            </w:r>
          </w:p>
        </w:tc>
        <w:tc>
          <w:tcPr>
            <w:tcW w:w="5162" w:type="dxa"/>
            <w:gridSpan w:val="2"/>
            <w:shd w:val="clear" w:color="auto" w:fill="DFDFDF"/>
          </w:tcPr>
          <w:p w:rsidR="00A63476" w:rsidRDefault="00D22874">
            <w:pPr>
              <w:pStyle w:val="TableParagraph"/>
              <w:spacing w:before="137"/>
              <w:ind w:left="1986" w:right="1983"/>
              <w:jc w:val="center"/>
              <w:rPr>
                <w:b/>
                <w:sz w:val="16"/>
              </w:rPr>
            </w:pPr>
            <w:r>
              <w:rPr>
                <w:b/>
                <w:sz w:val="16"/>
              </w:rPr>
              <w:t>PARÁMETROS</w:t>
            </w:r>
          </w:p>
        </w:tc>
        <w:tc>
          <w:tcPr>
            <w:tcW w:w="1586" w:type="dxa"/>
            <w:shd w:val="clear" w:color="auto" w:fill="DFDFDF"/>
          </w:tcPr>
          <w:p w:rsidR="00A63476" w:rsidRDefault="00D22874">
            <w:pPr>
              <w:pStyle w:val="TableParagraph"/>
              <w:spacing w:before="137"/>
              <w:ind w:left="404" w:right="380"/>
              <w:jc w:val="center"/>
              <w:rPr>
                <w:b/>
                <w:sz w:val="16"/>
              </w:rPr>
            </w:pPr>
            <w:r>
              <w:rPr>
                <w:b/>
                <w:sz w:val="16"/>
              </w:rPr>
              <w:t>PUNTAJE</w:t>
            </w:r>
          </w:p>
        </w:tc>
      </w:tr>
      <w:tr w:rsidR="00A63476">
        <w:trPr>
          <w:trHeight w:val="401"/>
        </w:trPr>
        <w:tc>
          <w:tcPr>
            <w:tcW w:w="1937" w:type="dxa"/>
            <w:vMerge w:val="restart"/>
          </w:tcPr>
          <w:p w:rsidR="00A63476" w:rsidRDefault="00A63476">
            <w:pPr>
              <w:pStyle w:val="TableParagraph"/>
              <w:rPr>
                <w:sz w:val="18"/>
              </w:rPr>
            </w:pPr>
          </w:p>
          <w:p w:rsidR="00A63476" w:rsidRDefault="00A63476">
            <w:pPr>
              <w:pStyle w:val="TableParagraph"/>
              <w:spacing w:before="6"/>
              <w:rPr>
                <w:sz w:val="18"/>
              </w:rPr>
            </w:pPr>
          </w:p>
          <w:p w:rsidR="00A63476" w:rsidRDefault="00D22874">
            <w:pPr>
              <w:pStyle w:val="TableParagraph"/>
              <w:ind w:left="89"/>
              <w:rPr>
                <w:b/>
                <w:sz w:val="16"/>
              </w:rPr>
            </w:pPr>
            <w:r>
              <w:rPr>
                <w:b/>
                <w:sz w:val="16"/>
              </w:rPr>
              <w:t>UBICACIÓN</w:t>
            </w:r>
            <w:r>
              <w:rPr>
                <w:b/>
                <w:position w:val="4"/>
                <w:sz w:val="10"/>
              </w:rPr>
              <w:t xml:space="preserve">1 </w:t>
            </w:r>
            <w:r>
              <w:rPr>
                <w:b/>
                <w:sz w:val="16"/>
              </w:rPr>
              <w:t>(máx: 400</w:t>
            </w:r>
          </w:p>
          <w:p w:rsidR="00A63476" w:rsidRDefault="00D22874">
            <w:pPr>
              <w:pStyle w:val="TableParagraph"/>
              <w:spacing w:before="76"/>
              <w:ind w:left="89"/>
              <w:rPr>
                <w:b/>
                <w:sz w:val="16"/>
              </w:rPr>
            </w:pPr>
            <w:r>
              <w:rPr>
                <w:b/>
                <w:sz w:val="16"/>
              </w:rPr>
              <w:t>pts.)</w:t>
            </w:r>
          </w:p>
        </w:tc>
        <w:tc>
          <w:tcPr>
            <w:tcW w:w="5162" w:type="dxa"/>
            <w:gridSpan w:val="2"/>
          </w:tcPr>
          <w:p w:rsidR="00A63476" w:rsidRDefault="00D22874">
            <w:pPr>
              <w:pStyle w:val="TableParagraph"/>
              <w:spacing w:before="140"/>
              <w:ind w:left="92"/>
              <w:rPr>
                <w:sz w:val="16"/>
              </w:rPr>
            </w:pPr>
            <w:r>
              <w:rPr>
                <w:sz w:val="16"/>
              </w:rPr>
              <w:t>U1</w:t>
            </w:r>
          </w:p>
        </w:tc>
        <w:tc>
          <w:tcPr>
            <w:tcW w:w="1586" w:type="dxa"/>
          </w:tcPr>
          <w:p w:rsidR="00A63476" w:rsidRDefault="00D22874">
            <w:pPr>
              <w:pStyle w:val="TableParagraph"/>
              <w:spacing w:before="140"/>
              <w:ind w:left="379" w:right="380"/>
              <w:jc w:val="center"/>
              <w:rPr>
                <w:sz w:val="16"/>
              </w:rPr>
            </w:pPr>
            <w:r>
              <w:rPr>
                <w:sz w:val="16"/>
              </w:rPr>
              <w:t>400</w:t>
            </w:r>
          </w:p>
        </w:tc>
      </w:tr>
      <w:tr w:rsidR="00A63476">
        <w:trPr>
          <w:trHeight w:val="401"/>
        </w:trPr>
        <w:tc>
          <w:tcPr>
            <w:tcW w:w="1937" w:type="dxa"/>
            <w:vMerge/>
            <w:tcBorders>
              <w:top w:val="nil"/>
            </w:tcBorders>
          </w:tcPr>
          <w:p w:rsidR="00A63476" w:rsidRDefault="00A63476">
            <w:pPr>
              <w:rPr>
                <w:sz w:val="2"/>
                <w:szCs w:val="2"/>
              </w:rPr>
            </w:pPr>
          </w:p>
        </w:tc>
        <w:tc>
          <w:tcPr>
            <w:tcW w:w="5162" w:type="dxa"/>
            <w:gridSpan w:val="2"/>
          </w:tcPr>
          <w:p w:rsidR="00A63476" w:rsidRDefault="00D22874">
            <w:pPr>
              <w:pStyle w:val="TableParagraph"/>
              <w:spacing w:before="143"/>
              <w:ind w:left="92"/>
              <w:rPr>
                <w:sz w:val="16"/>
              </w:rPr>
            </w:pPr>
            <w:r>
              <w:rPr>
                <w:sz w:val="16"/>
              </w:rPr>
              <w:t>U2</w:t>
            </w:r>
          </w:p>
        </w:tc>
        <w:tc>
          <w:tcPr>
            <w:tcW w:w="1586" w:type="dxa"/>
          </w:tcPr>
          <w:p w:rsidR="00A63476" w:rsidRDefault="00D22874">
            <w:pPr>
              <w:pStyle w:val="TableParagraph"/>
              <w:spacing w:before="143"/>
              <w:ind w:left="379" w:right="380"/>
              <w:jc w:val="center"/>
              <w:rPr>
                <w:sz w:val="16"/>
              </w:rPr>
            </w:pPr>
            <w:r>
              <w:rPr>
                <w:sz w:val="16"/>
              </w:rPr>
              <w:t>320</w:t>
            </w:r>
          </w:p>
        </w:tc>
      </w:tr>
      <w:tr w:rsidR="00A63476">
        <w:trPr>
          <w:trHeight w:val="401"/>
        </w:trPr>
        <w:tc>
          <w:tcPr>
            <w:tcW w:w="1937" w:type="dxa"/>
            <w:vMerge/>
            <w:tcBorders>
              <w:top w:val="nil"/>
            </w:tcBorders>
          </w:tcPr>
          <w:p w:rsidR="00A63476" w:rsidRDefault="00A63476">
            <w:pPr>
              <w:rPr>
                <w:sz w:val="2"/>
                <w:szCs w:val="2"/>
              </w:rPr>
            </w:pPr>
          </w:p>
        </w:tc>
        <w:tc>
          <w:tcPr>
            <w:tcW w:w="5162" w:type="dxa"/>
            <w:gridSpan w:val="2"/>
          </w:tcPr>
          <w:p w:rsidR="00A63476" w:rsidRDefault="00D22874">
            <w:pPr>
              <w:pStyle w:val="TableParagraph"/>
              <w:spacing w:before="146"/>
              <w:ind w:left="92"/>
              <w:rPr>
                <w:sz w:val="16"/>
              </w:rPr>
            </w:pPr>
            <w:r>
              <w:rPr>
                <w:sz w:val="16"/>
              </w:rPr>
              <w:t>U3</w:t>
            </w:r>
          </w:p>
        </w:tc>
        <w:tc>
          <w:tcPr>
            <w:tcW w:w="1586" w:type="dxa"/>
          </w:tcPr>
          <w:p w:rsidR="00A63476" w:rsidRDefault="00D22874">
            <w:pPr>
              <w:pStyle w:val="TableParagraph"/>
              <w:spacing w:before="146"/>
              <w:ind w:left="379" w:right="380"/>
              <w:jc w:val="center"/>
              <w:rPr>
                <w:sz w:val="16"/>
              </w:rPr>
            </w:pPr>
            <w:r>
              <w:rPr>
                <w:sz w:val="16"/>
              </w:rPr>
              <w:t>250</w:t>
            </w:r>
          </w:p>
        </w:tc>
      </w:tr>
      <w:tr w:rsidR="00A63476">
        <w:trPr>
          <w:trHeight w:val="408"/>
        </w:trPr>
        <w:tc>
          <w:tcPr>
            <w:tcW w:w="1937" w:type="dxa"/>
            <w:vMerge w:val="restart"/>
          </w:tcPr>
          <w:p w:rsidR="00A63476" w:rsidRDefault="00A63476">
            <w:pPr>
              <w:pStyle w:val="TableParagraph"/>
              <w:rPr>
                <w:sz w:val="18"/>
              </w:rPr>
            </w:pPr>
          </w:p>
          <w:p w:rsidR="00A63476" w:rsidRDefault="00A63476">
            <w:pPr>
              <w:pStyle w:val="TableParagraph"/>
              <w:rPr>
                <w:sz w:val="18"/>
              </w:rPr>
            </w:pPr>
          </w:p>
          <w:p w:rsidR="00A63476" w:rsidRDefault="00A63476">
            <w:pPr>
              <w:pStyle w:val="TableParagraph"/>
              <w:rPr>
                <w:sz w:val="18"/>
              </w:rPr>
            </w:pPr>
          </w:p>
          <w:p w:rsidR="00A63476" w:rsidRDefault="00A63476">
            <w:pPr>
              <w:pStyle w:val="TableParagraph"/>
              <w:rPr>
                <w:sz w:val="18"/>
              </w:rPr>
            </w:pPr>
          </w:p>
          <w:p w:rsidR="00A63476" w:rsidRDefault="00A63476">
            <w:pPr>
              <w:pStyle w:val="TableParagraph"/>
              <w:rPr>
                <w:sz w:val="18"/>
              </w:rPr>
            </w:pPr>
          </w:p>
          <w:p w:rsidR="00A63476" w:rsidRDefault="00A63476">
            <w:pPr>
              <w:pStyle w:val="TableParagraph"/>
              <w:rPr>
                <w:sz w:val="18"/>
              </w:rPr>
            </w:pPr>
          </w:p>
          <w:p w:rsidR="00A63476" w:rsidRDefault="00A63476">
            <w:pPr>
              <w:pStyle w:val="TableParagraph"/>
              <w:spacing w:before="6"/>
              <w:rPr>
                <w:sz w:val="21"/>
              </w:rPr>
            </w:pPr>
          </w:p>
          <w:p w:rsidR="00A63476" w:rsidRDefault="00D22874">
            <w:pPr>
              <w:pStyle w:val="TableParagraph"/>
              <w:spacing w:line="338" w:lineRule="auto"/>
              <w:ind w:left="89"/>
              <w:rPr>
                <w:b/>
                <w:sz w:val="10"/>
              </w:rPr>
            </w:pPr>
            <w:r>
              <w:rPr>
                <w:b/>
                <w:sz w:val="16"/>
              </w:rPr>
              <w:t>EQUIPAMIENTO Y SERVICIOS</w:t>
            </w:r>
            <w:r>
              <w:rPr>
                <w:b/>
                <w:position w:val="4"/>
                <w:sz w:val="10"/>
              </w:rPr>
              <w:t>2</w:t>
            </w:r>
          </w:p>
          <w:p w:rsidR="00A63476" w:rsidRDefault="00D22874">
            <w:pPr>
              <w:pStyle w:val="TableParagraph"/>
              <w:spacing w:before="61"/>
              <w:ind w:left="89"/>
              <w:rPr>
                <w:b/>
                <w:sz w:val="16"/>
              </w:rPr>
            </w:pPr>
            <w:r>
              <w:rPr>
                <w:b/>
                <w:sz w:val="16"/>
              </w:rPr>
              <w:t>(máx: 250 pts.)</w:t>
            </w:r>
          </w:p>
        </w:tc>
        <w:tc>
          <w:tcPr>
            <w:tcW w:w="5162" w:type="dxa"/>
            <w:gridSpan w:val="2"/>
          </w:tcPr>
          <w:p w:rsidR="00A63476" w:rsidRDefault="00D22874">
            <w:pPr>
              <w:pStyle w:val="TableParagraph"/>
              <w:spacing w:before="149"/>
              <w:ind w:left="92"/>
              <w:rPr>
                <w:sz w:val="16"/>
              </w:rPr>
            </w:pPr>
            <w:r>
              <w:rPr>
                <w:sz w:val="16"/>
              </w:rPr>
              <w:t>Equipamiento de salud a menos de 2.5 km</w:t>
            </w:r>
          </w:p>
        </w:tc>
        <w:tc>
          <w:tcPr>
            <w:tcW w:w="1586" w:type="dxa"/>
          </w:tcPr>
          <w:p w:rsidR="00A63476" w:rsidRDefault="00D22874">
            <w:pPr>
              <w:pStyle w:val="TableParagraph"/>
              <w:spacing w:before="149"/>
              <w:ind w:left="404" w:right="377"/>
              <w:jc w:val="center"/>
              <w:rPr>
                <w:sz w:val="16"/>
              </w:rPr>
            </w:pPr>
            <w:r>
              <w:rPr>
                <w:sz w:val="16"/>
              </w:rPr>
              <w:t>50</w:t>
            </w:r>
          </w:p>
        </w:tc>
      </w:tr>
      <w:tr w:rsidR="00A63476">
        <w:trPr>
          <w:trHeight w:val="408"/>
        </w:trPr>
        <w:tc>
          <w:tcPr>
            <w:tcW w:w="1937" w:type="dxa"/>
            <w:vMerge/>
            <w:tcBorders>
              <w:top w:val="nil"/>
            </w:tcBorders>
          </w:tcPr>
          <w:p w:rsidR="00A63476" w:rsidRDefault="00A63476">
            <w:pPr>
              <w:rPr>
                <w:sz w:val="2"/>
                <w:szCs w:val="2"/>
              </w:rPr>
            </w:pPr>
          </w:p>
        </w:tc>
        <w:tc>
          <w:tcPr>
            <w:tcW w:w="5162" w:type="dxa"/>
            <w:gridSpan w:val="2"/>
          </w:tcPr>
          <w:p w:rsidR="00A63476" w:rsidRDefault="00D22874">
            <w:pPr>
              <w:pStyle w:val="TableParagraph"/>
              <w:spacing w:before="146"/>
              <w:ind w:left="92"/>
              <w:rPr>
                <w:sz w:val="16"/>
              </w:rPr>
            </w:pPr>
            <w:r>
              <w:rPr>
                <w:sz w:val="16"/>
              </w:rPr>
              <w:t>Jardín de niños a menos de 1 km</w:t>
            </w:r>
          </w:p>
        </w:tc>
        <w:tc>
          <w:tcPr>
            <w:tcW w:w="1586" w:type="dxa"/>
          </w:tcPr>
          <w:p w:rsidR="00A63476" w:rsidRDefault="00D22874">
            <w:pPr>
              <w:pStyle w:val="TableParagraph"/>
              <w:spacing w:before="146"/>
              <w:ind w:left="404" w:right="377"/>
              <w:jc w:val="center"/>
              <w:rPr>
                <w:sz w:val="16"/>
              </w:rPr>
            </w:pPr>
            <w:r>
              <w:rPr>
                <w:sz w:val="16"/>
              </w:rPr>
              <w:t>50</w:t>
            </w:r>
          </w:p>
        </w:tc>
      </w:tr>
      <w:tr w:rsidR="00A63476">
        <w:trPr>
          <w:trHeight w:val="408"/>
        </w:trPr>
        <w:tc>
          <w:tcPr>
            <w:tcW w:w="1937" w:type="dxa"/>
            <w:vMerge/>
            <w:tcBorders>
              <w:top w:val="nil"/>
            </w:tcBorders>
          </w:tcPr>
          <w:p w:rsidR="00A63476" w:rsidRDefault="00A63476">
            <w:pPr>
              <w:rPr>
                <w:sz w:val="2"/>
                <w:szCs w:val="2"/>
              </w:rPr>
            </w:pPr>
          </w:p>
        </w:tc>
        <w:tc>
          <w:tcPr>
            <w:tcW w:w="5162" w:type="dxa"/>
            <w:gridSpan w:val="2"/>
          </w:tcPr>
          <w:p w:rsidR="00A63476" w:rsidRDefault="00D22874">
            <w:pPr>
              <w:pStyle w:val="TableParagraph"/>
              <w:spacing w:before="143"/>
              <w:ind w:left="92"/>
              <w:rPr>
                <w:sz w:val="16"/>
              </w:rPr>
            </w:pPr>
            <w:r>
              <w:rPr>
                <w:sz w:val="16"/>
              </w:rPr>
              <w:t>Escuela primaria a menos de 2 km</w:t>
            </w:r>
          </w:p>
        </w:tc>
        <w:tc>
          <w:tcPr>
            <w:tcW w:w="1586" w:type="dxa"/>
          </w:tcPr>
          <w:p w:rsidR="00A63476" w:rsidRDefault="00D22874">
            <w:pPr>
              <w:pStyle w:val="TableParagraph"/>
              <w:spacing w:before="143"/>
              <w:ind w:left="404" w:right="377"/>
              <w:jc w:val="center"/>
              <w:rPr>
                <w:sz w:val="16"/>
              </w:rPr>
            </w:pPr>
            <w:r>
              <w:rPr>
                <w:sz w:val="16"/>
              </w:rPr>
              <w:t>50</w:t>
            </w:r>
          </w:p>
        </w:tc>
      </w:tr>
      <w:tr w:rsidR="00A63476">
        <w:trPr>
          <w:trHeight w:val="408"/>
        </w:trPr>
        <w:tc>
          <w:tcPr>
            <w:tcW w:w="1937" w:type="dxa"/>
            <w:vMerge/>
            <w:tcBorders>
              <w:top w:val="nil"/>
            </w:tcBorders>
          </w:tcPr>
          <w:p w:rsidR="00A63476" w:rsidRDefault="00A63476">
            <w:pPr>
              <w:rPr>
                <w:sz w:val="2"/>
                <w:szCs w:val="2"/>
              </w:rPr>
            </w:pPr>
          </w:p>
        </w:tc>
        <w:tc>
          <w:tcPr>
            <w:tcW w:w="5162" w:type="dxa"/>
            <w:gridSpan w:val="2"/>
          </w:tcPr>
          <w:p w:rsidR="00A63476" w:rsidRDefault="00D22874">
            <w:pPr>
              <w:pStyle w:val="TableParagraph"/>
              <w:spacing w:before="139"/>
              <w:ind w:left="92"/>
              <w:rPr>
                <w:sz w:val="16"/>
              </w:rPr>
            </w:pPr>
            <w:r>
              <w:rPr>
                <w:sz w:val="16"/>
              </w:rPr>
              <w:t>Escuela secundaria a menos de 4 km</w:t>
            </w:r>
          </w:p>
        </w:tc>
        <w:tc>
          <w:tcPr>
            <w:tcW w:w="1586" w:type="dxa"/>
          </w:tcPr>
          <w:p w:rsidR="00A63476" w:rsidRDefault="00D22874">
            <w:pPr>
              <w:pStyle w:val="TableParagraph"/>
              <w:spacing w:before="139"/>
              <w:ind w:left="404" w:right="377"/>
              <w:jc w:val="center"/>
              <w:rPr>
                <w:sz w:val="16"/>
              </w:rPr>
            </w:pPr>
            <w:r>
              <w:rPr>
                <w:sz w:val="16"/>
              </w:rPr>
              <w:t>50</w:t>
            </w:r>
          </w:p>
        </w:tc>
      </w:tr>
      <w:tr w:rsidR="00A63476">
        <w:trPr>
          <w:trHeight w:val="676"/>
        </w:trPr>
        <w:tc>
          <w:tcPr>
            <w:tcW w:w="1937" w:type="dxa"/>
            <w:vMerge/>
            <w:tcBorders>
              <w:top w:val="nil"/>
            </w:tcBorders>
          </w:tcPr>
          <w:p w:rsidR="00A63476" w:rsidRDefault="00A63476">
            <w:pPr>
              <w:rPr>
                <w:sz w:val="2"/>
                <w:szCs w:val="2"/>
              </w:rPr>
            </w:pPr>
          </w:p>
        </w:tc>
        <w:tc>
          <w:tcPr>
            <w:tcW w:w="5162" w:type="dxa"/>
            <w:gridSpan w:val="2"/>
          </w:tcPr>
          <w:p w:rsidR="00A63476" w:rsidRDefault="00D22874">
            <w:pPr>
              <w:pStyle w:val="TableParagraph"/>
              <w:spacing w:before="40" w:line="280" w:lineRule="atLeast"/>
              <w:ind w:left="92"/>
              <w:rPr>
                <w:sz w:val="16"/>
              </w:rPr>
            </w:pPr>
            <w:r>
              <w:rPr>
                <w:sz w:val="16"/>
              </w:rPr>
              <w:t>Tienda de Abasto o Mercado acorde con criterio de INFONAVIT a menos de 2 km.</w:t>
            </w:r>
          </w:p>
        </w:tc>
        <w:tc>
          <w:tcPr>
            <w:tcW w:w="1586" w:type="dxa"/>
          </w:tcPr>
          <w:p w:rsidR="00A63476" w:rsidRDefault="00D22874">
            <w:pPr>
              <w:pStyle w:val="TableParagraph"/>
              <w:spacing w:before="136"/>
              <w:ind w:left="404" w:right="377"/>
              <w:jc w:val="center"/>
              <w:rPr>
                <w:sz w:val="16"/>
              </w:rPr>
            </w:pPr>
            <w:r>
              <w:rPr>
                <w:sz w:val="16"/>
              </w:rPr>
              <w:t>10</w:t>
            </w:r>
          </w:p>
        </w:tc>
      </w:tr>
      <w:tr w:rsidR="00A63476">
        <w:trPr>
          <w:trHeight w:val="1292"/>
        </w:trPr>
        <w:tc>
          <w:tcPr>
            <w:tcW w:w="1937" w:type="dxa"/>
            <w:vMerge/>
            <w:tcBorders>
              <w:top w:val="nil"/>
            </w:tcBorders>
          </w:tcPr>
          <w:p w:rsidR="00A63476" w:rsidRDefault="00A63476">
            <w:pPr>
              <w:rPr>
                <w:sz w:val="2"/>
                <w:szCs w:val="2"/>
              </w:rPr>
            </w:pPr>
          </w:p>
        </w:tc>
        <w:tc>
          <w:tcPr>
            <w:tcW w:w="5162" w:type="dxa"/>
            <w:gridSpan w:val="2"/>
          </w:tcPr>
          <w:p w:rsidR="00A63476" w:rsidRDefault="00D22874">
            <w:pPr>
              <w:pStyle w:val="TableParagraph"/>
              <w:spacing w:before="145"/>
              <w:ind w:left="92"/>
              <w:rPr>
                <w:sz w:val="16"/>
              </w:rPr>
            </w:pPr>
            <w:r>
              <w:rPr>
                <w:sz w:val="16"/>
              </w:rPr>
              <w:t>Transporte público:</w:t>
            </w:r>
          </w:p>
          <w:p w:rsidR="00A63476" w:rsidRDefault="00D22874">
            <w:pPr>
              <w:pStyle w:val="TableParagraph"/>
              <w:spacing w:before="116" w:line="364" w:lineRule="auto"/>
              <w:ind w:left="92"/>
              <w:rPr>
                <w:sz w:val="16"/>
              </w:rPr>
            </w:pPr>
            <w:r>
              <w:rPr>
                <w:sz w:val="16"/>
              </w:rPr>
              <w:t>Paraderos de transporte a una distancia de hasta 300 m siempre y cuando no existan obstáculos que impidan el acceso libre</w:t>
            </w:r>
          </w:p>
          <w:p w:rsidR="00A63476" w:rsidRDefault="00D22874">
            <w:pPr>
              <w:pStyle w:val="TableParagraph"/>
              <w:spacing w:before="20"/>
              <w:ind w:left="92"/>
              <w:rPr>
                <w:sz w:val="16"/>
              </w:rPr>
            </w:pPr>
            <w:r>
              <w:rPr>
                <w:sz w:val="16"/>
              </w:rPr>
              <w:t>Frecuencia. Más de una ruta en un radio de 300 m</w:t>
            </w:r>
          </w:p>
        </w:tc>
        <w:tc>
          <w:tcPr>
            <w:tcW w:w="1586" w:type="dxa"/>
          </w:tcPr>
          <w:p w:rsidR="00A63476" w:rsidRDefault="00A63476">
            <w:pPr>
              <w:pStyle w:val="TableParagraph"/>
              <w:rPr>
                <w:sz w:val="18"/>
              </w:rPr>
            </w:pPr>
          </w:p>
          <w:p w:rsidR="00A63476" w:rsidRDefault="00A63476">
            <w:pPr>
              <w:pStyle w:val="TableParagraph"/>
              <w:rPr>
                <w:sz w:val="18"/>
              </w:rPr>
            </w:pPr>
          </w:p>
          <w:p w:rsidR="00A63476" w:rsidRDefault="00A63476">
            <w:pPr>
              <w:pStyle w:val="TableParagraph"/>
              <w:spacing w:before="10"/>
              <w:rPr>
                <w:sz w:val="14"/>
              </w:rPr>
            </w:pPr>
          </w:p>
          <w:p w:rsidR="00A63476" w:rsidRDefault="00D22874">
            <w:pPr>
              <w:pStyle w:val="TableParagraph"/>
              <w:ind w:left="404" w:right="377"/>
              <w:jc w:val="center"/>
              <w:rPr>
                <w:sz w:val="16"/>
              </w:rPr>
            </w:pPr>
            <w:r>
              <w:rPr>
                <w:sz w:val="16"/>
              </w:rPr>
              <w:t>40</w:t>
            </w:r>
          </w:p>
        </w:tc>
      </w:tr>
      <w:tr w:rsidR="00A63476">
        <w:trPr>
          <w:trHeight w:val="401"/>
        </w:trPr>
        <w:tc>
          <w:tcPr>
            <w:tcW w:w="1937" w:type="dxa"/>
            <w:vMerge w:val="restart"/>
            <w:tcBorders>
              <w:bottom w:val="nil"/>
            </w:tcBorders>
          </w:tcPr>
          <w:p w:rsidR="00A63476" w:rsidRDefault="00A63476">
            <w:pPr>
              <w:pStyle w:val="TableParagraph"/>
              <w:rPr>
                <w:rFonts w:ascii="Times New Roman"/>
                <w:sz w:val="16"/>
              </w:rPr>
            </w:pPr>
          </w:p>
        </w:tc>
        <w:tc>
          <w:tcPr>
            <w:tcW w:w="2319" w:type="dxa"/>
            <w:vMerge w:val="restart"/>
          </w:tcPr>
          <w:p w:rsidR="00A63476" w:rsidRDefault="00A63476">
            <w:pPr>
              <w:pStyle w:val="TableParagraph"/>
              <w:rPr>
                <w:sz w:val="18"/>
              </w:rPr>
            </w:pPr>
          </w:p>
          <w:p w:rsidR="00A63476" w:rsidRDefault="00A63476">
            <w:pPr>
              <w:pStyle w:val="TableParagraph"/>
              <w:rPr>
                <w:sz w:val="18"/>
              </w:rPr>
            </w:pPr>
          </w:p>
          <w:p w:rsidR="00A63476" w:rsidRDefault="00A63476">
            <w:pPr>
              <w:pStyle w:val="TableParagraph"/>
              <w:spacing w:before="10"/>
            </w:pPr>
          </w:p>
          <w:p w:rsidR="00A63476" w:rsidRDefault="00D22874">
            <w:pPr>
              <w:pStyle w:val="TableParagraph"/>
              <w:ind w:left="92"/>
              <w:rPr>
                <w:sz w:val="16"/>
              </w:rPr>
            </w:pPr>
            <w:r>
              <w:rPr>
                <w:sz w:val="16"/>
              </w:rPr>
              <w:t>Cohesión social</w:t>
            </w:r>
          </w:p>
        </w:tc>
        <w:tc>
          <w:tcPr>
            <w:tcW w:w="2843" w:type="dxa"/>
          </w:tcPr>
          <w:p w:rsidR="00A63476" w:rsidRDefault="00D22874">
            <w:pPr>
              <w:pStyle w:val="TableParagraph"/>
              <w:spacing w:before="137"/>
              <w:ind w:left="93"/>
              <w:rPr>
                <w:sz w:val="16"/>
              </w:rPr>
            </w:pPr>
            <w:r>
              <w:rPr>
                <w:sz w:val="16"/>
              </w:rPr>
              <w:t>Inclusión social</w:t>
            </w:r>
          </w:p>
        </w:tc>
        <w:tc>
          <w:tcPr>
            <w:tcW w:w="1586" w:type="dxa"/>
          </w:tcPr>
          <w:p w:rsidR="00A63476" w:rsidRDefault="00D22874">
            <w:pPr>
              <w:pStyle w:val="TableParagraph"/>
              <w:spacing w:before="137"/>
              <w:ind w:left="404" w:right="377"/>
              <w:jc w:val="center"/>
              <w:rPr>
                <w:sz w:val="16"/>
              </w:rPr>
            </w:pPr>
            <w:r>
              <w:rPr>
                <w:sz w:val="16"/>
              </w:rPr>
              <w:t>10</w:t>
            </w:r>
          </w:p>
        </w:tc>
      </w:tr>
      <w:tr w:rsidR="00A63476">
        <w:trPr>
          <w:trHeight w:val="401"/>
        </w:trPr>
        <w:tc>
          <w:tcPr>
            <w:tcW w:w="1937" w:type="dxa"/>
            <w:vMerge/>
            <w:tcBorders>
              <w:top w:val="nil"/>
              <w:bottom w:val="nil"/>
            </w:tcBorders>
          </w:tcPr>
          <w:p w:rsidR="00A63476" w:rsidRDefault="00A63476">
            <w:pPr>
              <w:rPr>
                <w:sz w:val="2"/>
                <w:szCs w:val="2"/>
              </w:rPr>
            </w:pPr>
          </w:p>
        </w:tc>
        <w:tc>
          <w:tcPr>
            <w:tcW w:w="2319" w:type="dxa"/>
            <w:vMerge/>
            <w:tcBorders>
              <w:top w:val="nil"/>
            </w:tcBorders>
          </w:tcPr>
          <w:p w:rsidR="00A63476" w:rsidRDefault="00A63476">
            <w:pPr>
              <w:rPr>
                <w:sz w:val="2"/>
                <w:szCs w:val="2"/>
              </w:rPr>
            </w:pPr>
          </w:p>
        </w:tc>
        <w:tc>
          <w:tcPr>
            <w:tcW w:w="2843" w:type="dxa"/>
          </w:tcPr>
          <w:p w:rsidR="00A63476" w:rsidRDefault="00D22874">
            <w:pPr>
              <w:pStyle w:val="TableParagraph"/>
              <w:spacing w:before="141"/>
              <w:ind w:left="93"/>
              <w:rPr>
                <w:sz w:val="16"/>
              </w:rPr>
            </w:pPr>
            <w:r>
              <w:rPr>
                <w:sz w:val="16"/>
              </w:rPr>
              <w:t>Organización comunitaria</w:t>
            </w:r>
          </w:p>
        </w:tc>
        <w:tc>
          <w:tcPr>
            <w:tcW w:w="1586" w:type="dxa"/>
          </w:tcPr>
          <w:p w:rsidR="00A63476" w:rsidRDefault="00D22874">
            <w:pPr>
              <w:pStyle w:val="TableParagraph"/>
              <w:spacing w:before="141"/>
              <w:ind w:left="404" w:right="377"/>
              <w:jc w:val="center"/>
              <w:rPr>
                <w:sz w:val="16"/>
              </w:rPr>
            </w:pPr>
            <w:r>
              <w:rPr>
                <w:sz w:val="16"/>
              </w:rPr>
              <w:t>10</w:t>
            </w:r>
          </w:p>
        </w:tc>
      </w:tr>
      <w:tr w:rsidR="00A63476">
        <w:trPr>
          <w:trHeight w:val="661"/>
        </w:trPr>
        <w:tc>
          <w:tcPr>
            <w:tcW w:w="1937" w:type="dxa"/>
            <w:vMerge/>
            <w:tcBorders>
              <w:top w:val="nil"/>
              <w:bottom w:val="nil"/>
            </w:tcBorders>
          </w:tcPr>
          <w:p w:rsidR="00A63476" w:rsidRDefault="00A63476">
            <w:pPr>
              <w:rPr>
                <w:sz w:val="2"/>
                <w:szCs w:val="2"/>
              </w:rPr>
            </w:pPr>
          </w:p>
        </w:tc>
        <w:tc>
          <w:tcPr>
            <w:tcW w:w="2319" w:type="dxa"/>
            <w:vMerge/>
            <w:tcBorders>
              <w:top w:val="nil"/>
            </w:tcBorders>
          </w:tcPr>
          <w:p w:rsidR="00A63476" w:rsidRDefault="00A63476">
            <w:pPr>
              <w:rPr>
                <w:sz w:val="2"/>
                <w:szCs w:val="2"/>
              </w:rPr>
            </w:pPr>
          </w:p>
        </w:tc>
        <w:tc>
          <w:tcPr>
            <w:tcW w:w="2843" w:type="dxa"/>
          </w:tcPr>
          <w:p w:rsidR="00A63476" w:rsidRDefault="00D22874">
            <w:pPr>
              <w:pStyle w:val="TableParagraph"/>
              <w:spacing w:before="68" w:line="260" w:lineRule="atLeast"/>
              <w:ind w:left="93"/>
              <w:rPr>
                <w:sz w:val="16"/>
              </w:rPr>
            </w:pPr>
            <w:r>
              <w:rPr>
                <w:sz w:val="16"/>
              </w:rPr>
              <w:t>Guía de mantenimiento para uso adecuado de la vivienda</w:t>
            </w:r>
          </w:p>
        </w:tc>
        <w:tc>
          <w:tcPr>
            <w:tcW w:w="1586" w:type="dxa"/>
          </w:tcPr>
          <w:p w:rsidR="00A63476" w:rsidRDefault="00D22874">
            <w:pPr>
              <w:pStyle w:val="TableParagraph"/>
              <w:spacing w:before="144"/>
              <w:ind w:left="404" w:right="377"/>
              <w:jc w:val="center"/>
              <w:rPr>
                <w:sz w:val="16"/>
              </w:rPr>
            </w:pPr>
            <w:r>
              <w:rPr>
                <w:sz w:val="16"/>
              </w:rPr>
              <w:t>25</w:t>
            </w:r>
          </w:p>
        </w:tc>
      </w:tr>
    </w:tbl>
    <w:p w:rsidR="00A63476" w:rsidRDefault="00A63476">
      <w:pPr>
        <w:jc w:val="center"/>
        <w:rPr>
          <w:sz w:val="16"/>
        </w:rPr>
        <w:sectPr w:rsidR="00A63476">
          <w:pgSz w:w="12240" w:h="15840"/>
          <w:pgMar w:top="880" w:right="1040" w:bottom="280" w:left="1180" w:header="699" w:footer="0" w:gutter="0"/>
          <w:cols w:space="720"/>
        </w:sectPr>
      </w:pPr>
    </w:p>
    <w:p w:rsidR="00A63476" w:rsidRDefault="00FF0FB3">
      <w:pPr>
        <w:pStyle w:val="Textoindependiente"/>
        <w:spacing w:line="20" w:lineRule="exact"/>
        <w:ind w:left="396" w:right="0" w:firstLine="0"/>
        <w:jc w:val="left"/>
        <w:rPr>
          <w:sz w:val="2"/>
        </w:rPr>
      </w:pPr>
      <w:r>
        <w:rPr>
          <w:noProof/>
          <w:sz w:val="2"/>
        </w:rPr>
        <w:lastRenderedPageBreak/>
        <mc:AlternateContent>
          <mc:Choice Requires="wpg">
            <w:drawing>
              <wp:inline distT="0" distB="0" distL="0" distR="0">
                <wp:extent cx="5852160" cy="9525"/>
                <wp:effectExtent l="10160" t="6985" r="5080" b="2540"/>
                <wp:docPr id="44" name="Group 21"/>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5852160" cy="9525"/>
                          <a:chOff x="0" y="0"/>
                          <a:chExt cx="9216" cy="15"/>
                        </a:xfrm>
                      </wpg:grpSpPr>
                      <wps:wsp>
                        <wps:cNvPr id="45" name="Line 22"/>
                        <wps:cNvCnPr>
                          <a:cxnSpLocks noChangeShapeType="1"/>
                        </wps:cNvCnPr>
                        <wps:spPr bwMode="auto">
                          <a:xfrm>
                            <a:off x="0" y="7"/>
                            <a:ext cx="9216" cy="0"/>
                          </a:xfrm>
                          <a:prstGeom prst="line">
                            <a:avLst/>
                          </a:prstGeom>
                          <a:noFill/>
                          <a:ln w="9525">
                            <a:solidFill>
                              <a:srgbClr val="000000"/>
                            </a:solidFill>
                            <a:prstDash val="solid"/>
                            <a:round/>
                            <a:headEnd/>
                            <a:tailEnd/>
                          </a:ln>
                          <a:extLst>
                            <a:ext uri="{909E8E84-426E-40DD-AFC4-6F175D3DCCD1}">
                              <a14:hiddenFill xmlns:a14="http://schemas.microsoft.com/office/drawing/2010/main">
                                <a:noFill/>
                              </a14:hiddenFill>
                            </a:ext>
                          </a:extLst>
                        </wps:spPr>
                        <wps:bodyPr/>
                      </wps:wsp>
                    </wpg:wgp>
                  </a:graphicData>
                </a:graphic>
              </wp:inline>
            </w:drawing>
          </mc:Choice>
          <mc:Fallback>
            <w:pict>
              <v:group w14:anchorId="141DDFA8" id="Group 21" o:spid="_x0000_s1026" style="width:460.8pt;height:.75pt;mso-position-horizontal-relative:char;mso-position-vertical-relative:line" coordsize="9216,1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">
                <v:line id="Line 22" o:spid="_x0000_s1027" style="position:absolute;visibility:visible;mso-wrap-style:square" from="0,7" to="9216,7"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"/>
                <w10:anchorlock/>
              </v:group>
            </w:pict>
          </mc:Fallback>
        </mc:AlternateContent>
      </w:r>
    </w:p>
    <w:p w:rsidR="00A63476" w:rsidRDefault="00A63476">
      <w:pPr>
        <w:pStyle w:val="Textoindependiente"/>
        <w:spacing w:before="3"/>
        <w:ind w:left="0" w:right="0" w:firstLine="0"/>
        <w:jc w:val="left"/>
        <w:rPr>
          <w:sz w:val="20"/>
        </w:rPr>
      </w:pPr>
    </w:p>
    <w:tbl>
      <w:tblPr>
        <w:tblStyle w:val="TableNormal"/>
        <w:tblW w:w="0" w:type="auto"/>
        <w:tblInd w:w="678" w:type="dxa"/>
        <w:tblBorders>
          <w:top w:val="single" w:sz="6" w:space="0" w:color="404040"/>
          <w:left w:val="single" w:sz="6" w:space="0" w:color="404040"/>
          <w:bottom w:val="single" w:sz="6" w:space="0" w:color="404040"/>
          <w:right w:val="single" w:sz="6" w:space="0" w:color="404040"/>
          <w:insideH w:val="single" w:sz="6" w:space="0" w:color="404040"/>
          <w:insideV w:val="single" w:sz="6" w:space="0" w:color="404040"/>
        </w:tblBorders>
        <w:tblLayout w:type="fixed"/>
        <w:tblLook w:val="01E0" w:firstRow="1" w:lastRow="1" w:firstColumn="1" w:lastColumn="1" w:noHBand="0" w:noVBand="0"/>
      </w:tblPr>
      <w:tblGrid>
        <w:gridCol w:w="1937"/>
        <w:gridCol w:w="2319"/>
        <w:gridCol w:w="2843"/>
        <w:gridCol w:w="1586"/>
      </w:tblGrid>
      <w:tr w:rsidR="00A63476">
        <w:trPr>
          <w:trHeight w:val="401"/>
        </w:trPr>
        <w:tc>
          <w:tcPr>
            <w:tcW w:w="1937" w:type="dxa"/>
            <w:vMerge w:val="restart"/>
            <w:tcBorders>
              <w:top w:val="nil"/>
            </w:tcBorders>
          </w:tcPr>
          <w:p w:rsidR="00A63476" w:rsidRDefault="00A63476">
            <w:pPr>
              <w:pStyle w:val="TableParagraph"/>
              <w:rPr>
                <w:sz w:val="18"/>
              </w:rPr>
            </w:pPr>
          </w:p>
          <w:p w:rsidR="00A63476" w:rsidRDefault="00A63476">
            <w:pPr>
              <w:pStyle w:val="TableParagraph"/>
              <w:rPr>
                <w:sz w:val="18"/>
              </w:rPr>
            </w:pPr>
          </w:p>
          <w:p w:rsidR="00A63476" w:rsidRDefault="00A63476">
            <w:pPr>
              <w:pStyle w:val="TableParagraph"/>
              <w:rPr>
                <w:sz w:val="18"/>
              </w:rPr>
            </w:pPr>
          </w:p>
          <w:p w:rsidR="00A63476" w:rsidRDefault="00A63476">
            <w:pPr>
              <w:pStyle w:val="TableParagraph"/>
              <w:rPr>
                <w:sz w:val="18"/>
              </w:rPr>
            </w:pPr>
          </w:p>
          <w:p w:rsidR="00A63476" w:rsidRDefault="00A63476">
            <w:pPr>
              <w:pStyle w:val="TableParagraph"/>
              <w:rPr>
                <w:sz w:val="18"/>
              </w:rPr>
            </w:pPr>
          </w:p>
          <w:p w:rsidR="00A63476" w:rsidRDefault="00A63476">
            <w:pPr>
              <w:pStyle w:val="TableParagraph"/>
              <w:rPr>
                <w:sz w:val="18"/>
              </w:rPr>
            </w:pPr>
          </w:p>
          <w:p w:rsidR="00A63476" w:rsidRDefault="00A63476">
            <w:pPr>
              <w:pStyle w:val="TableParagraph"/>
              <w:rPr>
                <w:sz w:val="18"/>
              </w:rPr>
            </w:pPr>
          </w:p>
          <w:p w:rsidR="00A63476" w:rsidRDefault="00A63476">
            <w:pPr>
              <w:pStyle w:val="TableParagraph"/>
              <w:spacing w:before="7"/>
              <w:rPr>
                <w:sz w:val="18"/>
              </w:rPr>
            </w:pPr>
          </w:p>
          <w:p w:rsidR="00A63476" w:rsidRDefault="00D22874">
            <w:pPr>
              <w:pStyle w:val="TableParagraph"/>
              <w:ind w:left="89"/>
              <w:rPr>
                <w:b/>
                <w:sz w:val="16"/>
              </w:rPr>
            </w:pPr>
            <w:r>
              <w:rPr>
                <w:b/>
                <w:sz w:val="16"/>
              </w:rPr>
              <w:t>COMPETITIVIDAD</w:t>
            </w:r>
          </w:p>
          <w:p w:rsidR="00A63476" w:rsidRDefault="00D22874">
            <w:pPr>
              <w:pStyle w:val="TableParagraph"/>
              <w:spacing w:before="76"/>
              <w:ind w:left="89"/>
              <w:rPr>
                <w:b/>
                <w:sz w:val="16"/>
              </w:rPr>
            </w:pPr>
            <w:r>
              <w:rPr>
                <w:b/>
                <w:sz w:val="16"/>
              </w:rPr>
              <w:t>(máx: 350 pts.)</w:t>
            </w:r>
          </w:p>
        </w:tc>
        <w:tc>
          <w:tcPr>
            <w:tcW w:w="2319" w:type="dxa"/>
            <w:vMerge w:val="restart"/>
          </w:tcPr>
          <w:p w:rsidR="00A63476" w:rsidRDefault="00A63476">
            <w:pPr>
              <w:pStyle w:val="TableParagraph"/>
              <w:rPr>
                <w:sz w:val="18"/>
              </w:rPr>
            </w:pPr>
          </w:p>
          <w:p w:rsidR="00A63476" w:rsidRDefault="00A63476">
            <w:pPr>
              <w:pStyle w:val="TableParagraph"/>
              <w:rPr>
                <w:sz w:val="18"/>
              </w:rPr>
            </w:pPr>
          </w:p>
          <w:p w:rsidR="00A63476" w:rsidRDefault="00A63476">
            <w:pPr>
              <w:pStyle w:val="TableParagraph"/>
              <w:rPr>
                <w:sz w:val="18"/>
              </w:rPr>
            </w:pPr>
          </w:p>
          <w:p w:rsidR="00A63476" w:rsidRDefault="00A63476">
            <w:pPr>
              <w:pStyle w:val="TableParagraph"/>
              <w:rPr>
                <w:sz w:val="18"/>
              </w:rPr>
            </w:pPr>
          </w:p>
          <w:p w:rsidR="00A63476" w:rsidRDefault="00A63476">
            <w:pPr>
              <w:pStyle w:val="TableParagraph"/>
              <w:spacing w:before="11"/>
              <w:rPr>
                <w:sz w:val="16"/>
              </w:rPr>
            </w:pPr>
          </w:p>
          <w:p w:rsidR="00A63476" w:rsidRDefault="00D22874">
            <w:pPr>
              <w:pStyle w:val="TableParagraph"/>
              <w:tabs>
                <w:tab w:val="left" w:pos="1398"/>
                <w:tab w:val="left" w:pos="2064"/>
              </w:tabs>
              <w:spacing w:line="338" w:lineRule="auto"/>
              <w:ind w:left="92" w:right="19"/>
              <w:rPr>
                <w:sz w:val="16"/>
              </w:rPr>
            </w:pPr>
            <w:r>
              <w:rPr>
                <w:sz w:val="16"/>
              </w:rPr>
              <w:t>P r o c e</w:t>
            </w:r>
            <w:r>
              <w:rPr>
                <w:spacing w:val="3"/>
                <w:sz w:val="16"/>
              </w:rPr>
              <w:t xml:space="preserve"> </w:t>
            </w:r>
            <w:r>
              <w:rPr>
                <w:sz w:val="16"/>
              </w:rPr>
              <w:t>s</w:t>
            </w:r>
            <w:r>
              <w:rPr>
                <w:spacing w:val="1"/>
                <w:sz w:val="16"/>
              </w:rPr>
              <w:t xml:space="preserve"> </w:t>
            </w:r>
            <w:r>
              <w:rPr>
                <w:sz w:val="16"/>
              </w:rPr>
              <w:t>o</w:t>
            </w:r>
            <w:r>
              <w:rPr>
                <w:sz w:val="16"/>
              </w:rPr>
              <w:tab/>
              <w:t>d e</w:t>
            </w:r>
            <w:r>
              <w:rPr>
                <w:sz w:val="16"/>
              </w:rPr>
              <w:tab/>
              <w:t xml:space="preserve">l a </w:t>
            </w:r>
            <w:r>
              <w:rPr>
                <w:spacing w:val="17"/>
                <w:sz w:val="16"/>
              </w:rPr>
              <w:t xml:space="preserve">Autoproducción: </w:t>
            </w:r>
            <w:r>
              <w:rPr>
                <w:spacing w:val="12"/>
                <w:sz w:val="16"/>
              </w:rPr>
              <w:t xml:space="preserve">que </w:t>
            </w:r>
            <w:r>
              <w:rPr>
                <w:spacing w:val="9"/>
                <w:sz w:val="16"/>
              </w:rPr>
              <w:t xml:space="preserve">el </w:t>
            </w:r>
            <w:r>
              <w:rPr>
                <w:spacing w:val="16"/>
                <w:sz w:val="16"/>
              </w:rPr>
              <w:t>proyecto</w:t>
            </w:r>
            <w:r>
              <w:rPr>
                <w:spacing w:val="76"/>
                <w:sz w:val="16"/>
              </w:rPr>
              <w:t xml:space="preserve"> </w:t>
            </w:r>
            <w:r>
              <w:rPr>
                <w:spacing w:val="17"/>
                <w:sz w:val="16"/>
              </w:rPr>
              <w:t xml:space="preserve">arquitectónico </w:t>
            </w:r>
            <w:r>
              <w:rPr>
                <w:spacing w:val="11"/>
                <w:sz w:val="16"/>
              </w:rPr>
              <w:t>considere</w:t>
            </w:r>
            <w:r>
              <w:rPr>
                <w:spacing w:val="66"/>
                <w:sz w:val="16"/>
              </w:rPr>
              <w:t xml:space="preserve"> </w:t>
            </w:r>
            <w:r>
              <w:rPr>
                <w:spacing w:val="8"/>
                <w:sz w:val="16"/>
              </w:rPr>
              <w:t xml:space="preserve">los </w:t>
            </w:r>
            <w:r>
              <w:rPr>
                <w:spacing w:val="11"/>
                <w:sz w:val="16"/>
              </w:rPr>
              <w:t xml:space="preserve">elementos </w:t>
            </w:r>
            <w:r>
              <w:rPr>
                <w:sz w:val="16"/>
              </w:rPr>
              <w:t>enlistados, y que la vivienda esté construida conforme a ello</w:t>
            </w:r>
          </w:p>
        </w:tc>
        <w:tc>
          <w:tcPr>
            <w:tcW w:w="2843" w:type="dxa"/>
          </w:tcPr>
          <w:p w:rsidR="00A63476" w:rsidRDefault="00D22874">
            <w:pPr>
              <w:pStyle w:val="TableParagraph"/>
              <w:spacing w:before="143"/>
              <w:ind w:left="93"/>
              <w:rPr>
                <w:sz w:val="16"/>
              </w:rPr>
            </w:pPr>
            <w:r>
              <w:rPr>
                <w:sz w:val="16"/>
              </w:rPr>
              <w:t>Diseño</w:t>
            </w:r>
          </w:p>
        </w:tc>
        <w:tc>
          <w:tcPr>
            <w:tcW w:w="1586" w:type="dxa"/>
          </w:tcPr>
          <w:p w:rsidR="00A63476" w:rsidRDefault="00D22874">
            <w:pPr>
              <w:pStyle w:val="TableParagraph"/>
              <w:spacing w:before="143"/>
              <w:ind w:left="404" w:right="377"/>
              <w:jc w:val="center"/>
              <w:rPr>
                <w:sz w:val="16"/>
              </w:rPr>
            </w:pPr>
            <w:r>
              <w:rPr>
                <w:sz w:val="16"/>
              </w:rPr>
              <w:t>25</w:t>
            </w:r>
          </w:p>
        </w:tc>
      </w:tr>
      <w:tr w:rsidR="00A63476">
        <w:trPr>
          <w:trHeight w:val="401"/>
        </w:trPr>
        <w:tc>
          <w:tcPr>
            <w:tcW w:w="1937" w:type="dxa"/>
            <w:vMerge/>
            <w:tcBorders>
              <w:top w:val="nil"/>
            </w:tcBorders>
          </w:tcPr>
          <w:p w:rsidR="00A63476" w:rsidRDefault="00A63476">
            <w:pPr>
              <w:rPr>
                <w:sz w:val="2"/>
                <w:szCs w:val="2"/>
              </w:rPr>
            </w:pPr>
          </w:p>
        </w:tc>
        <w:tc>
          <w:tcPr>
            <w:tcW w:w="2319" w:type="dxa"/>
            <w:vMerge/>
            <w:tcBorders>
              <w:top w:val="nil"/>
            </w:tcBorders>
          </w:tcPr>
          <w:p w:rsidR="00A63476" w:rsidRDefault="00A63476">
            <w:pPr>
              <w:rPr>
                <w:sz w:val="2"/>
                <w:szCs w:val="2"/>
              </w:rPr>
            </w:pPr>
          </w:p>
        </w:tc>
        <w:tc>
          <w:tcPr>
            <w:tcW w:w="2843" w:type="dxa"/>
          </w:tcPr>
          <w:p w:rsidR="00A63476" w:rsidRDefault="00D22874">
            <w:pPr>
              <w:pStyle w:val="TableParagraph"/>
              <w:spacing w:before="146"/>
              <w:ind w:left="93"/>
              <w:rPr>
                <w:sz w:val="16"/>
              </w:rPr>
            </w:pPr>
            <w:r>
              <w:rPr>
                <w:sz w:val="16"/>
              </w:rPr>
              <w:t>Sistema constructivo</w:t>
            </w:r>
          </w:p>
        </w:tc>
        <w:tc>
          <w:tcPr>
            <w:tcW w:w="1586" w:type="dxa"/>
          </w:tcPr>
          <w:p w:rsidR="00A63476" w:rsidRDefault="00D22874">
            <w:pPr>
              <w:pStyle w:val="TableParagraph"/>
              <w:spacing w:before="146"/>
              <w:ind w:left="404" w:right="377"/>
              <w:jc w:val="center"/>
              <w:rPr>
                <w:sz w:val="16"/>
              </w:rPr>
            </w:pPr>
            <w:r>
              <w:rPr>
                <w:sz w:val="16"/>
              </w:rPr>
              <w:t>20</w:t>
            </w:r>
          </w:p>
        </w:tc>
      </w:tr>
      <w:tr w:rsidR="00A63476">
        <w:trPr>
          <w:trHeight w:val="401"/>
        </w:trPr>
        <w:tc>
          <w:tcPr>
            <w:tcW w:w="1937" w:type="dxa"/>
            <w:vMerge/>
            <w:tcBorders>
              <w:top w:val="nil"/>
            </w:tcBorders>
          </w:tcPr>
          <w:p w:rsidR="00A63476" w:rsidRDefault="00A63476">
            <w:pPr>
              <w:rPr>
                <w:sz w:val="2"/>
                <w:szCs w:val="2"/>
              </w:rPr>
            </w:pPr>
          </w:p>
        </w:tc>
        <w:tc>
          <w:tcPr>
            <w:tcW w:w="2319" w:type="dxa"/>
            <w:vMerge/>
            <w:tcBorders>
              <w:top w:val="nil"/>
            </w:tcBorders>
          </w:tcPr>
          <w:p w:rsidR="00A63476" w:rsidRDefault="00A63476">
            <w:pPr>
              <w:rPr>
                <w:sz w:val="2"/>
                <w:szCs w:val="2"/>
              </w:rPr>
            </w:pPr>
          </w:p>
        </w:tc>
        <w:tc>
          <w:tcPr>
            <w:tcW w:w="2843" w:type="dxa"/>
          </w:tcPr>
          <w:p w:rsidR="00A63476" w:rsidRDefault="00D22874">
            <w:pPr>
              <w:pStyle w:val="TableParagraph"/>
              <w:spacing w:before="129"/>
              <w:ind w:left="93"/>
              <w:rPr>
                <w:sz w:val="16"/>
              </w:rPr>
            </w:pPr>
            <w:r>
              <w:rPr>
                <w:sz w:val="16"/>
              </w:rPr>
              <w:t>Progresividad</w:t>
            </w:r>
          </w:p>
        </w:tc>
        <w:tc>
          <w:tcPr>
            <w:tcW w:w="1586" w:type="dxa"/>
          </w:tcPr>
          <w:p w:rsidR="00A63476" w:rsidRDefault="00D22874">
            <w:pPr>
              <w:pStyle w:val="TableParagraph"/>
              <w:spacing w:before="129"/>
              <w:ind w:left="404" w:right="377"/>
              <w:jc w:val="center"/>
              <w:rPr>
                <w:sz w:val="16"/>
              </w:rPr>
            </w:pPr>
            <w:r>
              <w:rPr>
                <w:sz w:val="16"/>
              </w:rPr>
              <w:t>20</w:t>
            </w:r>
          </w:p>
        </w:tc>
      </w:tr>
      <w:tr w:rsidR="00A63476">
        <w:trPr>
          <w:trHeight w:val="401"/>
        </w:trPr>
        <w:tc>
          <w:tcPr>
            <w:tcW w:w="1937" w:type="dxa"/>
            <w:vMerge/>
            <w:tcBorders>
              <w:top w:val="nil"/>
            </w:tcBorders>
          </w:tcPr>
          <w:p w:rsidR="00A63476" w:rsidRDefault="00A63476">
            <w:pPr>
              <w:rPr>
                <w:sz w:val="2"/>
                <w:szCs w:val="2"/>
              </w:rPr>
            </w:pPr>
          </w:p>
        </w:tc>
        <w:tc>
          <w:tcPr>
            <w:tcW w:w="2319" w:type="dxa"/>
            <w:vMerge/>
            <w:tcBorders>
              <w:top w:val="nil"/>
            </w:tcBorders>
          </w:tcPr>
          <w:p w:rsidR="00A63476" w:rsidRDefault="00A63476">
            <w:pPr>
              <w:rPr>
                <w:sz w:val="2"/>
                <w:szCs w:val="2"/>
              </w:rPr>
            </w:pPr>
          </w:p>
        </w:tc>
        <w:tc>
          <w:tcPr>
            <w:tcW w:w="2843" w:type="dxa"/>
          </w:tcPr>
          <w:p w:rsidR="00A63476" w:rsidRDefault="00D22874">
            <w:pPr>
              <w:pStyle w:val="TableParagraph"/>
              <w:spacing w:before="132"/>
              <w:ind w:left="93"/>
              <w:rPr>
                <w:sz w:val="16"/>
              </w:rPr>
            </w:pPr>
            <w:r>
              <w:rPr>
                <w:sz w:val="16"/>
              </w:rPr>
              <w:t>Iluminación natural</w:t>
            </w:r>
          </w:p>
        </w:tc>
        <w:tc>
          <w:tcPr>
            <w:tcW w:w="1586" w:type="dxa"/>
          </w:tcPr>
          <w:p w:rsidR="00A63476" w:rsidRDefault="00D22874">
            <w:pPr>
              <w:pStyle w:val="TableParagraph"/>
              <w:spacing w:before="132"/>
              <w:ind w:left="404" w:right="377"/>
              <w:jc w:val="center"/>
              <w:rPr>
                <w:sz w:val="16"/>
              </w:rPr>
            </w:pPr>
            <w:r>
              <w:rPr>
                <w:sz w:val="16"/>
              </w:rPr>
              <w:t>10</w:t>
            </w:r>
          </w:p>
        </w:tc>
      </w:tr>
      <w:tr w:rsidR="00A63476">
        <w:trPr>
          <w:trHeight w:val="401"/>
        </w:trPr>
        <w:tc>
          <w:tcPr>
            <w:tcW w:w="1937" w:type="dxa"/>
            <w:vMerge/>
            <w:tcBorders>
              <w:top w:val="nil"/>
            </w:tcBorders>
          </w:tcPr>
          <w:p w:rsidR="00A63476" w:rsidRDefault="00A63476">
            <w:pPr>
              <w:rPr>
                <w:sz w:val="2"/>
                <w:szCs w:val="2"/>
              </w:rPr>
            </w:pPr>
          </w:p>
        </w:tc>
        <w:tc>
          <w:tcPr>
            <w:tcW w:w="2319" w:type="dxa"/>
            <w:vMerge/>
            <w:tcBorders>
              <w:top w:val="nil"/>
            </w:tcBorders>
          </w:tcPr>
          <w:p w:rsidR="00A63476" w:rsidRDefault="00A63476">
            <w:pPr>
              <w:rPr>
                <w:sz w:val="2"/>
                <w:szCs w:val="2"/>
              </w:rPr>
            </w:pPr>
          </w:p>
        </w:tc>
        <w:tc>
          <w:tcPr>
            <w:tcW w:w="2843" w:type="dxa"/>
          </w:tcPr>
          <w:p w:rsidR="00A63476" w:rsidRDefault="00D22874">
            <w:pPr>
              <w:pStyle w:val="TableParagraph"/>
              <w:spacing w:before="135"/>
              <w:ind w:left="93"/>
              <w:rPr>
                <w:sz w:val="16"/>
              </w:rPr>
            </w:pPr>
            <w:r>
              <w:rPr>
                <w:sz w:val="16"/>
              </w:rPr>
              <w:t>Ventilación natural y cruzada</w:t>
            </w:r>
          </w:p>
        </w:tc>
        <w:tc>
          <w:tcPr>
            <w:tcW w:w="1586" w:type="dxa"/>
          </w:tcPr>
          <w:p w:rsidR="00A63476" w:rsidRDefault="00D22874">
            <w:pPr>
              <w:pStyle w:val="TableParagraph"/>
              <w:spacing w:before="135"/>
              <w:ind w:left="404" w:right="377"/>
              <w:jc w:val="center"/>
              <w:rPr>
                <w:sz w:val="16"/>
              </w:rPr>
            </w:pPr>
            <w:r>
              <w:rPr>
                <w:sz w:val="16"/>
              </w:rPr>
              <w:t>10</w:t>
            </w:r>
          </w:p>
        </w:tc>
      </w:tr>
      <w:tr w:rsidR="00A63476">
        <w:trPr>
          <w:trHeight w:val="401"/>
        </w:trPr>
        <w:tc>
          <w:tcPr>
            <w:tcW w:w="1937" w:type="dxa"/>
            <w:vMerge/>
            <w:tcBorders>
              <w:top w:val="nil"/>
            </w:tcBorders>
          </w:tcPr>
          <w:p w:rsidR="00A63476" w:rsidRDefault="00A63476">
            <w:pPr>
              <w:rPr>
                <w:sz w:val="2"/>
                <w:szCs w:val="2"/>
              </w:rPr>
            </w:pPr>
          </w:p>
        </w:tc>
        <w:tc>
          <w:tcPr>
            <w:tcW w:w="2319" w:type="dxa"/>
            <w:vMerge/>
            <w:tcBorders>
              <w:top w:val="nil"/>
            </w:tcBorders>
          </w:tcPr>
          <w:p w:rsidR="00A63476" w:rsidRDefault="00A63476">
            <w:pPr>
              <w:rPr>
                <w:sz w:val="2"/>
                <w:szCs w:val="2"/>
              </w:rPr>
            </w:pPr>
          </w:p>
        </w:tc>
        <w:tc>
          <w:tcPr>
            <w:tcW w:w="2843" w:type="dxa"/>
          </w:tcPr>
          <w:p w:rsidR="00A63476" w:rsidRDefault="00D22874">
            <w:pPr>
              <w:pStyle w:val="TableParagraph"/>
              <w:spacing w:before="138"/>
              <w:ind w:left="93"/>
              <w:rPr>
                <w:sz w:val="16"/>
              </w:rPr>
            </w:pPr>
            <w:r>
              <w:rPr>
                <w:sz w:val="16"/>
              </w:rPr>
              <w:t>Instalaciones hidráulica</w:t>
            </w:r>
          </w:p>
        </w:tc>
        <w:tc>
          <w:tcPr>
            <w:tcW w:w="1586" w:type="dxa"/>
          </w:tcPr>
          <w:p w:rsidR="00A63476" w:rsidRDefault="00D22874">
            <w:pPr>
              <w:pStyle w:val="TableParagraph"/>
              <w:spacing w:before="138"/>
              <w:ind w:left="404" w:right="377"/>
              <w:jc w:val="center"/>
              <w:rPr>
                <w:sz w:val="16"/>
              </w:rPr>
            </w:pPr>
            <w:r>
              <w:rPr>
                <w:sz w:val="16"/>
              </w:rPr>
              <w:t>10</w:t>
            </w:r>
          </w:p>
        </w:tc>
      </w:tr>
      <w:tr w:rsidR="00A63476">
        <w:trPr>
          <w:trHeight w:val="401"/>
        </w:trPr>
        <w:tc>
          <w:tcPr>
            <w:tcW w:w="1937" w:type="dxa"/>
            <w:vMerge/>
            <w:tcBorders>
              <w:top w:val="nil"/>
            </w:tcBorders>
          </w:tcPr>
          <w:p w:rsidR="00A63476" w:rsidRDefault="00A63476">
            <w:pPr>
              <w:rPr>
                <w:sz w:val="2"/>
                <w:szCs w:val="2"/>
              </w:rPr>
            </w:pPr>
          </w:p>
        </w:tc>
        <w:tc>
          <w:tcPr>
            <w:tcW w:w="2319" w:type="dxa"/>
            <w:vMerge/>
            <w:tcBorders>
              <w:top w:val="nil"/>
            </w:tcBorders>
          </w:tcPr>
          <w:p w:rsidR="00A63476" w:rsidRDefault="00A63476">
            <w:pPr>
              <w:rPr>
                <w:sz w:val="2"/>
                <w:szCs w:val="2"/>
              </w:rPr>
            </w:pPr>
          </w:p>
        </w:tc>
        <w:tc>
          <w:tcPr>
            <w:tcW w:w="2843" w:type="dxa"/>
          </w:tcPr>
          <w:p w:rsidR="00A63476" w:rsidRDefault="00D22874">
            <w:pPr>
              <w:pStyle w:val="TableParagraph"/>
              <w:spacing w:before="141"/>
              <w:ind w:left="93"/>
              <w:rPr>
                <w:sz w:val="16"/>
              </w:rPr>
            </w:pPr>
            <w:r>
              <w:rPr>
                <w:sz w:val="16"/>
              </w:rPr>
              <w:t>Seguridad estructural</w:t>
            </w:r>
          </w:p>
        </w:tc>
        <w:tc>
          <w:tcPr>
            <w:tcW w:w="1586" w:type="dxa"/>
          </w:tcPr>
          <w:p w:rsidR="00A63476" w:rsidRDefault="00D22874">
            <w:pPr>
              <w:pStyle w:val="TableParagraph"/>
              <w:spacing w:before="141"/>
              <w:ind w:left="404" w:right="377"/>
              <w:jc w:val="center"/>
              <w:rPr>
                <w:sz w:val="16"/>
              </w:rPr>
            </w:pPr>
            <w:r>
              <w:rPr>
                <w:sz w:val="16"/>
              </w:rPr>
              <w:t>10</w:t>
            </w:r>
          </w:p>
        </w:tc>
      </w:tr>
      <w:tr w:rsidR="00A63476">
        <w:trPr>
          <w:trHeight w:val="401"/>
        </w:trPr>
        <w:tc>
          <w:tcPr>
            <w:tcW w:w="1937" w:type="dxa"/>
            <w:vMerge/>
            <w:tcBorders>
              <w:top w:val="nil"/>
            </w:tcBorders>
          </w:tcPr>
          <w:p w:rsidR="00A63476" w:rsidRDefault="00A63476">
            <w:pPr>
              <w:rPr>
                <w:sz w:val="2"/>
                <w:szCs w:val="2"/>
              </w:rPr>
            </w:pPr>
          </w:p>
        </w:tc>
        <w:tc>
          <w:tcPr>
            <w:tcW w:w="2319" w:type="dxa"/>
            <w:vMerge/>
            <w:tcBorders>
              <w:top w:val="nil"/>
            </w:tcBorders>
          </w:tcPr>
          <w:p w:rsidR="00A63476" w:rsidRDefault="00A63476">
            <w:pPr>
              <w:rPr>
                <w:sz w:val="2"/>
                <w:szCs w:val="2"/>
              </w:rPr>
            </w:pPr>
          </w:p>
        </w:tc>
        <w:tc>
          <w:tcPr>
            <w:tcW w:w="2843" w:type="dxa"/>
          </w:tcPr>
          <w:p w:rsidR="00A63476" w:rsidRDefault="00D22874">
            <w:pPr>
              <w:pStyle w:val="TableParagraph"/>
              <w:spacing w:before="144"/>
              <w:ind w:left="93"/>
              <w:rPr>
                <w:sz w:val="16"/>
              </w:rPr>
            </w:pPr>
            <w:r>
              <w:rPr>
                <w:sz w:val="16"/>
              </w:rPr>
              <w:t>Instalaciones sanitarias</w:t>
            </w:r>
          </w:p>
        </w:tc>
        <w:tc>
          <w:tcPr>
            <w:tcW w:w="1586" w:type="dxa"/>
          </w:tcPr>
          <w:p w:rsidR="00A63476" w:rsidRDefault="00D22874">
            <w:pPr>
              <w:pStyle w:val="TableParagraph"/>
              <w:spacing w:before="144"/>
              <w:ind w:left="404" w:right="377"/>
              <w:jc w:val="center"/>
              <w:rPr>
                <w:sz w:val="16"/>
              </w:rPr>
            </w:pPr>
            <w:r>
              <w:rPr>
                <w:sz w:val="16"/>
              </w:rPr>
              <w:t>10</w:t>
            </w:r>
          </w:p>
        </w:tc>
      </w:tr>
      <w:tr w:rsidR="00A63476">
        <w:trPr>
          <w:trHeight w:val="401"/>
        </w:trPr>
        <w:tc>
          <w:tcPr>
            <w:tcW w:w="1937" w:type="dxa"/>
            <w:vMerge/>
            <w:tcBorders>
              <w:top w:val="nil"/>
            </w:tcBorders>
          </w:tcPr>
          <w:p w:rsidR="00A63476" w:rsidRDefault="00A63476">
            <w:pPr>
              <w:rPr>
                <w:sz w:val="2"/>
                <w:szCs w:val="2"/>
              </w:rPr>
            </w:pPr>
          </w:p>
        </w:tc>
        <w:tc>
          <w:tcPr>
            <w:tcW w:w="2319" w:type="dxa"/>
            <w:vMerge/>
            <w:tcBorders>
              <w:top w:val="nil"/>
            </w:tcBorders>
          </w:tcPr>
          <w:p w:rsidR="00A63476" w:rsidRDefault="00A63476">
            <w:pPr>
              <w:rPr>
                <w:sz w:val="2"/>
                <w:szCs w:val="2"/>
              </w:rPr>
            </w:pPr>
          </w:p>
        </w:tc>
        <w:tc>
          <w:tcPr>
            <w:tcW w:w="2843" w:type="dxa"/>
          </w:tcPr>
          <w:p w:rsidR="00A63476" w:rsidRDefault="00D22874">
            <w:pPr>
              <w:pStyle w:val="TableParagraph"/>
              <w:spacing w:before="147"/>
              <w:ind w:left="93"/>
              <w:rPr>
                <w:sz w:val="16"/>
              </w:rPr>
            </w:pPr>
            <w:r>
              <w:rPr>
                <w:sz w:val="16"/>
              </w:rPr>
              <w:t>Instalaciones eléctricas</w:t>
            </w:r>
          </w:p>
        </w:tc>
        <w:tc>
          <w:tcPr>
            <w:tcW w:w="1586" w:type="dxa"/>
          </w:tcPr>
          <w:p w:rsidR="00A63476" w:rsidRDefault="00D22874">
            <w:pPr>
              <w:pStyle w:val="TableParagraph"/>
              <w:spacing w:before="147"/>
              <w:ind w:left="404" w:right="377"/>
              <w:jc w:val="center"/>
              <w:rPr>
                <w:sz w:val="16"/>
              </w:rPr>
            </w:pPr>
            <w:r>
              <w:rPr>
                <w:sz w:val="16"/>
              </w:rPr>
              <w:t>10</w:t>
            </w:r>
          </w:p>
        </w:tc>
      </w:tr>
      <w:tr w:rsidR="00A63476">
        <w:trPr>
          <w:trHeight w:val="401"/>
        </w:trPr>
        <w:tc>
          <w:tcPr>
            <w:tcW w:w="1937" w:type="dxa"/>
            <w:vMerge/>
            <w:tcBorders>
              <w:top w:val="nil"/>
            </w:tcBorders>
          </w:tcPr>
          <w:p w:rsidR="00A63476" w:rsidRDefault="00A63476">
            <w:pPr>
              <w:rPr>
                <w:sz w:val="2"/>
                <w:szCs w:val="2"/>
              </w:rPr>
            </w:pPr>
          </w:p>
        </w:tc>
        <w:tc>
          <w:tcPr>
            <w:tcW w:w="5162" w:type="dxa"/>
            <w:gridSpan w:val="2"/>
          </w:tcPr>
          <w:p w:rsidR="00A63476" w:rsidRDefault="00D22874">
            <w:pPr>
              <w:pStyle w:val="TableParagraph"/>
              <w:spacing w:before="130"/>
              <w:ind w:left="92"/>
              <w:rPr>
                <w:b/>
                <w:sz w:val="10"/>
              </w:rPr>
            </w:pPr>
            <w:r>
              <w:rPr>
                <w:sz w:val="16"/>
              </w:rPr>
              <w:t>Ecotecnologías y medidas de sustentabilidad</w:t>
            </w:r>
            <w:r>
              <w:rPr>
                <w:b/>
                <w:position w:val="4"/>
                <w:sz w:val="10"/>
              </w:rPr>
              <w:t>3</w:t>
            </w:r>
          </w:p>
        </w:tc>
        <w:tc>
          <w:tcPr>
            <w:tcW w:w="1586" w:type="dxa"/>
          </w:tcPr>
          <w:p w:rsidR="00A63476" w:rsidRDefault="00D22874">
            <w:pPr>
              <w:pStyle w:val="TableParagraph"/>
              <w:spacing w:before="130"/>
              <w:ind w:left="387" w:right="380"/>
              <w:jc w:val="center"/>
              <w:rPr>
                <w:sz w:val="16"/>
              </w:rPr>
            </w:pPr>
            <w:r>
              <w:rPr>
                <w:sz w:val="16"/>
              </w:rPr>
              <w:t>Hasta 110</w:t>
            </w:r>
          </w:p>
        </w:tc>
      </w:tr>
      <w:tr w:rsidR="00A63476">
        <w:trPr>
          <w:trHeight w:val="401"/>
        </w:trPr>
        <w:tc>
          <w:tcPr>
            <w:tcW w:w="1937" w:type="dxa"/>
            <w:vMerge/>
            <w:tcBorders>
              <w:top w:val="nil"/>
            </w:tcBorders>
          </w:tcPr>
          <w:p w:rsidR="00A63476" w:rsidRDefault="00A63476">
            <w:pPr>
              <w:rPr>
                <w:sz w:val="2"/>
                <w:szCs w:val="2"/>
              </w:rPr>
            </w:pPr>
          </w:p>
        </w:tc>
        <w:tc>
          <w:tcPr>
            <w:tcW w:w="2319" w:type="dxa"/>
            <w:vMerge w:val="restart"/>
          </w:tcPr>
          <w:p w:rsidR="00A63476" w:rsidRDefault="00D22874">
            <w:pPr>
              <w:pStyle w:val="TableParagraph"/>
              <w:spacing w:before="134"/>
              <w:ind w:left="92"/>
              <w:rPr>
                <w:sz w:val="16"/>
              </w:rPr>
            </w:pPr>
            <w:r>
              <w:rPr>
                <w:sz w:val="16"/>
              </w:rPr>
              <w:t>Superficie</w:t>
            </w:r>
          </w:p>
        </w:tc>
        <w:tc>
          <w:tcPr>
            <w:tcW w:w="2843" w:type="dxa"/>
          </w:tcPr>
          <w:p w:rsidR="00A63476" w:rsidRDefault="00D22874">
            <w:pPr>
              <w:pStyle w:val="TableParagraph"/>
              <w:spacing w:before="134"/>
              <w:ind w:left="93"/>
              <w:rPr>
                <w:sz w:val="16"/>
              </w:rPr>
            </w:pPr>
            <w:r>
              <w:rPr>
                <w:sz w:val="16"/>
              </w:rPr>
              <w:t>Más de 44 m2</w:t>
            </w:r>
          </w:p>
        </w:tc>
        <w:tc>
          <w:tcPr>
            <w:tcW w:w="1586" w:type="dxa"/>
          </w:tcPr>
          <w:p w:rsidR="00A63476" w:rsidRDefault="00D22874">
            <w:pPr>
              <w:pStyle w:val="TableParagraph"/>
              <w:spacing w:before="134"/>
              <w:ind w:left="404" w:right="377"/>
              <w:jc w:val="center"/>
              <w:rPr>
                <w:sz w:val="16"/>
              </w:rPr>
            </w:pPr>
            <w:r>
              <w:rPr>
                <w:sz w:val="16"/>
              </w:rPr>
              <w:t>70</w:t>
            </w:r>
          </w:p>
        </w:tc>
      </w:tr>
      <w:tr w:rsidR="00A63476">
        <w:trPr>
          <w:trHeight w:val="661"/>
        </w:trPr>
        <w:tc>
          <w:tcPr>
            <w:tcW w:w="1937" w:type="dxa"/>
            <w:vMerge/>
            <w:tcBorders>
              <w:top w:val="nil"/>
            </w:tcBorders>
          </w:tcPr>
          <w:p w:rsidR="00A63476" w:rsidRDefault="00A63476">
            <w:pPr>
              <w:rPr>
                <w:sz w:val="2"/>
                <w:szCs w:val="2"/>
              </w:rPr>
            </w:pPr>
          </w:p>
        </w:tc>
        <w:tc>
          <w:tcPr>
            <w:tcW w:w="2319" w:type="dxa"/>
            <w:vMerge/>
            <w:tcBorders>
              <w:top w:val="nil"/>
            </w:tcBorders>
          </w:tcPr>
          <w:p w:rsidR="00A63476" w:rsidRDefault="00A63476">
            <w:pPr>
              <w:rPr>
                <w:sz w:val="2"/>
                <w:szCs w:val="2"/>
              </w:rPr>
            </w:pPr>
          </w:p>
        </w:tc>
        <w:tc>
          <w:tcPr>
            <w:tcW w:w="2843" w:type="dxa"/>
          </w:tcPr>
          <w:p w:rsidR="00A63476" w:rsidRDefault="00D22874">
            <w:pPr>
              <w:pStyle w:val="TableParagraph"/>
              <w:spacing w:before="137"/>
              <w:ind w:left="93"/>
              <w:rPr>
                <w:sz w:val="16"/>
              </w:rPr>
            </w:pPr>
            <w:r>
              <w:rPr>
                <w:sz w:val="16"/>
              </w:rPr>
              <w:t>De 38 a 44 m2</w:t>
            </w:r>
          </w:p>
        </w:tc>
        <w:tc>
          <w:tcPr>
            <w:tcW w:w="1586" w:type="dxa"/>
          </w:tcPr>
          <w:p w:rsidR="00A63476" w:rsidRDefault="00D22874">
            <w:pPr>
              <w:pStyle w:val="TableParagraph"/>
              <w:spacing w:before="61" w:line="260" w:lineRule="atLeast"/>
              <w:ind w:left="550" w:right="64" w:hanging="460"/>
              <w:rPr>
                <w:sz w:val="16"/>
              </w:rPr>
            </w:pPr>
            <w:r>
              <w:rPr>
                <w:sz w:val="16"/>
              </w:rPr>
              <w:t>(8.3333*superficie)- 296.67</w:t>
            </w:r>
          </w:p>
        </w:tc>
      </w:tr>
      <w:tr w:rsidR="00A63476">
        <w:trPr>
          <w:trHeight w:val="401"/>
        </w:trPr>
        <w:tc>
          <w:tcPr>
            <w:tcW w:w="7099" w:type="dxa"/>
            <w:gridSpan w:val="3"/>
          </w:tcPr>
          <w:p w:rsidR="00A63476" w:rsidRDefault="00D22874">
            <w:pPr>
              <w:pStyle w:val="TableParagraph"/>
              <w:spacing w:before="140"/>
              <w:ind w:left="89"/>
              <w:rPr>
                <w:b/>
                <w:sz w:val="16"/>
              </w:rPr>
            </w:pPr>
            <w:r>
              <w:rPr>
                <w:b/>
                <w:sz w:val="16"/>
              </w:rPr>
              <w:t>MÁXIMOS PUNTOS A OBTENER</w:t>
            </w:r>
          </w:p>
        </w:tc>
        <w:tc>
          <w:tcPr>
            <w:tcW w:w="1586" w:type="dxa"/>
          </w:tcPr>
          <w:p w:rsidR="00A63476" w:rsidRDefault="00D22874">
            <w:pPr>
              <w:pStyle w:val="TableParagraph"/>
              <w:spacing w:before="140"/>
              <w:ind w:left="385" w:right="380"/>
              <w:jc w:val="center"/>
              <w:rPr>
                <w:b/>
                <w:sz w:val="16"/>
              </w:rPr>
            </w:pPr>
            <w:r>
              <w:rPr>
                <w:b/>
                <w:sz w:val="16"/>
              </w:rPr>
              <w:t>1000</w:t>
            </w:r>
          </w:p>
        </w:tc>
      </w:tr>
      <w:tr w:rsidR="00A63476">
        <w:trPr>
          <w:trHeight w:val="961"/>
        </w:trPr>
        <w:tc>
          <w:tcPr>
            <w:tcW w:w="8685" w:type="dxa"/>
            <w:gridSpan w:val="4"/>
          </w:tcPr>
          <w:p w:rsidR="00A63476" w:rsidRDefault="00D22874">
            <w:pPr>
              <w:pStyle w:val="TableParagraph"/>
              <w:numPr>
                <w:ilvl w:val="0"/>
                <w:numId w:val="14"/>
              </w:numPr>
              <w:tabs>
                <w:tab w:val="left" w:pos="449"/>
                <w:tab w:val="left" w:pos="450"/>
              </w:tabs>
              <w:spacing w:before="143" w:line="338" w:lineRule="auto"/>
              <w:ind w:right="69"/>
              <w:rPr>
                <w:sz w:val="16"/>
              </w:rPr>
            </w:pPr>
            <w:r>
              <w:rPr>
                <w:sz w:val="16"/>
              </w:rPr>
              <w:t>Considerando la acción concertada a través de PROCURHA, la vivienda autoproducida dentro de los polígonos de actuación, recibirán el puntaje máximo en los rubros de ubicación y</w:t>
            </w:r>
            <w:r>
              <w:rPr>
                <w:spacing w:val="-2"/>
                <w:sz w:val="16"/>
              </w:rPr>
              <w:t xml:space="preserve"> </w:t>
            </w:r>
            <w:r>
              <w:rPr>
                <w:sz w:val="16"/>
              </w:rPr>
              <w:t>equipamiento</w:t>
            </w:r>
          </w:p>
          <w:p w:rsidR="00A63476" w:rsidRDefault="00D22874">
            <w:pPr>
              <w:pStyle w:val="TableParagraph"/>
              <w:numPr>
                <w:ilvl w:val="0"/>
                <w:numId w:val="14"/>
              </w:numPr>
              <w:tabs>
                <w:tab w:val="left" w:pos="449"/>
                <w:tab w:val="left" w:pos="450"/>
              </w:tabs>
              <w:spacing w:before="41"/>
              <w:ind w:hanging="361"/>
              <w:rPr>
                <w:sz w:val="16"/>
              </w:rPr>
            </w:pPr>
            <w:r>
              <w:rPr>
                <w:sz w:val="16"/>
              </w:rPr>
              <w:t>Para la obtención del puntaje de cada equipamiento, el mismo deber</w:t>
            </w:r>
            <w:r>
              <w:rPr>
                <w:sz w:val="16"/>
              </w:rPr>
              <w:t>á estar</w:t>
            </w:r>
            <w:r>
              <w:rPr>
                <w:spacing w:val="-2"/>
                <w:sz w:val="16"/>
              </w:rPr>
              <w:t xml:space="preserve"> </w:t>
            </w:r>
            <w:r>
              <w:rPr>
                <w:sz w:val="16"/>
              </w:rPr>
              <w:t>construido.</w:t>
            </w:r>
          </w:p>
        </w:tc>
      </w:tr>
    </w:tbl>
    <w:p w:rsidR="00A63476" w:rsidRDefault="00A63476">
      <w:pPr>
        <w:pStyle w:val="Textoindependiente"/>
        <w:ind w:left="0" w:right="0" w:firstLine="0"/>
        <w:jc w:val="left"/>
        <w:rPr>
          <w:sz w:val="20"/>
        </w:rPr>
      </w:pPr>
    </w:p>
    <w:p w:rsidR="00A63476" w:rsidRDefault="00A63476">
      <w:pPr>
        <w:pStyle w:val="Textoindependiente"/>
        <w:ind w:left="0" w:right="0" w:firstLine="0"/>
        <w:jc w:val="left"/>
        <w:rPr>
          <w:sz w:val="13"/>
        </w:rPr>
      </w:pPr>
    </w:p>
    <w:tbl>
      <w:tblPr>
        <w:tblStyle w:val="TableNormal"/>
        <w:tblW w:w="0" w:type="auto"/>
        <w:tblInd w:w="678" w:type="dxa"/>
        <w:tblBorders>
          <w:top w:val="single" w:sz="6" w:space="0" w:color="404040"/>
          <w:left w:val="single" w:sz="6" w:space="0" w:color="404040"/>
          <w:bottom w:val="single" w:sz="6" w:space="0" w:color="404040"/>
          <w:right w:val="single" w:sz="6" w:space="0" w:color="404040"/>
          <w:insideH w:val="single" w:sz="6" w:space="0" w:color="404040"/>
          <w:insideV w:val="single" w:sz="6" w:space="0" w:color="404040"/>
        </w:tblBorders>
        <w:tblLayout w:type="fixed"/>
        <w:tblLook w:val="01E0" w:firstRow="1" w:lastRow="1" w:firstColumn="1" w:lastColumn="1" w:noHBand="0" w:noVBand="0"/>
      </w:tblPr>
      <w:tblGrid>
        <w:gridCol w:w="7695"/>
        <w:gridCol w:w="987"/>
      </w:tblGrid>
      <w:tr w:rsidR="00A63476">
        <w:trPr>
          <w:trHeight w:val="401"/>
        </w:trPr>
        <w:tc>
          <w:tcPr>
            <w:tcW w:w="8682" w:type="dxa"/>
            <w:gridSpan w:val="2"/>
          </w:tcPr>
          <w:p w:rsidR="00A63476" w:rsidRDefault="00D22874">
            <w:pPr>
              <w:pStyle w:val="TableParagraph"/>
              <w:spacing w:before="131"/>
              <w:ind w:left="89"/>
              <w:rPr>
                <w:sz w:val="16"/>
              </w:rPr>
            </w:pPr>
            <w:r>
              <w:rPr>
                <w:b/>
                <w:sz w:val="16"/>
              </w:rPr>
              <w:t xml:space="preserve">3. </w:t>
            </w:r>
            <w:r>
              <w:rPr>
                <w:sz w:val="16"/>
              </w:rPr>
              <w:t>Catálogo de opciones de ecotecnologías y medidas de sustentabilidad</w:t>
            </w:r>
          </w:p>
        </w:tc>
      </w:tr>
      <w:tr w:rsidR="00A63476">
        <w:trPr>
          <w:trHeight w:val="401"/>
        </w:trPr>
        <w:tc>
          <w:tcPr>
            <w:tcW w:w="7695" w:type="dxa"/>
          </w:tcPr>
          <w:p w:rsidR="00A63476" w:rsidRDefault="00D22874">
            <w:pPr>
              <w:pStyle w:val="TableParagraph"/>
              <w:spacing w:before="134"/>
              <w:ind w:left="89"/>
              <w:rPr>
                <w:b/>
                <w:sz w:val="16"/>
              </w:rPr>
            </w:pPr>
            <w:r>
              <w:rPr>
                <w:b/>
                <w:sz w:val="16"/>
              </w:rPr>
              <w:t>Opciones de sustentabilidad a elegir en la Vivienda</w:t>
            </w:r>
          </w:p>
        </w:tc>
        <w:tc>
          <w:tcPr>
            <w:tcW w:w="987" w:type="dxa"/>
          </w:tcPr>
          <w:p w:rsidR="00A63476" w:rsidRDefault="00D22874">
            <w:pPr>
              <w:pStyle w:val="TableParagraph"/>
              <w:spacing w:before="134"/>
              <w:ind w:left="94"/>
              <w:rPr>
                <w:b/>
                <w:sz w:val="16"/>
              </w:rPr>
            </w:pPr>
            <w:r>
              <w:rPr>
                <w:b/>
                <w:sz w:val="16"/>
              </w:rPr>
              <w:t>Puntaje</w:t>
            </w:r>
          </w:p>
        </w:tc>
      </w:tr>
      <w:tr w:rsidR="00A63476">
        <w:trPr>
          <w:trHeight w:val="642"/>
        </w:trPr>
        <w:tc>
          <w:tcPr>
            <w:tcW w:w="7695" w:type="dxa"/>
            <w:tcBorders>
              <w:bottom w:val="nil"/>
            </w:tcBorders>
          </w:tcPr>
          <w:p w:rsidR="00A63476" w:rsidRDefault="00D22874">
            <w:pPr>
              <w:pStyle w:val="TableParagraph"/>
              <w:numPr>
                <w:ilvl w:val="0"/>
                <w:numId w:val="13"/>
              </w:numPr>
              <w:tabs>
                <w:tab w:val="left" w:pos="449"/>
                <w:tab w:val="left" w:pos="450"/>
              </w:tabs>
              <w:spacing w:before="61" w:line="260" w:lineRule="atLeast"/>
              <w:ind w:right="67"/>
              <w:rPr>
                <w:sz w:val="16"/>
              </w:rPr>
            </w:pPr>
            <w:r>
              <w:rPr>
                <w:sz w:val="16"/>
              </w:rPr>
              <w:t>Calentador de gas de paso de rápida recuperación o instantáneo que cumplan con la normatividad vigente.</w:t>
            </w:r>
            <w:r>
              <w:rPr>
                <w:spacing w:val="-1"/>
                <w:sz w:val="16"/>
              </w:rPr>
              <w:t xml:space="preserve"> </w:t>
            </w:r>
            <w:r>
              <w:rPr>
                <w:sz w:val="16"/>
              </w:rPr>
              <w:t>(ECO)</w:t>
            </w:r>
          </w:p>
        </w:tc>
        <w:tc>
          <w:tcPr>
            <w:tcW w:w="987" w:type="dxa"/>
            <w:tcBorders>
              <w:bottom w:val="nil"/>
            </w:tcBorders>
          </w:tcPr>
          <w:p w:rsidR="00A63476" w:rsidRDefault="00A63476">
            <w:pPr>
              <w:pStyle w:val="TableParagraph"/>
              <w:rPr>
                <w:rFonts w:ascii="Times New Roman"/>
                <w:sz w:val="16"/>
              </w:rPr>
            </w:pPr>
          </w:p>
        </w:tc>
      </w:tr>
      <w:tr w:rsidR="00A63476">
        <w:trPr>
          <w:trHeight w:val="300"/>
        </w:trPr>
        <w:tc>
          <w:tcPr>
            <w:tcW w:w="7695" w:type="dxa"/>
            <w:tcBorders>
              <w:top w:val="nil"/>
              <w:bottom w:val="nil"/>
            </w:tcBorders>
          </w:tcPr>
          <w:p w:rsidR="00A63476" w:rsidRDefault="00D22874">
            <w:pPr>
              <w:pStyle w:val="TableParagraph"/>
              <w:numPr>
                <w:ilvl w:val="0"/>
                <w:numId w:val="12"/>
              </w:numPr>
              <w:tabs>
                <w:tab w:val="left" w:pos="449"/>
                <w:tab w:val="left" w:pos="450"/>
              </w:tabs>
              <w:spacing w:before="24"/>
              <w:ind w:hanging="361"/>
              <w:rPr>
                <w:sz w:val="16"/>
              </w:rPr>
            </w:pPr>
            <w:r>
              <w:rPr>
                <w:sz w:val="16"/>
              </w:rPr>
              <w:t>Filtros de purificación de agua instalados en tarja con dos repuestos.</w:t>
            </w:r>
            <w:r>
              <w:rPr>
                <w:spacing w:val="-2"/>
                <w:sz w:val="16"/>
              </w:rPr>
              <w:t xml:space="preserve"> </w:t>
            </w:r>
            <w:r>
              <w:rPr>
                <w:sz w:val="16"/>
              </w:rPr>
              <w:t>(ECO)</w:t>
            </w:r>
          </w:p>
        </w:tc>
        <w:tc>
          <w:tcPr>
            <w:tcW w:w="987" w:type="dxa"/>
            <w:tcBorders>
              <w:top w:val="nil"/>
              <w:bottom w:val="nil"/>
            </w:tcBorders>
          </w:tcPr>
          <w:p w:rsidR="00A63476" w:rsidRDefault="00A63476">
            <w:pPr>
              <w:pStyle w:val="TableParagraph"/>
              <w:rPr>
                <w:rFonts w:ascii="Times New Roman"/>
                <w:sz w:val="16"/>
              </w:rPr>
            </w:pPr>
          </w:p>
        </w:tc>
      </w:tr>
      <w:tr w:rsidR="00A63476">
        <w:trPr>
          <w:trHeight w:val="300"/>
        </w:trPr>
        <w:tc>
          <w:tcPr>
            <w:tcW w:w="7695" w:type="dxa"/>
            <w:tcBorders>
              <w:top w:val="nil"/>
              <w:bottom w:val="nil"/>
            </w:tcBorders>
          </w:tcPr>
          <w:p w:rsidR="00A63476" w:rsidRDefault="00D22874">
            <w:pPr>
              <w:pStyle w:val="TableParagraph"/>
              <w:numPr>
                <w:ilvl w:val="0"/>
                <w:numId w:val="11"/>
              </w:numPr>
              <w:tabs>
                <w:tab w:val="left" w:pos="449"/>
                <w:tab w:val="left" w:pos="450"/>
              </w:tabs>
              <w:spacing w:before="24"/>
              <w:ind w:hanging="361"/>
              <w:rPr>
                <w:sz w:val="16"/>
              </w:rPr>
            </w:pPr>
            <w:r>
              <w:rPr>
                <w:sz w:val="16"/>
              </w:rPr>
              <w:t>Sellado en puertas y ventanas</w:t>
            </w:r>
            <w:r>
              <w:rPr>
                <w:spacing w:val="-1"/>
                <w:sz w:val="16"/>
              </w:rPr>
              <w:t xml:space="preserve"> </w:t>
            </w:r>
            <w:r>
              <w:rPr>
                <w:sz w:val="16"/>
              </w:rPr>
              <w:t>(DS)</w:t>
            </w:r>
          </w:p>
        </w:tc>
        <w:tc>
          <w:tcPr>
            <w:tcW w:w="987" w:type="dxa"/>
            <w:tcBorders>
              <w:top w:val="nil"/>
              <w:bottom w:val="nil"/>
            </w:tcBorders>
          </w:tcPr>
          <w:p w:rsidR="00A63476" w:rsidRDefault="00A63476">
            <w:pPr>
              <w:pStyle w:val="TableParagraph"/>
              <w:rPr>
                <w:rFonts w:ascii="Times New Roman"/>
                <w:sz w:val="16"/>
              </w:rPr>
            </w:pPr>
          </w:p>
        </w:tc>
      </w:tr>
      <w:tr w:rsidR="00A63476">
        <w:trPr>
          <w:trHeight w:val="500"/>
        </w:trPr>
        <w:tc>
          <w:tcPr>
            <w:tcW w:w="7695" w:type="dxa"/>
            <w:tcBorders>
              <w:top w:val="nil"/>
              <w:bottom w:val="nil"/>
            </w:tcBorders>
          </w:tcPr>
          <w:p w:rsidR="00A63476" w:rsidRDefault="00D22874">
            <w:pPr>
              <w:pStyle w:val="TableParagraph"/>
              <w:numPr>
                <w:ilvl w:val="0"/>
                <w:numId w:val="10"/>
              </w:numPr>
              <w:tabs>
                <w:tab w:val="left" w:pos="449"/>
                <w:tab w:val="left" w:pos="450"/>
              </w:tabs>
              <w:spacing w:before="24"/>
              <w:ind w:hanging="361"/>
              <w:rPr>
                <w:sz w:val="16"/>
              </w:rPr>
            </w:pPr>
            <w:r>
              <w:rPr>
                <w:sz w:val="16"/>
              </w:rPr>
              <w:t>Lámparas fluorescentes compactas autobalastradas (focos ahorradores) que cumplan</w:t>
            </w:r>
            <w:r>
              <w:rPr>
                <w:spacing w:val="32"/>
                <w:sz w:val="16"/>
              </w:rPr>
              <w:t xml:space="preserve"> </w:t>
            </w:r>
            <w:r>
              <w:rPr>
                <w:sz w:val="16"/>
              </w:rPr>
              <w:t>con</w:t>
            </w:r>
          </w:p>
          <w:p w:rsidR="00A63476" w:rsidRDefault="00D22874">
            <w:pPr>
              <w:pStyle w:val="TableParagraph"/>
              <w:spacing w:before="76" w:line="165" w:lineRule="exact"/>
              <w:ind w:left="449"/>
              <w:rPr>
                <w:sz w:val="16"/>
              </w:rPr>
            </w:pPr>
            <w:r>
              <w:rPr>
                <w:sz w:val="16"/>
              </w:rPr>
              <w:t>normatividad vigente y mínimo de 20 W en interiores y mínimo de 13 W en exteriores. (ECO)</w:t>
            </w:r>
          </w:p>
        </w:tc>
        <w:tc>
          <w:tcPr>
            <w:tcW w:w="987" w:type="dxa"/>
            <w:tcBorders>
              <w:top w:val="nil"/>
              <w:bottom w:val="nil"/>
            </w:tcBorders>
          </w:tcPr>
          <w:p w:rsidR="00A63476" w:rsidRDefault="00A63476">
            <w:pPr>
              <w:pStyle w:val="TableParagraph"/>
              <w:spacing w:before="11"/>
              <w:rPr>
                <w:sz w:val="16"/>
              </w:rPr>
            </w:pPr>
          </w:p>
          <w:p w:rsidR="00A63476" w:rsidRDefault="00D22874">
            <w:pPr>
              <w:pStyle w:val="TableParagraph"/>
              <w:ind w:left="394" w:right="360"/>
              <w:jc w:val="center"/>
              <w:rPr>
                <w:sz w:val="16"/>
              </w:rPr>
            </w:pPr>
            <w:r>
              <w:rPr>
                <w:sz w:val="16"/>
              </w:rPr>
              <w:t>20</w:t>
            </w:r>
          </w:p>
        </w:tc>
      </w:tr>
      <w:tr w:rsidR="00A63476">
        <w:trPr>
          <w:trHeight w:val="1180"/>
        </w:trPr>
        <w:tc>
          <w:tcPr>
            <w:tcW w:w="7695" w:type="dxa"/>
            <w:tcBorders>
              <w:top w:val="nil"/>
              <w:bottom w:val="nil"/>
            </w:tcBorders>
          </w:tcPr>
          <w:p w:rsidR="00A63476" w:rsidRDefault="00D22874">
            <w:pPr>
              <w:pStyle w:val="TableParagraph"/>
              <w:numPr>
                <w:ilvl w:val="0"/>
                <w:numId w:val="9"/>
              </w:numPr>
              <w:tabs>
                <w:tab w:val="left" w:pos="449"/>
                <w:tab w:val="left" w:pos="450"/>
              </w:tabs>
              <w:spacing w:before="84" w:line="333" w:lineRule="auto"/>
              <w:ind w:right="67"/>
              <w:rPr>
                <w:sz w:val="16"/>
              </w:rPr>
            </w:pPr>
            <w:r>
              <w:rPr>
                <w:sz w:val="16"/>
              </w:rPr>
              <w:t xml:space="preserve">Regadera grado ecológico y llaves (válvulas) con dispositivo ahorrador de agua que cumplan con </w:t>
            </w:r>
            <w:r>
              <w:rPr>
                <w:spacing w:val="-6"/>
                <w:sz w:val="16"/>
              </w:rPr>
              <w:t xml:space="preserve">la </w:t>
            </w:r>
            <w:r>
              <w:rPr>
                <w:sz w:val="16"/>
              </w:rPr>
              <w:t>NMX-C-415 en: Cocina y Lavabo(s) de baño</w:t>
            </w:r>
            <w:r>
              <w:rPr>
                <w:spacing w:val="-1"/>
                <w:sz w:val="16"/>
              </w:rPr>
              <w:t xml:space="preserve"> </w:t>
            </w:r>
            <w:r>
              <w:rPr>
                <w:sz w:val="16"/>
              </w:rPr>
              <w:t>(ECO)</w:t>
            </w:r>
          </w:p>
          <w:p w:rsidR="00A63476" w:rsidRDefault="00D22874">
            <w:pPr>
              <w:pStyle w:val="TableParagraph"/>
              <w:numPr>
                <w:ilvl w:val="0"/>
                <w:numId w:val="9"/>
              </w:numPr>
              <w:tabs>
                <w:tab w:val="left" w:pos="449"/>
                <w:tab w:val="left" w:pos="450"/>
              </w:tabs>
              <w:spacing w:before="13"/>
              <w:ind w:hanging="361"/>
              <w:rPr>
                <w:sz w:val="16"/>
              </w:rPr>
            </w:pPr>
            <w:r>
              <w:rPr>
                <w:sz w:val="16"/>
              </w:rPr>
              <w:t>Válvulas de seccionamiento para alimentación en lavabos (2), inodoros (1), fregadero (2),</w:t>
            </w:r>
            <w:r>
              <w:rPr>
                <w:spacing w:val="12"/>
                <w:sz w:val="16"/>
              </w:rPr>
              <w:t xml:space="preserve"> </w:t>
            </w:r>
            <w:r>
              <w:rPr>
                <w:sz w:val="16"/>
              </w:rPr>
              <w:t>calentador</w:t>
            </w:r>
          </w:p>
          <w:p w:rsidR="00A63476" w:rsidRDefault="00D22874">
            <w:pPr>
              <w:pStyle w:val="TableParagraph"/>
              <w:spacing w:before="76"/>
              <w:ind w:left="449"/>
              <w:rPr>
                <w:sz w:val="16"/>
              </w:rPr>
            </w:pPr>
            <w:r>
              <w:rPr>
                <w:sz w:val="16"/>
              </w:rPr>
              <w:t>de agua (1</w:t>
            </w:r>
            <w:r>
              <w:rPr>
                <w:sz w:val="16"/>
              </w:rPr>
              <w:t>), tinaco (1) y cisterna (1). (ECO)</w:t>
            </w:r>
          </w:p>
        </w:tc>
        <w:tc>
          <w:tcPr>
            <w:tcW w:w="987" w:type="dxa"/>
            <w:tcBorders>
              <w:top w:val="nil"/>
              <w:bottom w:val="nil"/>
            </w:tcBorders>
          </w:tcPr>
          <w:p w:rsidR="00A63476" w:rsidRDefault="00D22874">
            <w:pPr>
              <w:pStyle w:val="TableParagraph"/>
              <w:spacing w:line="338" w:lineRule="auto"/>
              <w:ind w:left="134" w:right="121" w:hanging="3"/>
              <w:jc w:val="center"/>
              <w:rPr>
                <w:sz w:val="16"/>
              </w:rPr>
            </w:pPr>
            <w:r>
              <w:rPr>
                <w:sz w:val="16"/>
              </w:rPr>
              <w:t>(cada una de las opciones)</w:t>
            </w:r>
          </w:p>
        </w:tc>
      </w:tr>
      <w:tr w:rsidR="00A63476">
        <w:trPr>
          <w:trHeight w:val="300"/>
        </w:trPr>
        <w:tc>
          <w:tcPr>
            <w:tcW w:w="7695" w:type="dxa"/>
            <w:tcBorders>
              <w:top w:val="nil"/>
              <w:bottom w:val="nil"/>
            </w:tcBorders>
          </w:tcPr>
          <w:p w:rsidR="00A63476" w:rsidRDefault="00D22874">
            <w:pPr>
              <w:pStyle w:val="TableParagraph"/>
              <w:numPr>
                <w:ilvl w:val="0"/>
                <w:numId w:val="8"/>
              </w:numPr>
              <w:tabs>
                <w:tab w:val="left" w:pos="449"/>
                <w:tab w:val="left" w:pos="450"/>
              </w:tabs>
              <w:spacing w:before="24"/>
              <w:ind w:hanging="361"/>
              <w:rPr>
                <w:sz w:val="16"/>
              </w:rPr>
            </w:pPr>
            <w:r>
              <w:rPr>
                <w:sz w:val="16"/>
              </w:rPr>
              <w:t>Instalaciones hidrosanitarias</w:t>
            </w:r>
          </w:p>
        </w:tc>
        <w:tc>
          <w:tcPr>
            <w:tcW w:w="987" w:type="dxa"/>
            <w:tcBorders>
              <w:top w:val="nil"/>
              <w:bottom w:val="nil"/>
            </w:tcBorders>
          </w:tcPr>
          <w:p w:rsidR="00A63476" w:rsidRDefault="00A63476">
            <w:pPr>
              <w:pStyle w:val="TableParagraph"/>
              <w:rPr>
                <w:rFonts w:ascii="Times New Roman"/>
                <w:sz w:val="16"/>
              </w:rPr>
            </w:pPr>
          </w:p>
        </w:tc>
      </w:tr>
      <w:tr w:rsidR="00A63476">
        <w:trPr>
          <w:trHeight w:val="300"/>
        </w:trPr>
        <w:tc>
          <w:tcPr>
            <w:tcW w:w="7695" w:type="dxa"/>
            <w:tcBorders>
              <w:top w:val="nil"/>
              <w:bottom w:val="nil"/>
            </w:tcBorders>
          </w:tcPr>
          <w:p w:rsidR="00A63476" w:rsidRDefault="00D22874">
            <w:pPr>
              <w:pStyle w:val="TableParagraph"/>
              <w:numPr>
                <w:ilvl w:val="0"/>
                <w:numId w:val="7"/>
              </w:numPr>
              <w:tabs>
                <w:tab w:val="left" w:pos="449"/>
                <w:tab w:val="left" w:pos="450"/>
              </w:tabs>
              <w:spacing w:before="24"/>
              <w:ind w:hanging="361"/>
              <w:rPr>
                <w:sz w:val="16"/>
              </w:rPr>
            </w:pPr>
            <w:r>
              <w:rPr>
                <w:sz w:val="16"/>
              </w:rPr>
              <w:t>Instalaciones</w:t>
            </w:r>
            <w:r>
              <w:rPr>
                <w:spacing w:val="-1"/>
                <w:sz w:val="16"/>
              </w:rPr>
              <w:t xml:space="preserve"> </w:t>
            </w:r>
            <w:r>
              <w:rPr>
                <w:sz w:val="16"/>
              </w:rPr>
              <w:t>eléctricas</w:t>
            </w:r>
          </w:p>
        </w:tc>
        <w:tc>
          <w:tcPr>
            <w:tcW w:w="987" w:type="dxa"/>
            <w:tcBorders>
              <w:top w:val="nil"/>
              <w:bottom w:val="nil"/>
            </w:tcBorders>
          </w:tcPr>
          <w:p w:rsidR="00A63476" w:rsidRDefault="00A63476">
            <w:pPr>
              <w:pStyle w:val="TableParagraph"/>
              <w:rPr>
                <w:rFonts w:ascii="Times New Roman"/>
                <w:sz w:val="16"/>
              </w:rPr>
            </w:pPr>
          </w:p>
        </w:tc>
      </w:tr>
      <w:tr w:rsidR="00A63476">
        <w:trPr>
          <w:trHeight w:val="319"/>
        </w:trPr>
        <w:tc>
          <w:tcPr>
            <w:tcW w:w="7695" w:type="dxa"/>
            <w:tcBorders>
              <w:top w:val="nil"/>
            </w:tcBorders>
          </w:tcPr>
          <w:p w:rsidR="00A63476" w:rsidRDefault="00D22874">
            <w:pPr>
              <w:pStyle w:val="TableParagraph"/>
              <w:numPr>
                <w:ilvl w:val="0"/>
                <w:numId w:val="6"/>
              </w:numPr>
              <w:tabs>
                <w:tab w:val="left" w:pos="449"/>
                <w:tab w:val="left" w:pos="450"/>
              </w:tabs>
              <w:spacing w:before="24"/>
              <w:ind w:hanging="361"/>
              <w:rPr>
                <w:sz w:val="16"/>
              </w:rPr>
            </w:pPr>
            <w:r>
              <w:rPr>
                <w:sz w:val="16"/>
              </w:rPr>
              <w:t>Instalación de</w:t>
            </w:r>
            <w:r>
              <w:rPr>
                <w:spacing w:val="-1"/>
                <w:sz w:val="16"/>
              </w:rPr>
              <w:t xml:space="preserve"> </w:t>
            </w:r>
            <w:r>
              <w:rPr>
                <w:sz w:val="16"/>
              </w:rPr>
              <w:t>gas</w:t>
            </w:r>
          </w:p>
        </w:tc>
        <w:tc>
          <w:tcPr>
            <w:tcW w:w="987" w:type="dxa"/>
            <w:tcBorders>
              <w:top w:val="nil"/>
            </w:tcBorders>
          </w:tcPr>
          <w:p w:rsidR="00A63476" w:rsidRDefault="00A63476">
            <w:pPr>
              <w:pStyle w:val="TableParagraph"/>
              <w:rPr>
                <w:rFonts w:ascii="Times New Roman"/>
                <w:sz w:val="16"/>
              </w:rPr>
            </w:pPr>
          </w:p>
        </w:tc>
      </w:tr>
    </w:tbl>
    <w:p w:rsidR="00A63476" w:rsidRDefault="00A63476">
      <w:pPr>
        <w:rPr>
          <w:rFonts w:ascii="Times New Roman"/>
          <w:sz w:val="16"/>
        </w:rPr>
        <w:sectPr w:rsidR="00A63476">
          <w:pgSz w:w="12240" w:h="15840"/>
          <w:pgMar w:top="880" w:right="1040" w:bottom="280" w:left="1180" w:header="699" w:footer="0" w:gutter="0"/>
          <w:cols w:space="720"/>
        </w:sectPr>
      </w:pPr>
    </w:p>
    <w:p w:rsidR="00A63476" w:rsidRDefault="00FF0FB3">
      <w:pPr>
        <w:pStyle w:val="Textoindependiente"/>
        <w:spacing w:line="20" w:lineRule="exact"/>
        <w:ind w:left="396" w:right="0" w:firstLine="0"/>
        <w:jc w:val="left"/>
        <w:rPr>
          <w:sz w:val="2"/>
        </w:rPr>
      </w:pPr>
      <w:r>
        <w:rPr>
          <w:noProof/>
          <w:sz w:val="2"/>
        </w:rPr>
        <w:lastRenderedPageBreak/>
        <mc:AlternateContent>
          <mc:Choice Requires="wpg">
            <w:drawing>
              <wp:inline distT="0" distB="0" distL="0" distR="0">
                <wp:extent cx="5852160" cy="9525"/>
                <wp:effectExtent l="10160" t="6985" r="5080" b="2540"/>
                <wp:docPr id="42" name="Group 19"/>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5852160" cy="9525"/>
                          <a:chOff x="0" y="0"/>
                          <a:chExt cx="9216" cy="15"/>
                        </a:xfrm>
                      </wpg:grpSpPr>
                      <wps:wsp>
                        <wps:cNvPr id="43" name="Line 20"/>
                        <wps:cNvCnPr>
                          <a:cxnSpLocks noChangeShapeType="1"/>
                        </wps:cNvCnPr>
                        <wps:spPr bwMode="auto">
                          <a:xfrm>
                            <a:off x="0" y="7"/>
                            <a:ext cx="9216" cy="0"/>
                          </a:xfrm>
                          <a:prstGeom prst="line">
                            <a:avLst/>
                          </a:prstGeom>
                          <a:noFill/>
                          <a:ln w="9525">
                            <a:solidFill>
                              <a:srgbClr val="000000"/>
                            </a:solidFill>
                            <a:prstDash val="solid"/>
                            <a:round/>
                            <a:headEnd/>
                            <a:tailEnd/>
                          </a:ln>
                          <a:extLst>
                            <a:ext uri="{909E8E84-426E-40DD-AFC4-6F175D3DCCD1}">
                              <a14:hiddenFill xmlns:a14="http://schemas.microsoft.com/office/drawing/2010/main">
                                <a:noFill/>
                              </a14:hiddenFill>
                            </a:ext>
                          </a:extLst>
                        </wps:spPr>
                        <wps:bodyPr/>
                      </wps:wsp>
                    </wpg:wgp>
                  </a:graphicData>
                </a:graphic>
              </wp:inline>
            </w:drawing>
          </mc:Choice>
          <mc:Fallback>
            <w:pict>
              <v:group w14:anchorId="7C541947" id="Group 19" o:spid="_x0000_s1026" style="width:460.8pt;height:.75pt;mso-position-horizontal-relative:char;mso-position-vertical-relative:line" coordsize="9216,1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">
                <v:line id="Line 20" o:spid="_x0000_s1027" style="position:absolute;visibility:visible;mso-wrap-style:square" from="0,7" to="9216,7"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"/>
                <w10:anchorlock/>
              </v:group>
            </w:pict>
          </mc:Fallback>
        </mc:AlternateContent>
      </w:r>
    </w:p>
    <w:p w:rsidR="00A63476" w:rsidRDefault="00A63476">
      <w:pPr>
        <w:pStyle w:val="Textoindependiente"/>
        <w:spacing w:before="3"/>
        <w:ind w:left="0" w:right="0" w:firstLine="0"/>
        <w:jc w:val="left"/>
        <w:rPr>
          <w:sz w:val="20"/>
        </w:rPr>
      </w:pPr>
    </w:p>
    <w:tbl>
      <w:tblPr>
        <w:tblStyle w:val="TableNormal"/>
        <w:tblW w:w="0" w:type="auto"/>
        <w:tblInd w:w="678" w:type="dxa"/>
        <w:tblBorders>
          <w:top w:val="single" w:sz="6" w:space="0" w:color="404040"/>
          <w:left w:val="single" w:sz="6" w:space="0" w:color="404040"/>
          <w:bottom w:val="single" w:sz="6" w:space="0" w:color="404040"/>
          <w:right w:val="single" w:sz="6" w:space="0" w:color="404040"/>
          <w:insideH w:val="single" w:sz="6" w:space="0" w:color="404040"/>
          <w:insideV w:val="single" w:sz="6" w:space="0" w:color="404040"/>
        </w:tblBorders>
        <w:tblLayout w:type="fixed"/>
        <w:tblLook w:val="01E0" w:firstRow="1" w:lastRow="1" w:firstColumn="1" w:lastColumn="1" w:noHBand="0" w:noVBand="0"/>
      </w:tblPr>
      <w:tblGrid>
        <w:gridCol w:w="7695"/>
        <w:gridCol w:w="987"/>
      </w:tblGrid>
      <w:tr w:rsidR="00A63476">
        <w:trPr>
          <w:trHeight w:val="2752"/>
        </w:trPr>
        <w:tc>
          <w:tcPr>
            <w:tcW w:w="7695" w:type="dxa"/>
          </w:tcPr>
          <w:p w:rsidR="00A63476" w:rsidRDefault="00D22874">
            <w:pPr>
              <w:pStyle w:val="TableParagraph"/>
              <w:numPr>
                <w:ilvl w:val="0"/>
                <w:numId w:val="5"/>
              </w:numPr>
              <w:tabs>
                <w:tab w:val="left" w:pos="449"/>
                <w:tab w:val="left" w:pos="450"/>
              </w:tabs>
              <w:spacing w:before="112" w:line="333" w:lineRule="auto"/>
              <w:ind w:right="67"/>
              <w:rPr>
                <w:sz w:val="16"/>
              </w:rPr>
            </w:pPr>
            <w:r>
              <w:rPr>
                <w:sz w:val="16"/>
              </w:rPr>
              <w:t xml:space="preserve">Al menos 50% de lámparas LED (de mínimo 3.5 W y cumplir con una eficiencia mínima de 80 </w:t>
            </w:r>
            <w:r>
              <w:rPr>
                <w:spacing w:val="-5"/>
                <w:sz w:val="16"/>
              </w:rPr>
              <w:t xml:space="preserve">lm/W, </w:t>
            </w:r>
            <w:r>
              <w:rPr>
                <w:sz w:val="16"/>
              </w:rPr>
              <w:t>y de tipo omnidireccional.) (ECO)</w:t>
            </w:r>
          </w:p>
          <w:p w:rsidR="00A63476" w:rsidRDefault="00D22874">
            <w:pPr>
              <w:pStyle w:val="TableParagraph"/>
              <w:numPr>
                <w:ilvl w:val="0"/>
                <w:numId w:val="5"/>
              </w:numPr>
              <w:tabs>
                <w:tab w:val="left" w:pos="449"/>
                <w:tab w:val="left" w:pos="450"/>
              </w:tabs>
              <w:spacing w:before="33" w:line="333" w:lineRule="auto"/>
              <w:ind w:right="67"/>
              <w:rPr>
                <w:sz w:val="16"/>
              </w:rPr>
            </w:pPr>
            <w:r>
              <w:rPr>
                <w:sz w:val="16"/>
              </w:rPr>
              <w:t xml:space="preserve">Incorporación de partesoles opacos, volados y/o ventanas remetidas en fachadas </w:t>
            </w:r>
            <w:r>
              <w:rPr>
                <w:spacing w:val="-3"/>
                <w:sz w:val="16"/>
              </w:rPr>
              <w:t xml:space="preserve">sur, </w:t>
            </w:r>
            <w:r>
              <w:rPr>
                <w:sz w:val="16"/>
              </w:rPr>
              <w:t xml:space="preserve">este y </w:t>
            </w:r>
            <w:r>
              <w:rPr>
                <w:sz w:val="16"/>
              </w:rPr>
              <w:t xml:space="preserve">oeste (ECO) fachadas </w:t>
            </w:r>
            <w:r>
              <w:rPr>
                <w:spacing w:val="-3"/>
                <w:sz w:val="16"/>
              </w:rPr>
              <w:t xml:space="preserve">sur, </w:t>
            </w:r>
            <w:r>
              <w:rPr>
                <w:sz w:val="16"/>
              </w:rPr>
              <w:t>este y oeste</w:t>
            </w:r>
            <w:r>
              <w:rPr>
                <w:spacing w:val="2"/>
                <w:sz w:val="16"/>
              </w:rPr>
              <w:t xml:space="preserve"> </w:t>
            </w:r>
            <w:r>
              <w:rPr>
                <w:sz w:val="16"/>
              </w:rPr>
              <w:t>(DS)</w:t>
            </w:r>
          </w:p>
          <w:p w:rsidR="00A63476" w:rsidRDefault="00D22874">
            <w:pPr>
              <w:pStyle w:val="TableParagraph"/>
              <w:numPr>
                <w:ilvl w:val="0"/>
                <w:numId w:val="5"/>
              </w:numPr>
              <w:tabs>
                <w:tab w:val="left" w:pos="449"/>
                <w:tab w:val="left" w:pos="450"/>
              </w:tabs>
              <w:spacing w:before="33"/>
              <w:ind w:hanging="361"/>
              <w:rPr>
                <w:sz w:val="16"/>
              </w:rPr>
            </w:pPr>
            <w:r>
              <w:rPr>
                <w:sz w:val="16"/>
              </w:rPr>
              <w:t>WC con descarga máxima de 5 litros (Grado ecológico)</w:t>
            </w:r>
            <w:r>
              <w:rPr>
                <w:spacing w:val="-1"/>
                <w:sz w:val="16"/>
              </w:rPr>
              <w:t xml:space="preserve"> </w:t>
            </w:r>
            <w:r>
              <w:rPr>
                <w:sz w:val="16"/>
              </w:rPr>
              <w:t>(ECO)</w:t>
            </w:r>
          </w:p>
          <w:p w:rsidR="00A63476" w:rsidRDefault="00D22874">
            <w:pPr>
              <w:pStyle w:val="TableParagraph"/>
              <w:numPr>
                <w:ilvl w:val="0"/>
                <w:numId w:val="5"/>
              </w:numPr>
              <w:tabs>
                <w:tab w:val="left" w:pos="449"/>
                <w:tab w:val="left" w:pos="450"/>
              </w:tabs>
              <w:spacing w:before="85" w:line="333" w:lineRule="auto"/>
              <w:ind w:right="67"/>
              <w:rPr>
                <w:sz w:val="16"/>
              </w:rPr>
            </w:pPr>
            <w:r>
              <w:rPr>
                <w:sz w:val="16"/>
              </w:rPr>
              <w:t>Aislamiento en muro de mayor asoleamiento o techo, que cumpla con valor mínimo “R” de la NMX- C-460-ONNCCE-2009.</w:t>
            </w:r>
            <w:r>
              <w:rPr>
                <w:spacing w:val="-1"/>
                <w:sz w:val="16"/>
              </w:rPr>
              <w:t xml:space="preserve"> </w:t>
            </w:r>
            <w:r>
              <w:rPr>
                <w:sz w:val="16"/>
              </w:rPr>
              <w:t>(DS)</w:t>
            </w:r>
          </w:p>
          <w:p w:rsidR="00A63476" w:rsidRDefault="00D22874">
            <w:pPr>
              <w:pStyle w:val="TableParagraph"/>
              <w:numPr>
                <w:ilvl w:val="0"/>
                <w:numId w:val="5"/>
              </w:numPr>
              <w:tabs>
                <w:tab w:val="left" w:pos="449"/>
                <w:tab w:val="left" w:pos="450"/>
              </w:tabs>
              <w:spacing w:before="33"/>
              <w:ind w:hanging="361"/>
              <w:rPr>
                <w:sz w:val="16"/>
              </w:rPr>
            </w:pPr>
            <w:r>
              <w:rPr>
                <w:sz w:val="16"/>
              </w:rPr>
              <w:t xml:space="preserve">Medidor de flujo que cumpla con la </w:t>
            </w:r>
            <w:r>
              <w:rPr>
                <w:sz w:val="16"/>
              </w:rPr>
              <w:t>normatividad vigente</w:t>
            </w:r>
            <w:r>
              <w:rPr>
                <w:spacing w:val="-1"/>
                <w:sz w:val="16"/>
              </w:rPr>
              <w:t xml:space="preserve"> </w:t>
            </w:r>
            <w:r>
              <w:rPr>
                <w:sz w:val="16"/>
              </w:rPr>
              <w:t>(INF)</w:t>
            </w:r>
          </w:p>
          <w:p w:rsidR="00A63476" w:rsidRDefault="00D22874">
            <w:pPr>
              <w:pStyle w:val="TableParagraph"/>
              <w:numPr>
                <w:ilvl w:val="0"/>
                <w:numId w:val="5"/>
              </w:numPr>
              <w:tabs>
                <w:tab w:val="left" w:pos="449"/>
                <w:tab w:val="left" w:pos="450"/>
              </w:tabs>
              <w:spacing w:before="85"/>
              <w:ind w:hanging="361"/>
              <w:rPr>
                <w:sz w:val="16"/>
              </w:rPr>
            </w:pPr>
            <w:r>
              <w:rPr>
                <w:sz w:val="16"/>
              </w:rPr>
              <w:t>Pintura exterior (cuando se requiera según el material constructivo a utilizar)</w:t>
            </w:r>
            <w:r>
              <w:rPr>
                <w:spacing w:val="-1"/>
                <w:sz w:val="16"/>
              </w:rPr>
              <w:t xml:space="preserve"> </w:t>
            </w:r>
            <w:r>
              <w:rPr>
                <w:sz w:val="16"/>
              </w:rPr>
              <w:t>(COM)</w:t>
            </w:r>
          </w:p>
        </w:tc>
        <w:tc>
          <w:tcPr>
            <w:tcW w:w="987" w:type="dxa"/>
          </w:tcPr>
          <w:p w:rsidR="00A63476" w:rsidRDefault="00A63476">
            <w:pPr>
              <w:pStyle w:val="TableParagraph"/>
              <w:rPr>
                <w:sz w:val="18"/>
              </w:rPr>
            </w:pPr>
          </w:p>
          <w:p w:rsidR="00A63476" w:rsidRDefault="00A63476">
            <w:pPr>
              <w:pStyle w:val="TableParagraph"/>
              <w:rPr>
                <w:sz w:val="18"/>
              </w:rPr>
            </w:pPr>
          </w:p>
          <w:p w:rsidR="00A63476" w:rsidRDefault="00A63476">
            <w:pPr>
              <w:pStyle w:val="TableParagraph"/>
              <w:rPr>
                <w:sz w:val="18"/>
              </w:rPr>
            </w:pPr>
          </w:p>
          <w:p w:rsidR="00A63476" w:rsidRDefault="00A63476">
            <w:pPr>
              <w:pStyle w:val="TableParagraph"/>
              <w:spacing w:before="6"/>
              <w:rPr>
                <w:sz w:val="24"/>
              </w:rPr>
            </w:pPr>
          </w:p>
          <w:p w:rsidR="00A63476" w:rsidRDefault="00D22874">
            <w:pPr>
              <w:pStyle w:val="TableParagraph"/>
              <w:ind w:left="394" w:right="360"/>
              <w:jc w:val="center"/>
              <w:rPr>
                <w:sz w:val="16"/>
              </w:rPr>
            </w:pPr>
            <w:r>
              <w:rPr>
                <w:sz w:val="16"/>
              </w:rPr>
              <w:t>35</w:t>
            </w:r>
          </w:p>
          <w:p w:rsidR="00A63476" w:rsidRDefault="00D22874">
            <w:pPr>
              <w:pStyle w:val="TableParagraph"/>
              <w:spacing w:before="116" w:line="352" w:lineRule="auto"/>
              <w:ind w:left="134" w:right="121" w:hanging="3"/>
              <w:jc w:val="center"/>
              <w:rPr>
                <w:sz w:val="16"/>
              </w:rPr>
            </w:pPr>
            <w:r>
              <w:rPr>
                <w:sz w:val="16"/>
              </w:rPr>
              <w:t>(cada una de las opciones)</w:t>
            </w:r>
          </w:p>
        </w:tc>
      </w:tr>
      <w:tr w:rsidR="00A63476">
        <w:trPr>
          <w:trHeight w:val="320"/>
        </w:trPr>
        <w:tc>
          <w:tcPr>
            <w:tcW w:w="7695" w:type="dxa"/>
            <w:tcBorders>
              <w:bottom w:val="nil"/>
            </w:tcBorders>
          </w:tcPr>
          <w:p w:rsidR="00A63476" w:rsidRDefault="00D22874">
            <w:pPr>
              <w:pStyle w:val="TableParagraph"/>
              <w:numPr>
                <w:ilvl w:val="0"/>
                <w:numId w:val="4"/>
              </w:numPr>
              <w:tabs>
                <w:tab w:val="left" w:pos="449"/>
                <w:tab w:val="left" w:pos="450"/>
              </w:tabs>
              <w:spacing w:before="105" w:line="195" w:lineRule="exact"/>
              <w:ind w:hanging="361"/>
              <w:rPr>
                <w:sz w:val="16"/>
              </w:rPr>
            </w:pPr>
            <w:r>
              <w:rPr>
                <w:sz w:val="16"/>
              </w:rPr>
              <w:t>Calentador solar de agua (ECO)</w:t>
            </w:r>
          </w:p>
        </w:tc>
        <w:tc>
          <w:tcPr>
            <w:tcW w:w="987" w:type="dxa"/>
            <w:tcBorders>
              <w:bottom w:val="nil"/>
            </w:tcBorders>
          </w:tcPr>
          <w:p w:rsidR="00A63476" w:rsidRDefault="00A63476">
            <w:pPr>
              <w:pStyle w:val="TableParagraph"/>
              <w:rPr>
                <w:rFonts w:ascii="Times New Roman"/>
                <w:sz w:val="16"/>
              </w:rPr>
            </w:pPr>
          </w:p>
        </w:tc>
      </w:tr>
      <w:tr w:rsidR="00A63476">
        <w:trPr>
          <w:trHeight w:val="300"/>
        </w:trPr>
        <w:tc>
          <w:tcPr>
            <w:tcW w:w="7695" w:type="dxa"/>
            <w:tcBorders>
              <w:top w:val="nil"/>
              <w:bottom w:val="nil"/>
            </w:tcBorders>
          </w:tcPr>
          <w:p w:rsidR="00A63476" w:rsidRDefault="00D22874">
            <w:pPr>
              <w:pStyle w:val="TableParagraph"/>
              <w:numPr>
                <w:ilvl w:val="0"/>
                <w:numId w:val="3"/>
              </w:numPr>
              <w:tabs>
                <w:tab w:val="left" w:pos="449"/>
                <w:tab w:val="left" w:pos="450"/>
              </w:tabs>
              <w:spacing w:before="84" w:line="195" w:lineRule="exact"/>
              <w:ind w:hanging="361"/>
              <w:rPr>
                <w:sz w:val="16"/>
              </w:rPr>
            </w:pPr>
            <w:r>
              <w:rPr>
                <w:sz w:val="16"/>
              </w:rPr>
              <w:t>Sembrado de 1 árbol en el terreno de la vivienda adecuado al lugar (COM)</w:t>
            </w:r>
          </w:p>
        </w:tc>
        <w:tc>
          <w:tcPr>
            <w:tcW w:w="987" w:type="dxa"/>
            <w:tcBorders>
              <w:top w:val="nil"/>
              <w:bottom w:val="nil"/>
            </w:tcBorders>
          </w:tcPr>
          <w:p w:rsidR="00A63476" w:rsidRDefault="00D22874">
            <w:pPr>
              <w:pStyle w:val="TableParagraph"/>
              <w:spacing w:line="179" w:lineRule="exact"/>
              <w:ind w:left="394" w:right="360"/>
              <w:jc w:val="center"/>
              <w:rPr>
                <w:sz w:val="16"/>
              </w:rPr>
            </w:pPr>
            <w:r>
              <w:rPr>
                <w:sz w:val="16"/>
              </w:rPr>
              <w:t>50</w:t>
            </w:r>
          </w:p>
        </w:tc>
      </w:tr>
      <w:tr w:rsidR="00A63476">
        <w:trPr>
          <w:trHeight w:val="710"/>
        </w:trPr>
        <w:tc>
          <w:tcPr>
            <w:tcW w:w="7695" w:type="dxa"/>
            <w:tcBorders>
              <w:top w:val="nil"/>
              <w:bottom w:val="nil"/>
            </w:tcBorders>
          </w:tcPr>
          <w:p w:rsidR="00A63476" w:rsidRDefault="00D22874">
            <w:pPr>
              <w:pStyle w:val="TableParagraph"/>
              <w:numPr>
                <w:ilvl w:val="0"/>
                <w:numId w:val="2"/>
              </w:numPr>
              <w:tabs>
                <w:tab w:val="left" w:pos="449"/>
                <w:tab w:val="left" w:pos="450"/>
              </w:tabs>
              <w:spacing w:before="84"/>
              <w:ind w:hanging="361"/>
              <w:rPr>
                <w:sz w:val="16"/>
              </w:rPr>
            </w:pPr>
            <w:r>
              <w:rPr>
                <w:sz w:val="16"/>
              </w:rPr>
              <w:t>Materiales regionales en cumplimiento con normatividad (DS)</w:t>
            </w:r>
          </w:p>
          <w:p w:rsidR="00A63476" w:rsidRDefault="00D22874">
            <w:pPr>
              <w:pStyle w:val="TableParagraph"/>
              <w:numPr>
                <w:ilvl w:val="0"/>
                <w:numId w:val="2"/>
              </w:numPr>
              <w:tabs>
                <w:tab w:val="left" w:pos="449"/>
                <w:tab w:val="left" w:pos="450"/>
              </w:tabs>
              <w:spacing w:before="86"/>
              <w:ind w:hanging="361"/>
              <w:rPr>
                <w:sz w:val="16"/>
              </w:rPr>
            </w:pPr>
            <w:r>
              <w:rPr>
                <w:sz w:val="16"/>
              </w:rPr>
              <w:t>WC con descarga máxima de 4 litros (ECO)</w:t>
            </w:r>
          </w:p>
        </w:tc>
        <w:tc>
          <w:tcPr>
            <w:tcW w:w="987" w:type="dxa"/>
            <w:tcBorders>
              <w:top w:val="nil"/>
              <w:bottom w:val="nil"/>
            </w:tcBorders>
          </w:tcPr>
          <w:p w:rsidR="00A63476" w:rsidRDefault="00D22874">
            <w:pPr>
              <w:pStyle w:val="TableParagraph"/>
              <w:spacing w:line="338" w:lineRule="auto"/>
              <w:ind w:left="274" w:right="106" w:hanging="140"/>
              <w:rPr>
                <w:sz w:val="16"/>
              </w:rPr>
            </w:pPr>
            <w:r>
              <w:rPr>
                <w:sz w:val="16"/>
              </w:rPr>
              <w:t>(cada una de las</w:t>
            </w:r>
          </w:p>
          <w:p w:rsidR="00A63476" w:rsidRDefault="00D22874">
            <w:pPr>
              <w:pStyle w:val="TableParagraph"/>
              <w:spacing w:line="175" w:lineRule="exact"/>
              <w:ind w:left="154"/>
              <w:rPr>
                <w:sz w:val="16"/>
              </w:rPr>
            </w:pPr>
            <w:r>
              <w:rPr>
                <w:sz w:val="16"/>
              </w:rPr>
              <w:t>opciones)</w:t>
            </w:r>
          </w:p>
        </w:tc>
      </w:tr>
      <w:tr w:rsidR="00A63476">
        <w:trPr>
          <w:trHeight w:val="271"/>
        </w:trPr>
        <w:tc>
          <w:tcPr>
            <w:tcW w:w="7695" w:type="dxa"/>
            <w:tcBorders>
              <w:top w:val="nil"/>
            </w:tcBorders>
          </w:tcPr>
          <w:p w:rsidR="00A63476" w:rsidRDefault="00D22874">
            <w:pPr>
              <w:pStyle w:val="TableParagraph"/>
              <w:numPr>
                <w:ilvl w:val="0"/>
                <w:numId w:val="1"/>
              </w:numPr>
              <w:tabs>
                <w:tab w:val="left" w:pos="449"/>
                <w:tab w:val="left" w:pos="450"/>
              </w:tabs>
              <w:spacing w:line="189" w:lineRule="exact"/>
              <w:ind w:hanging="361"/>
              <w:rPr>
                <w:sz w:val="16"/>
              </w:rPr>
            </w:pPr>
            <w:r>
              <w:rPr>
                <w:sz w:val="16"/>
              </w:rPr>
              <w:t>Sistema de captación de agua pluvial</w:t>
            </w:r>
            <w:r>
              <w:rPr>
                <w:spacing w:val="-1"/>
                <w:sz w:val="16"/>
              </w:rPr>
              <w:t xml:space="preserve"> </w:t>
            </w:r>
            <w:r>
              <w:rPr>
                <w:sz w:val="16"/>
              </w:rPr>
              <w:t>(ECO)</w:t>
            </w:r>
          </w:p>
        </w:tc>
        <w:tc>
          <w:tcPr>
            <w:tcW w:w="987" w:type="dxa"/>
            <w:tcBorders>
              <w:top w:val="nil"/>
            </w:tcBorders>
          </w:tcPr>
          <w:p w:rsidR="00A63476" w:rsidRDefault="00A63476">
            <w:pPr>
              <w:pStyle w:val="TableParagraph"/>
              <w:rPr>
                <w:rFonts w:ascii="Times New Roman"/>
                <w:sz w:val="16"/>
              </w:rPr>
            </w:pPr>
          </w:p>
        </w:tc>
      </w:tr>
    </w:tbl>
    <w:p w:rsidR="00A63476" w:rsidRDefault="00A63476">
      <w:pPr>
        <w:pStyle w:val="Textoindependiente"/>
        <w:spacing w:before="1"/>
        <w:ind w:left="0" w:right="0" w:firstLine="0"/>
        <w:jc w:val="left"/>
        <w:rPr>
          <w:sz w:val="26"/>
        </w:rPr>
      </w:pPr>
    </w:p>
    <w:tbl>
      <w:tblPr>
        <w:tblStyle w:val="TableNormal"/>
        <w:tblW w:w="0" w:type="auto"/>
        <w:tblInd w:w="678" w:type="dxa"/>
        <w:tblBorders>
          <w:top w:val="single" w:sz="6" w:space="0" w:color="404040"/>
          <w:left w:val="single" w:sz="6" w:space="0" w:color="404040"/>
          <w:bottom w:val="single" w:sz="6" w:space="0" w:color="404040"/>
          <w:right w:val="single" w:sz="6" w:space="0" w:color="404040"/>
          <w:insideH w:val="single" w:sz="6" w:space="0" w:color="404040"/>
          <w:insideV w:val="single" w:sz="6" w:space="0" w:color="404040"/>
        </w:tblBorders>
        <w:tblLayout w:type="fixed"/>
        <w:tblLook w:val="01E0" w:firstRow="1" w:lastRow="1" w:firstColumn="1" w:lastColumn="1" w:noHBand="0" w:noVBand="0"/>
      </w:tblPr>
      <w:tblGrid>
        <w:gridCol w:w="2457"/>
        <w:gridCol w:w="2260"/>
        <w:gridCol w:w="2517"/>
        <w:gridCol w:w="1451"/>
      </w:tblGrid>
      <w:tr w:rsidR="00A63476">
        <w:trPr>
          <w:trHeight w:val="718"/>
        </w:trPr>
        <w:tc>
          <w:tcPr>
            <w:tcW w:w="8685" w:type="dxa"/>
            <w:gridSpan w:val="4"/>
          </w:tcPr>
          <w:p w:rsidR="00A63476" w:rsidRDefault="00D22874">
            <w:pPr>
              <w:pStyle w:val="TableParagraph"/>
              <w:spacing w:before="66" w:line="235" w:lineRule="auto"/>
              <w:ind w:left="293" w:right="269"/>
              <w:jc w:val="center"/>
              <w:rPr>
                <w:b/>
                <w:sz w:val="16"/>
              </w:rPr>
            </w:pPr>
            <w:r>
              <w:rPr>
                <w:b/>
                <w:sz w:val="16"/>
              </w:rPr>
              <w:t>D.- PUNTAJE DE UBICACIÓN Y SUSTENTABILIDAD DEL ENTORNO PARA AUTOPRODUCCIÓN RURAL DE VIVIENDA*</w:t>
            </w:r>
          </w:p>
          <w:p w:rsidR="00A63476" w:rsidRDefault="00D22874">
            <w:pPr>
              <w:pStyle w:val="TableParagraph"/>
              <w:spacing w:before="37"/>
              <w:ind w:left="292" w:right="269"/>
              <w:jc w:val="center"/>
              <w:rPr>
                <w:sz w:val="16"/>
              </w:rPr>
            </w:pPr>
            <w:r>
              <w:rPr>
                <w:sz w:val="16"/>
              </w:rPr>
              <w:t>(en el puntaje para esta modalidad, sólo aplica la dimensión de competitividad)</w:t>
            </w:r>
          </w:p>
        </w:tc>
      </w:tr>
      <w:tr w:rsidR="00A63476">
        <w:trPr>
          <w:trHeight w:val="334"/>
        </w:trPr>
        <w:tc>
          <w:tcPr>
            <w:tcW w:w="2457" w:type="dxa"/>
            <w:shd w:val="clear" w:color="auto" w:fill="DFDFDF"/>
          </w:tcPr>
          <w:p w:rsidR="00A63476" w:rsidRDefault="00D22874">
            <w:pPr>
              <w:pStyle w:val="TableParagraph"/>
              <w:spacing w:before="70"/>
              <w:ind w:left="769"/>
              <w:rPr>
                <w:b/>
                <w:sz w:val="16"/>
              </w:rPr>
            </w:pPr>
            <w:r>
              <w:rPr>
                <w:b/>
                <w:sz w:val="16"/>
              </w:rPr>
              <w:t>DIMENSIÓN</w:t>
            </w:r>
          </w:p>
        </w:tc>
        <w:tc>
          <w:tcPr>
            <w:tcW w:w="4777" w:type="dxa"/>
            <w:gridSpan w:val="2"/>
            <w:shd w:val="clear" w:color="auto" w:fill="DFDFDF"/>
          </w:tcPr>
          <w:p w:rsidR="00A63476" w:rsidRDefault="00D22874">
            <w:pPr>
              <w:pStyle w:val="TableParagraph"/>
              <w:spacing w:before="70"/>
              <w:ind w:left="1806" w:right="1778"/>
              <w:jc w:val="center"/>
              <w:rPr>
                <w:b/>
                <w:sz w:val="16"/>
              </w:rPr>
            </w:pPr>
            <w:r>
              <w:rPr>
                <w:b/>
                <w:sz w:val="16"/>
              </w:rPr>
              <w:t>PARÁMETROS</w:t>
            </w:r>
          </w:p>
        </w:tc>
        <w:tc>
          <w:tcPr>
            <w:tcW w:w="1451" w:type="dxa"/>
            <w:shd w:val="clear" w:color="auto" w:fill="DFDFDF"/>
          </w:tcPr>
          <w:p w:rsidR="00A63476" w:rsidRDefault="00D22874">
            <w:pPr>
              <w:pStyle w:val="TableParagraph"/>
              <w:spacing w:before="70"/>
              <w:ind w:left="67" w:right="58"/>
              <w:jc w:val="center"/>
              <w:rPr>
                <w:b/>
                <w:sz w:val="16"/>
              </w:rPr>
            </w:pPr>
            <w:r>
              <w:rPr>
                <w:b/>
                <w:sz w:val="16"/>
              </w:rPr>
              <w:t>PUNTAJE</w:t>
            </w:r>
          </w:p>
        </w:tc>
      </w:tr>
      <w:tr w:rsidR="00A63476">
        <w:trPr>
          <w:trHeight w:val="334"/>
        </w:trPr>
        <w:tc>
          <w:tcPr>
            <w:tcW w:w="2457" w:type="dxa"/>
            <w:vMerge w:val="restart"/>
          </w:tcPr>
          <w:p w:rsidR="00A63476" w:rsidRDefault="00D22874">
            <w:pPr>
              <w:pStyle w:val="TableParagraph"/>
              <w:spacing w:before="160"/>
              <w:ind w:left="89"/>
              <w:rPr>
                <w:b/>
                <w:sz w:val="16"/>
              </w:rPr>
            </w:pPr>
            <w:r>
              <w:rPr>
                <w:b/>
                <w:sz w:val="16"/>
              </w:rPr>
              <w:t>COHESIÓN SOCIAL</w:t>
            </w:r>
          </w:p>
          <w:p w:rsidR="00A63476" w:rsidRDefault="00D22874">
            <w:pPr>
              <w:pStyle w:val="TableParagraph"/>
              <w:spacing w:before="16"/>
              <w:ind w:left="89"/>
              <w:rPr>
                <w:b/>
                <w:sz w:val="16"/>
              </w:rPr>
            </w:pPr>
            <w:r>
              <w:rPr>
                <w:b/>
                <w:sz w:val="16"/>
              </w:rPr>
              <w:t>(máx: 60 pts.)</w:t>
            </w:r>
          </w:p>
        </w:tc>
        <w:tc>
          <w:tcPr>
            <w:tcW w:w="4777" w:type="dxa"/>
            <w:gridSpan w:val="2"/>
          </w:tcPr>
          <w:p w:rsidR="00A63476" w:rsidRDefault="00D22874">
            <w:pPr>
              <w:pStyle w:val="TableParagraph"/>
              <w:spacing w:before="80"/>
              <w:ind w:left="92"/>
              <w:rPr>
                <w:sz w:val="16"/>
              </w:rPr>
            </w:pPr>
            <w:r>
              <w:rPr>
                <w:sz w:val="16"/>
              </w:rPr>
              <w:t>Inclusión social</w:t>
            </w:r>
          </w:p>
        </w:tc>
        <w:tc>
          <w:tcPr>
            <w:tcW w:w="1451" w:type="dxa"/>
          </w:tcPr>
          <w:p w:rsidR="00A63476" w:rsidRDefault="00D22874">
            <w:pPr>
              <w:pStyle w:val="TableParagraph"/>
              <w:spacing w:before="80"/>
              <w:ind w:left="70" w:right="58"/>
              <w:jc w:val="center"/>
              <w:rPr>
                <w:sz w:val="16"/>
              </w:rPr>
            </w:pPr>
            <w:r>
              <w:rPr>
                <w:sz w:val="16"/>
              </w:rPr>
              <w:t>30</w:t>
            </w:r>
          </w:p>
        </w:tc>
      </w:tr>
      <w:tr w:rsidR="00A63476">
        <w:trPr>
          <w:trHeight w:val="334"/>
        </w:trPr>
        <w:tc>
          <w:tcPr>
            <w:tcW w:w="2457" w:type="dxa"/>
            <w:vMerge/>
            <w:tcBorders>
              <w:top w:val="nil"/>
            </w:tcBorders>
          </w:tcPr>
          <w:p w:rsidR="00A63476" w:rsidRDefault="00A63476">
            <w:pPr>
              <w:rPr>
                <w:sz w:val="2"/>
                <w:szCs w:val="2"/>
              </w:rPr>
            </w:pPr>
          </w:p>
        </w:tc>
        <w:tc>
          <w:tcPr>
            <w:tcW w:w="4777" w:type="dxa"/>
            <w:gridSpan w:val="2"/>
          </w:tcPr>
          <w:p w:rsidR="00A63476" w:rsidRDefault="00D22874">
            <w:pPr>
              <w:pStyle w:val="TableParagraph"/>
              <w:spacing w:before="70"/>
              <w:ind w:left="92"/>
              <w:rPr>
                <w:sz w:val="16"/>
              </w:rPr>
            </w:pPr>
            <w:r>
              <w:rPr>
                <w:sz w:val="16"/>
              </w:rPr>
              <w:t>Organización comunitaria</w:t>
            </w:r>
          </w:p>
        </w:tc>
        <w:tc>
          <w:tcPr>
            <w:tcW w:w="1451" w:type="dxa"/>
          </w:tcPr>
          <w:p w:rsidR="00A63476" w:rsidRDefault="00D22874">
            <w:pPr>
              <w:pStyle w:val="TableParagraph"/>
              <w:spacing w:before="70"/>
              <w:ind w:left="70" w:right="58"/>
              <w:jc w:val="center"/>
              <w:rPr>
                <w:sz w:val="16"/>
              </w:rPr>
            </w:pPr>
            <w:r>
              <w:rPr>
                <w:sz w:val="16"/>
              </w:rPr>
              <w:t>30</w:t>
            </w:r>
          </w:p>
        </w:tc>
      </w:tr>
      <w:tr w:rsidR="00A63476">
        <w:trPr>
          <w:trHeight w:val="334"/>
        </w:trPr>
        <w:tc>
          <w:tcPr>
            <w:tcW w:w="2457" w:type="dxa"/>
            <w:vMerge w:val="restart"/>
          </w:tcPr>
          <w:p w:rsidR="00A63476" w:rsidRDefault="00A63476">
            <w:pPr>
              <w:pStyle w:val="TableParagraph"/>
              <w:rPr>
                <w:sz w:val="18"/>
              </w:rPr>
            </w:pPr>
          </w:p>
          <w:p w:rsidR="00A63476" w:rsidRDefault="00A63476">
            <w:pPr>
              <w:pStyle w:val="TableParagraph"/>
              <w:rPr>
                <w:sz w:val="18"/>
              </w:rPr>
            </w:pPr>
          </w:p>
          <w:p w:rsidR="00A63476" w:rsidRDefault="00A63476">
            <w:pPr>
              <w:pStyle w:val="TableParagraph"/>
              <w:rPr>
                <w:sz w:val="18"/>
              </w:rPr>
            </w:pPr>
          </w:p>
          <w:p w:rsidR="00A63476" w:rsidRDefault="00A63476">
            <w:pPr>
              <w:pStyle w:val="TableParagraph"/>
              <w:rPr>
                <w:sz w:val="18"/>
              </w:rPr>
            </w:pPr>
          </w:p>
          <w:p w:rsidR="00A63476" w:rsidRDefault="00A63476">
            <w:pPr>
              <w:pStyle w:val="TableParagraph"/>
              <w:rPr>
                <w:sz w:val="18"/>
              </w:rPr>
            </w:pPr>
          </w:p>
          <w:p w:rsidR="00A63476" w:rsidRDefault="00A63476">
            <w:pPr>
              <w:pStyle w:val="TableParagraph"/>
              <w:rPr>
                <w:sz w:val="18"/>
              </w:rPr>
            </w:pPr>
          </w:p>
          <w:p w:rsidR="00A63476" w:rsidRDefault="00A63476">
            <w:pPr>
              <w:pStyle w:val="TableParagraph"/>
              <w:spacing w:before="2"/>
              <w:rPr>
                <w:sz w:val="26"/>
              </w:rPr>
            </w:pPr>
          </w:p>
          <w:p w:rsidR="00A63476" w:rsidRDefault="00D22874">
            <w:pPr>
              <w:pStyle w:val="TableParagraph"/>
              <w:spacing w:line="235" w:lineRule="auto"/>
              <w:ind w:left="89" w:right="786"/>
              <w:rPr>
                <w:b/>
                <w:sz w:val="16"/>
              </w:rPr>
            </w:pPr>
            <w:r>
              <w:rPr>
                <w:b/>
                <w:sz w:val="16"/>
              </w:rPr>
              <w:t>PROCESO DE LA AUTOPRODUCCIÓN</w:t>
            </w:r>
          </w:p>
          <w:p w:rsidR="00A63476" w:rsidRDefault="00D22874">
            <w:pPr>
              <w:pStyle w:val="TableParagraph"/>
              <w:spacing w:before="17" w:line="242" w:lineRule="auto"/>
              <w:ind w:left="89" w:right="82"/>
              <w:rPr>
                <w:b/>
                <w:sz w:val="16"/>
              </w:rPr>
            </w:pPr>
            <w:r>
              <w:rPr>
                <w:sz w:val="16"/>
              </w:rPr>
              <w:t xml:space="preserve">Que el proyecto arquitectónico considere los elementos enlistados y que la vivienda esté construida conforme a </w:t>
            </w:r>
            <w:r>
              <w:rPr>
                <w:spacing w:val="-3"/>
                <w:sz w:val="16"/>
              </w:rPr>
              <w:t xml:space="preserve">ello. </w:t>
            </w:r>
            <w:r>
              <w:rPr>
                <w:b/>
                <w:sz w:val="16"/>
              </w:rPr>
              <w:t>(máx: 565 pts.)</w:t>
            </w:r>
          </w:p>
        </w:tc>
        <w:tc>
          <w:tcPr>
            <w:tcW w:w="4777" w:type="dxa"/>
            <w:gridSpan w:val="2"/>
          </w:tcPr>
          <w:p w:rsidR="00A63476" w:rsidRDefault="00D22874">
            <w:pPr>
              <w:pStyle w:val="TableParagraph"/>
              <w:spacing w:before="80"/>
              <w:ind w:left="92"/>
              <w:rPr>
                <w:sz w:val="16"/>
              </w:rPr>
            </w:pPr>
            <w:r>
              <w:rPr>
                <w:sz w:val="16"/>
              </w:rPr>
              <w:t>Guía de mantenimiento para uso adecuado de la vivienda</w:t>
            </w:r>
          </w:p>
        </w:tc>
        <w:tc>
          <w:tcPr>
            <w:tcW w:w="1451" w:type="dxa"/>
          </w:tcPr>
          <w:p w:rsidR="00A63476" w:rsidRDefault="00D22874">
            <w:pPr>
              <w:pStyle w:val="TableParagraph"/>
              <w:spacing w:before="80"/>
              <w:ind w:left="70" w:right="58"/>
              <w:jc w:val="center"/>
              <w:rPr>
                <w:sz w:val="16"/>
              </w:rPr>
            </w:pPr>
            <w:r>
              <w:rPr>
                <w:sz w:val="16"/>
              </w:rPr>
              <w:t>40</w:t>
            </w:r>
          </w:p>
        </w:tc>
      </w:tr>
      <w:tr w:rsidR="00A63476">
        <w:trPr>
          <w:trHeight w:val="334"/>
        </w:trPr>
        <w:tc>
          <w:tcPr>
            <w:tcW w:w="2457" w:type="dxa"/>
            <w:vMerge/>
            <w:tcBorders>
              <w:top w:val="nil"/>
            </w:tcBorders>
          </w:tcPr>
          <w:p w:rsidR="00A63476" w:rsidRDefault="00A63476">
            <w:pPr>
              <w:rPr>
                <w:sz w:val="2"/>
                <w:szCs w:val="2"/>
              </w:rPr>
            </w:pPr>
          </w:p>
        </w:tc>
        <w:tc>
          <w:tcPr>
            <w:tcW w:w="4777" w:type="dxa"/>
            <w:gridSpan w:val="2"/>
          </w:tcPr>
          <w:p w:rsidR="00A63476" w:rsidRDefault="00D22874">
            <w:pPr>
              <w:pStyle w:val="TableParagraph"/>
              <w:spacing w:before="71"/>
              <w:ind w:left="92"/>
              <w:rPr>
                <w:sz w:val="16"/>
              </w:rPr>
            </w:pPr>
            <w:r>
              <w:rPr>
                <w:sz w:val="16"/>
              </w:rPr>
              <w:t>Diseño participativo</w:t>
            </w:r>
          </w:p>
        </w:tc>
        <w:tc>
          <w:tcPr>
            <w:tcW w:w="1451" w:type="dxa"/>
          </w:tcPr>
          <w:p w:rsidR="00A63476" w:rsidRDefault="00D22874">
            <w:pPr>
              <w:pStyle w:val="TableParagraph"/>
              <w:spacing w:before="71"/>
              <w:ind w:left="70" w:right="58"/>
              <w:jc w:val="center"/>
              <w:rPr>
                <w:sz w:val="16"/>
              </w:rPr>
            </w:pPr>
            <w:r>
              <w:rPr>
                <w:sz w:val="16"/>
              </w:rPr>
              <w:t>75</w:t>
            </w:r>
          </w:p>
        </w:tc>
      </w:tr>
      <w:tr w:rsidR="00A63476">
        <w:trPr>
          <w:trHeight w:val="334"/>
        </w:trPr>
        <w:tc>
          <w:tcPr>
            <w:tcW w:w="2457" w:type="dxa"/>
            <w:vMerge/>
            <w:tcBorders>
              <w:top w:val="nil"/>
            </w:tcBorders>
          </w:tcPr>
          <w:p w:rsidR="00A63476" w:rsidRDefault="00A63476">
            <w:pPr>
              <w:rPr>
                <w:sz w:val="2"/>
                <w:szCs w:val="2"/>
              </w:rPr>
            </w:pPr>
          </w:p>
        </w:tc>
        <w:tc>
          <w:tcPr>
            <w:tcW w:w="4777" w:type="dxa"/>
            <w:gridSpan w:val="2"/>
          </w:tcPr>
          <w:p w:rsidR="00A63476" w:rsidRDefault="00D22874">
            <w:pPr>
              <w:pStyle w:val="TableParagraph"/>
              <w:spacing w:before="61"/>
              <w:ind w:left="92"/>
              <w:rPr>
                <w:sz w:val="16"/>
              </w:rPr>
            </w:pPr>
            <w:r>
              <w:rPr>
                <w:sz w:val="16"/>
              </w:rPr>
              <w:t>Sistema constructivo</w:t>
            </w:r>
          </w:p>
        </w:tc>
        <w:tc>
          <w:tcPr>
            <w:tcW w:w="1451" w:type="dxa"/>
          </w:tcPr>
          <w:p w:rsidR="00A63476" w:rsidRDefault="00D22874">
            <w:pPr>
              <w:pStyle w:val="TableParagraph"/>
              <w:spacing w:before="61"/>
              <w:ind w:left="70" w:right="58"/>
              <w:jc w:val="center"/>
              <w:rPr>
                <w:sz w:val="16"/>
              </w:rPr>
            </w:pPr>
            <w:r>
              <w:rPr>
                <w:sz w:val="16"/>
              </w:rPr>
              <w:t>60</w:t>
            </w:r>
          </w:p>
        </w:tc>
      </w:tr>
      <w:tr w:rsidR="00A63476">
        <w:trPr>
          <w:trHeight w:val="514"/>
        </w:trPr>
        <w:tc>
          <w:tcPr>
            <w:tcW w:w="2457" w:type="dxa"/>
            <w:vMerge/>
            <w:tcBorders>
              <w:top w:val="nil"/>
            </w:tcBorders>
          </w:tcPr>
          <w:p w:rsidR="00A63476" w:rsidRDefault="00A63476">
            <w:pPr>
              <w:rPr>
                <w:sz w:val="2"/>
                <w:szCs w:val="2"/>
              </w:rPr>
            </w:pPr>
          </w:p>
        </w:tc>
        <w:tc>
          <w:tcPr>
            <w:tcW w:w="4777" w:type="dxa"/>
            <w:gridSpan w:val="2"/>
          </w:tcPr>
          <w:p w:rsidR="00A63476" w:rsidRDefault="00D22874">
            <w:pPr>
              <w:pStyle w:val="TableParagraph"/>
              <w:spacing w:before="74" w:line="235" w:lineRule="auto"/>
              <w:ind w:left="92"/>
              <w:rPr>
                <w:sz w:val="16"/>
              </w:rPr>
            </w:pPr>
            <w:r>
              <w:rPr>
                <w:sz w:val="16"/>
              </w:rPr>
              <w:t>Materiales de la vivienda acorde con la región (ej. adobe mejorado, madera, tabique y piedra)</w:t>
            </w:r>
          </w:p>
        </w:tc>
        <w:tc>
          <w:tcPr>
            <w:tcW w:w="1451" w:type="dxa"/>
          </w:tcPr>
          <w:p w:rsidR="00A63476" w:rsidRDefault="00A63476">
            <w:pPr>
              <w:pStyle w:val="TableParagraph"/>
              <w:spacing w:before="10"/>
              <w:rPr>
                <w:sz w:val="14"/>
              </w:rPr>
            </w:pPr>
          </w:p>
          <w:p w:rsidR="00A63476" w:rsidRDefault="00D22874">
            <w:pPr>
              <w:pStyle w:val="TableParagraph"/>
              <w:ind w:left="70" w:right="58"/>
              <w:jc w:val="center"/>
              <w:rPr>
                <w:sz w:val="16"/>
              </w:rPr>
            </w:pPr>
            <w:r>
              <w:rPr>
                <w:sz w:val="16"/>
              </w:rPr>
              <w:t>60</w:t>
            </w:r>
          </w:p>
        </w:tc>
      </w:tr>
      <w:tr w:rsidR="00A63476">
        <w:trPr>
          <w:trHeight w:val="334"/>
        </w:trPr>
        <w:tc>
          <w:tcPr>
            <w:tcW w:w="2457" w:type="dxa"/>
            <w:vMerge/>
            <w:tcBorders>
              <w:top w:val="nil"/>
            </w:tcBorders>
          </w:tcPr>
          <w:p w:rsidR="00A63476" w:rsidRDefault="00A63476">
            <w:pPr>
              <w:rPr>
                <w:sz w:val="2"/>
                <w:szCs w:val="2"/>
              </w:rPr>
            </w:pPr>
          </w:p>
        </w:tc>
        <w:tc>
          <w:tcPr>
            <w:tcW w:w="4777" w:type="dxa"/>
            <w:gridSpan w:val="2"/>
          </w:tcPr>
          <w:p w:rsidR="00A63476" w:rsidRDefault="00D22874">
            <w:pPr>
              <w:pStyle w:val="TableParagraph"/>
              <w:spacing w:before="61"/>
              <w:ind w:left="92"/>
              <w:rPr>
                <w:sz w:val="16"/>
              </w:rPr>
            </w:pPr>
            <w:r>
              <w:rPr>
                <w:sz w:val="16"/>
              </w:rPr>
              <w:t>Progresividad</w:t>
            </w:r>
          </w:p>
        </w:tc>
        <w:tc>
          <w:tcPr>
            <w:tcW w:w="1451" w:type="dxa"/>
          </w:tcPr>
          <w:p w:rsidR="00A63476" w:rsidRDefault="00D22874">
            <w:pPr>
              <w:pStyle w:val="TableParagraph"/>
              <w:spacing w:before="61"/>
              <w:ind w:left="70" w:right="58"/>
              <w:jc w:val="center"/>
              <w:rPr>
                <w:sz w:val="16"/>
              </w:rPr>
            </w:pPr>
            <w:r>
              <w:rPr>
                <w:sz w:val="16"/>
              </w:rPr>
              <w:t>60</w:t>
            </w:r>
          </w:p>
        </w:tc>
      </w:tr>
      <w:tr w:rsidR="00A63476">
        <w:trPr>
          <w:trHeight w:val="334"/>
        </w:trPr>
        <w:tc>
          <w:tcPr>
            <w:tcW w:w="2457" w:type="dxa"/>
            <w:vMerge/>
            <w:tcBorders>
              <w:top w:val="nil"/>
            </w:tcBorders>
          </w:tcPr>
          <w:p w:rsidR="00A63476" w:rsidRDefault="00A63476">
            <w:pPr>
              <w:rPr>
                <w:sz w:val="2"/>
                <w:szCs w:val="2"/>
              </w:rPr>
            </w:pPr>
          </w:p>
        </w:tc>
        <w:tc>
          <w:tcPr>
            <w:tcW w:w="4777" w:type="dxa"/>
            <w:gridSpan w:val="2"/>
          </w:tcPr>
          <w:p w:rsidR="00A63476" w:rsidRDefault="00D22874">
            <w:pPr>
              <w:pStyle w:val="TableParagraph"/>
              <w:spacing w:before="72"/>
              <w:ind w:left="92"/>
              <w:rPr>
                <w:sz w:val="16"/>
              </w:rPr>
            </w:pPr>
            <w:r>
              <w:rPr>
                <w:sz w:val="16"/>
              </w:rPr>
              <w:t>Iluminación natural</w:t>
            </w:r>
          </w:p>
        </w:tc>
        <w:tc>
          <w:tcPr>
            <w:tcW w:w="1451" w:type="dxa"/>
          </w:tcPr>
          <w:p w:rsidR="00A63476" w:rsidRDefault="00D22874">
            <w:pPr>
              <w:pStyle w:val="TableParagraph"/>
              <w:spacing w:before="72"/>
              <w:ind w:left="70" w:right="58"/>
              <w:jc w:val="center"/>
              <w:rPr>
                <w:sz w:val="16"/>
              </w:rPr>
            </w:pPr>
            <w:r>
              <w:rPr>
                <w:sz w:val="16"/>
              </w:rPr>
              <w:t>35</w:t>
            </w:r>
          </w:p>
        </w:tc>
      </w:tr>
      <w:tr w:rsidR="00A63476">
        <w:trPr>
          <w:trHeight w:val="334"/>
        </w:trPr>
        <w:tc>
          <w:tcPr>
            <w:tcW w:w="2457" w:type="dxa"/>
            <w:vMerge/>
            <w:tcBorders>
              <w:top w:val="nil"/>
            </w:tcBorders>
          </w:tcPr>
          <w:p w:rsidR="00A63476" w:rsidRDefault="00A63476">
            <w:pPr>
              <w:rPr>
                <w:sz w:val="2"/>
                <w:szCs w:val="2"/>
              </w:rPr>
            </w:pPr>
          </w:p>
        </w:tc>
        <w:tc>
          <w:tcPr>
            <w:tcW w:w="4777" w:type="dxa"/>
            <w:gridSpan w:val="2"/>
          </w:tcPr>
          <w:p w:rsidR="00A63476" w:rsidRDefault="00D22874">
            <w:pPr>
              <w:pStyle w:val="TableParagraph"/>
              <w:spacing w:before="62"/>
              <w:ind w:left="92"/>
              <w:rPr>
                <w:sz w:val="16"/>
              </w:rPr>
            </w:pPr>
            <w:r>
              <w:rPr>
                <w:sz w:val="16"/>
              </w:rPr>
              <w:t>Ventilación natural</w:t>
            </w:r>
          </w:p>
        </w:tc>
        <w:tc>
          <w:tcPr>
            <w:tcW w:w="1451" w:type="dxa"/>
          </w:tcPr>
          <w:p w:rsidR="00A63476" w:rsidRDefault="00D22874">
            <w:pPr>
              <w:pStyle w:val="TableParagraph"/>
              <w:spacing w:before="62"/>
              <w:ind w:left="70" w:right="58"/>
              <w:jc w:val="center"/>
              <w:rPr>
                <w:sz w:val="16"/>
              </w:rPr>
            </w:pPr>
            <w:r>
              <w:rPr>
                <w:sz w:val="16"/>
              </w:rPr>
              <w:t>35</w:t>
            </w:r>
          </w:p>
        </w:tc>
      </w:tr>
      <w:tr w:rsidR="00A63476">
        <w:trPr>
          <w:trHeight w:val="334"/>
        </w:trPr>
        <w:tc>
          <w:tcPr>
            <w:tcW w:w="2457" w:type="dxa"/>
            <w:vMerge/>
            <w:tcBorders>
              <w:top w:val="nil"/>
            </w:tcBorders>
          </w:tcPr>
          <w:p w:rsidR="00A63476" w:rsidRDefault="00A63476">
            <w:pPr>
              <w:rPr>
                <w:sz w:val="2"/>
                <w:szCs w:val="2"/>
              </w:rPr>
            </w:pPr>
          </w:p>
        </w:tc>
        <w:tc>
          <w:tcPr>
            <w:tcW w:w="4777" w:type="dxa"/>
            <w:gridSpan w:val="2"/>
          </w:tcPr>
          <w:p w:rsidR="00A63476" w:rsidRDefault="00D22874">
            <w:pPr>
              <w:pStyle w:val="TableParagraph"/>
              <w:spacing w:before="72"/>
              <w:ind w:left="92"/>
              <w:rPr>
                <w:sz w:val="16"/>
              </w:rPr>
            </w:pPr>
            <w:r>
              <w:rPr>
                <w:sz w:val="16"/>
              </w:rPr>
              <w:t>Seguridad estructural</w:t>
            </w:r>
          </w:p>
        </w:tc>
        <w:tc>
          <w:tcPr>
            <w:tcW w:w="1451" w:type="dxa"/>
          </w:tcPr>
          <w:p w:rsidR="00A63476" w:rsidRDefault="00D22874">
            <w:pPr>
              <w:pStyle w:val="TableParagraph"/>
              <w:spacing w:before="72"/>
              <w:ind w:left="70" w:right="58"/>
              <w:jc w:val="center"/>
              <w:rPr>
                <w:sz w:val="16"/>
              </w:rPr>
            </w:pPr>
            <w:r>
              <w:rPr>
                <w:sz w:val="16"/>
              </w:rPr>
              <w:t>50</w:t>
            </w:r>
          </w:p>
        </w:tc>
      </w:tr>
      <w:tr w:rsidR="00A63476">
        <w:trPr>
          <w:trHeight w:val="514"/>
        </w:trPr>
        <w:tc>
          <w:tcPr>
            <w:tcW w:w="2457" w:type="dxa"/>
            <w:vMerge/>
            <w:tcBorders>
              <w:top w:val="nil"/>
            </w:tcBorders>
          </w:tcPr>
          <w:p w:rsidR="00A63476" w:rsidRDefault="00A63476">
            <w:pPr>
              <w:rPr>
                <w:sz w:val="2"/>
                <w:szCs w:val="2"/>
              </w:rPr>
            </w:pPr>
          </w:p>
        </w:tc>
        <w:tc>
          <w:tcPr>
            <w:tcW w:w="4777" w:type="dxa"/>
            <w:gridSpan w:val="2"/>
          </w:tcPr>
          <w:p w:rsidR="00A63476" w:rsidRDefault="00D22874">
            <w:pPr>
              <w:pStyle w:val="TableParagraph"/>
              <w:spacing w:before="65" w:line="235" w:lineRule="auto"/>
              <w:ind w:left="92"/>
              <w:rPr>
                <w:sz w:val="16"/>
              </w:rPr>
            </w:pPr>
            <w:r>
              <w:rPr>
                <w:sz w:val="16"/>
              </w:rPr>
              <w:t>Abastecimiento de agua (red local de agua potable o sistema de captación de agua pluvial)</w:t>
            </w:r>
          </w:p>
        </w:tc>
        <w:tc>
          <w:tcPr>
            <w:tcW w:w="1451" w:type="dxa"/>
          </w:tcPr>
          <w:p w:rsidR="00A63476" w:rsidRDefault="00A63476">
            <w:pPr>
              <w:pStyle w:val="TableParagraph"/>
              <w:spacing w:before="1"/>
              <w:rPr>
                <w:sz w:val="14"/>
              </w:rPr>
            </w:pPr>
          </w:p>
          <w:p w:rsidR="00A63476" w:rsidRDefault="00D22874">
            <w:pPr>
              <w:pStyle w:val="TableParagraph"/>
              <w:ind w:left="70" w:right="58"/>
              <w:jc w:val="center"/>
              <w:rPr>
                <w:sz w:val="16"/>
              </w:rPr>
            </w:pPr>
            <w:r>
              <w:rPr>
                <w:sz w:val="16"/>
              </w:rPr>
              <w:t>50</w:t>
            </w:r>
          </w:p>
        </w:tc>
      </w:tr>
      <w:tr w:rsidR="00A63476">
        <w:trPr>
          <w:trHeight w:val="334"/>
        </w:trPr>
        <w:tc>
          <w:tcPr>
            <w:tcW w:w="2457" w:type="dxa"/>
            <w:vMerge/>
            <w:tcBorders>
              <w:top w:val="nil"/>
            </w:tcBorders>
          </w:tcPr>
          <w:p w:rsidR="00A63476" w:rsidRDefault="00A63476">
            <w:pPr>
              <w:rPr>
                <w:sz w:val="2"/>
                <w:szCs w:val="2"/>
              </w:rPr>
            </w:pPr>
          </w:p>
        </w:tc>
        <w:tc>
          <w:tcPr>
            <w:tcW w:w="4777" w:type="dxa"/>
            <w:gridSpan w:val="2"/>
          </w:tcPr>
          <w:p w:rsidR="00A63476" w:rsidRDefault="00D22874">
            <w:pPr>
              <w:pStyle w:val="TableParagraph"/>
              <w:spacing w:before="72"/>
              <w:ind w:left="92"/>
              <w:rPr>
                <w:sz w:val="16"/>
              </w:rPr>
            </w:pPr>
            <w:r>
              <w:rPr>
                <w:sz w:val="16"/>
              </w:rPr>
              <w:t>Abastecimiento de energía</w:t>
            </w:r>
          </w:p>
        </w:tc>
        <w:tc>
          <w:tcPr>
            <w:tcW w:w="1451" w:type="dxa"/>
          </w:tcPr>
          <w:p w:rsidR="00A63476" w:rsidRDefault="00D22874">
            <w:pPr>
              <w:pStyle w:val="TableParagraph"/>
              <w:spacing w:before="72"/>
              <w:ind w:left="70" w:right="58"/>
              <w:jc w:val="center"/>
              <w:rPr>
                <w:sz w:val="16"/>
              </w:rPr>
            </w:pPr>
            <w:r>
              <w:rPr>
                <w:sz w:val="16"/>
              </w:rPr>
              <w:t>50</w:t>
            </w:r>
          </w:p>
        </w:tc>
      </w:tr>
      <w:tr w:rsidR="00A63476">
        <w:trPr>
          <w:trHeight w:val="514"/>
        </w:trPr>
        <w:tc>
          <w:tcPr>
            <w:tcW w:w="2457" w:type="dxa"/>
            <w:vMerge/>
            <w:tcBorders>
              <w:top w:val="nil"/>
            </w:tcBorders>
          </w:tcPr>
          <w:p w:rsidR="00A63476" w:rsidRDefault="00A63476">
            <w:pPr>
              <w:rPr>
                <w:sz w:val="2"/>
                <w:szCs w:val="2"/>
              </w:rPr>
            </w:pPr>
          </w:p>
        </w:tc>
        <w:tc>
          <w:tcPr>
            <w:tcW w:w="4777" w:type="dxa"/>
            <w:gridSpan w:val="2"/>
          </w:tcPr>
          <w:p w:rsidR="00A63476" w:rsidRDefault="00D22874">
            <w:pPr>
              <w:pStyle w:val="TableParagraph"/>
              <w:spacing w:before="66" w:line="235" w:lineRule="auto"/>
              <w:ind w:left="92"/>
              <w:rPr>
                <w:sz w:val="16"/>
              </w:rPr>
            </w:pPr>
            <w:r>
              <w:rPr>
                <w:sz w:val="16"/>
              </w:rPr>
              <w:t>Sistema de drenaje o de tratamiento de desechos (ej. Letrina seca, baño seco, fosa séptica, biodigestor)</w:t>
            </w:r>
          </w:p>
        </w:tc>
        <w:tc>
          <w:tcPr>
            <w:tcW w:w="1451" w:type="dxa"/>
          </w:tcPr>
          <w:p w:rsidR="00A63476" w:rsidRDefault="00A63476">
            <w:pPr>
              <w:pStyle w:val="TableParagraph"/>
              <w:spacing w:before="2"/>
              <w:rPr>
                <w:sz w:val="14"/>
              </w:rPr>
            </w:pPr>
          </w:p>
          <w:p w:rsidR="00A63476" w:rsidRDefault="00D22874">
            <w:pPr>
              <w:pStyle w:val="TableParagraph"/>
              <w:ind w:left="70" w:right="58"/>
              <w:jc w:val="center"/>
              <w:rPr>
                <w:sz w:val="16"/>
              </w:rPr>
            </w:pPr>
            <w:r>
              <w:rPr>
                <w:sz w:val="16"/>
              </w:rPr>
              <w:t>50</w:t>
            </w:r>
          </w:p>
        </w:tc>
      </w:tr>
      <w:tr w:rsidR="00A63476">
        <w:trPr>
          <w:trHeight w:val="538"/>
        </w:trPr>
        <w:tc>
          <w:tcPr>
            <w:tcW w:w="2457" w:type="dxa"/>
          </w:tcPr>
          <w:p w:rsidR="00A63476" w:rsidRDefault="00D22874">
            <w:pPr>
              <w:pStyle w:val="TableParagraph"/>
              <w:spacing w:before="73"/>
              <w:ind w:left="89"/>
              <w:rPr>
                <w:b/>
                <w:sz w:val="10"/>
              </w:rPr>
            </w:pPr>
            <w:r>
              <w:rPr>
                <w:b/>
                <w:w w:val="105"/>
                <w:sz w:val="16"/>
              </w:rPr>
              <w:t xml:space="preserve">COMPETITIVIDAD </w:t>
            </w:r>
            <w:r>
              <w:rPr>
                <w:b/>
                <w:w w:val="105"/>
                <w:position w:val="4"/>
                <w:sz w:val="10"/>
              </w:rPr>
              <w:t>1</w:t>
            </w:r>
          </w:p>
          <w:p w:rsidR="00A63476" w:rsidRDefault="00D22874">
            <w:pPr>
              <w:pStyle w:val="TableParagraph"/>
              <w:spacing w:before="16"/>
              <w:ind w:left="89"/>
              <w:rPr>
                <w:b/>
                <w:sz w:val="16"/>
              </w:rPr>
            </w:pPr>
            <w:r>
              <w:rPr>
                <w:b/>
                <w:sz w:val="16"/>
              </w:rPr>
              <w:t>(máx: 175 pts.)</w:t>
            </w:r>
          </w:p>
        </w:tc>
        <w:tc>
          <w:tcPr>
            <w:tcW w:w="4777" w:type="dxa"/>
            <w:gridSpan w:val="2"/>
          </w:tcPr>
          <w:p w:rsidR="00A63476" w:rsidRDefault="00A63476">
            <w:pPr>
              <w:pStyle w:val="TableParagraph"/>
              <w:spacing w:before="8"/>
              <w:rPr>
                <w:sz w:val="23"/>
              </w:rPr>
            </w:pPr>
          </w:p>
          <w:p w:rsidR="00A63476" w:rsidRDefault="00D22874">
            <w:pPr>
              <w:pStyle w:val="TableParagraph"/>
              <w:ind w:left="92"/>
              <w:rPr>
                <w:sz w:val="16"/>
              </w:rPr>
            </w:pPr>
            <w:r>
              <w:rPr>
                <w:sz w:val="16"/>
              </w:rPr>
              <w:t>Ecotecnologías y medidas de sustentabilidad</w:t>
            </w:r>
          </w:p>
        </w:tc>
        <w:tc>
          <w:tcPr>
            <w:tcW w:w="1451" w:type="dxa"/>
          </w:tcPr>
          <w:p w:rsidR="00A63476" w:rsidRDefault="00A63476">
            <w:pPr>
              <w:pStyle w:val="TableParagraph"/>
              <w:rPr>
                <w:sz w:val="15"/>
              </w:rPr>
            </w:pPr>
          </w:p>
          <w:p w:rsidR="00A63476" w:rsidRDefault="00D22874">
            <w:pPr>
              <w:pStyle w:val="TableParagraph"/>
              <w:ind w:left="62" w:right="58"/>
              <w:jc w:val="center"/>
              <w:rPr>
                <w:sz w:val="16"/>
              </w:rPr>
            </w:pPr>
            <w:r>
              <w:rPr>
                <w:sz w:val="16"/>
              </w:rPr>
              <w:t>Hasta 175</w:t>
            </w:r>
          </w:p>
        </w:tc>
      </w:tr>
      <w:tr w:rsidR="00A63476">
        <w:trPr>
          <w:trHeight w:val="334"/>
        </w:trPr>
        <w:tc>
          <w:tcPr>
            <w:tcW w:w="2457" w:type="dxa"/>
            <w:vMerge w:val="restart"/>
          </w:tcPr>
          <w:p w:rsidR="00A63476" w:rsidRDefault="00A63476">
            <w:pPr>
              <w:pStyle w:val="TableParagraph"/>
              <w:rPr>
                <w:sz w:val="18"/>
              </w:rPr>
            </w:pPr>
          </w:p>
          <w:p w:rsidR="00A63476" w:rsidRDefault="00D22874">
            <w:pPr>
              <w:pStyle w:val="TableParagraph"/>
              <w:spacing w:before="132"/>
              <w:ind w:left="89"/>
              <w:rPr>
                <w:b/>
                <w:sz w:val="16"/>
              </w:rPr>
            </w:pPr>
            <w:r>
              <w:rPr>
                <w:b/>
                <w:sz w:val="16"/>
              </w:rPr>
              <w:t>SUPERFICIE</w:t>
            </w:r>
          </w:p>
          <w:p w:rsidR="00A63476" w:rsidRDefault="00D22874">
            <w:pPr>
              <w:pStyle w:val="TableParagraph"/>
              <w:spacing w:before="16"/>
              <w:ind w:left="89"/>
              <w:rPr>
                <w:b/>
                <w:sz w:val="16"/>
              </w:rPr>
            </w:pPr>
            <w:r>
              <w:rPr>
                <w:b/>
                <w:sz w:val="16"/>
              </w:rPr>
              <w:t>(máx: 200 pts.)</w:t>
            </w:r>
          </w:p>
        </w:tc>
        <w:tc>
          <w:tcPr>
            <w:tcW w:w="2260" w:type="dxa"/>
            <w:vMerge w:val="restart"/>
          </w:tcPr>
          <w:p w:rsidR="00A63476" w:rsidRDefault="00A63476">
            <w:pPr>
              <w:pStyle w:val="TableParagraph"/>
              <w:spacing w:before="6"/>
            </w:pPr>
          </w:p>
          <w:p w:rsidR="00A63476" w:rsidRDefault="00D22874">
            <w:pPr>
              <w:pStyle w:val="TableParagraph"/>
              <w:ind w:left="92"/>
              <w:rPr>
                <w:sz w:val="16"/>
              </w:rPr>
            </w:pPr>
            <w:r>
              <w:rPr>
                <w:sz w:val="16"/>
              </w:rPr>
              <w:t>Vivienda</w:t>
            </w:r>
          </w:p>
        </w:tc>
        <w:tc>
          <w:tcPr>
            <w:tcW w:w="2517" w:type="dxa"/>
          </w:tcPr>
          <w:p w:rsidR="00A63476" w:rsidRDefault="00D22874">
            <w:pPr>
              <w:pStyle w:val="TableParagraph"/>
              <w:spacing w:before="79"/>
              <w:ind w:left="533" w:right="511"/>
              <w:jc w:val="center"/>
              <w:rPr>
                <w:sz w:val="10"/>
              </w:rPr>
            </w:pPr>
            <w:r>
              <w:rPr>
                <w:sz w:val="16"/>
              </w:rPr>
              <w:t>Más de 50m</w:t>
            </w:r>
            <w:r>
              <w:rPr>
                <w:position w:val="4"/>
                <w:sz w:val="10"/>
              </w:rPr>
              <w:t>2</w:t>
            </w:r>
          </w:p>
        </w:tc>
        <w:tc>
          <w:tcPr>
            <w:tcW w:w="1451" w:type="dxa"/>
          </w:tcPr>
          <w:p w:rsidR="00A63476" w:rsidRDefault="00D22874">
            <w:pPr>
              <w:pStyle w:val="TableParagraph"/>
              <w:spacing w:before="79"/>
              <w:ind w:left="75" w:right="54"/>
              <w:jc w:val="center"/>
              <w:rPr>
                <w:sz w:val="16"/>
              </w:rPr>
            </w:pPr>
            <w:r>
              <w:rPr>
                <w:sz w:val="16"/>
              </w:rPr>
              <w:t>150</w:t>
            </w:r>
          </w:p>
        </w:tc>
      </w:tr>
      <w:tr w:rsidR="00A63476">
        <w:trPr>
          <w:trHeight w:val="334"/>
        </w:trPr>
        <w:tc>
          <w:tcPr>
            <w:tcW w:w="2457" w:type="dxa"/>
            <w:vMerge/>
            <w:tcBorders>
              <w:top w:val="nil"/>
            </w:tcBorders>
          </w:tcPr>
          <w:p w:rsidR="00A63476" w:rsidRDefault="00A63476">
            <w:pPr>
              <w:rPr>
                <w:sz w:val="2"/>
                <w:szCs w:val="2"/>
              </w:rPr>
            </w:pPr>
          </w:p>
        </w:tc>
        <w:tc>
          <w:tcPr>
            <w:tcW w:w="2260" w:type="dxa"/>
            <w:vMerge/>
            <w:tcBorders>
              <w:top w:val="nil"/>
            </w:tcBorders>
          </w:tcPr>
          <w:p w:rsidR="00A63476" w:rsidRDefault="00A63476">
            <w:pPr>
              <w:rPr>
                <w:sz w:val="2"/>
                <w:szCs w:val="2"/>
              </w:rPr>
            </w:pPr>
          </w:p>
        </w:tc>
        <w:tc>
          <w:tcPr>
            <w:tcW w:w="2517" w:type="dxa"/>
          </w:tcPr>
          <w:p w:rsidR="00A63476" w:rsidRDefault="00D22874">
            <w:pPr>
              <w:pStyle w:val="TableParagraph"/>
              <w:spacing w:before="69"/>
              <w:ind w:left="529" w:right="511"/>
              <w:jc w:val="center"/>
              <w:rPr>
                <w:sz w:val="10"/>
              </w:rPr>
            </w:pPr>
            <w:r>
              <w:rPr>
                <w:sz w:val="16"/>
              </w:rPr>
              <w:t>De 40 a 50m</w:t>
            </w:r>
            <w:r>
              <w:rPr>
                <w:position w:val="4"/>
                <w:sz w:val="10"/>
              </w:rPr>
              <w:t>2</w:t>
            </w:r>
          </w:p>
        </w:tc>
        <w:tc>
          <w:tcPr>
            <w:tcW w:w="1451" w:type="dxa"/>
          </w:tcPr>
          <w:p w:rsidR="00A63476" w:rsidRDefault="00D22874">
            <w:pPr>
              <w:pStyle w:val="TableParagraph"/>
              <w:spacing w:before="69"/>
              <w:ind w:left="75" w:right="58"/>
              <w:jc w:val="center"/>
              <w:rPr>
                <w:sz w:val="16"/>
              </w:rPr>
            </w:pPr>
            <w:r>
              <w:rPr>
                <w:sz w:val="16"/>
              </w:rPr>
              <w:t>(7*superficie)-200</w:t>
            </w:r>
          </w:p>
        </w:tc>
      </w:tr>
      <w:tr w:rsidR="00A63476">
        <w:trPr>
          <w:trHeight w:val="334"/>
        </w:trPr>
        <w:tc>
          <w:tcPr>
            <w:tcW w:w="2457" w:type="dxa"/>
            <w:vMerge/>
            <w:tcBorders>
              <w:top w:val="nil"/>
            </w:tcBorders>
          </w:tcPr>
          <w:p w:rsidR="00A63476" w:rsidRDefault="00A63476">
            <w:pPr>
              <w:rPr>
                <w:sz w:val="2"/>
                <w:szCs w:val="2"/>
              </w:rPr>
            </w:pPr>
          </w:p>
        </w:tc>
        <w:tc>
          <w:tcPr>
            <w:tcW w:w="2260" w:type="dxa"/>
          </w:tcPr>
          <w:p w:rsidR="00A63476" w:rsidRDefault="00D22874">
            <w:pPr>
              <w:pStyle w:val="TableParagraph"/>
              <w:spacing w:before="80"/>
              <w:ind w:left="92"/>
              <w:rPr>
                <w:sz w:val="16"/>
              </w:rPr>
            </w:pPr>
            <w:r>
              <w:rPr>
                <w:sz w:val="16"/>
              </w:rPr>
              <w:t>Espacios habitables</w:t>
            </w:r>
          </w:p>
        </w:tc>
        <w:tc>
          <w:tcPr>
            <w:tcW w:w="2517" w:type="dxa"/>
          </w:tcPr>
          <w:p w:rsidR="00A63476" w:rsidRDefault="00D22874">
            <w:pPr>
              <w:pStyle w:val="TableParagraph"/>
              <w:spacing w:before="80"/>
              <w:ind w:left="533" w:right="511"/>
              <w:jc w:val="center"/>
              <w:rPr>
                <w:sz w:val="10"/>
              </w:rPr>
            </w:pPr>
            <w:r>
              <w:rPr>
                <w:sz w:val="16"/>
              </w:rPr>
              <w:t>Mayor o igual a 9m</w:t>
            </w:r>
            <w:r>
              <w:rPr>
                <w:position w:val="4"/>
                <w:sz w:val="10"/>
              </w:rPr>
              <w:t>2</w:t>
            </w:r>
          </w:p>
        </w:tc>
        <w:tc>
          <w:tcPr>
            <w:tcW w:w="1451" w:type="dxa"/>
          </w:tcPr>
          <w:p w:rsidR="00A63476" w:rsidRDefault="00D22874">
            <w:pPr>
              <w:pStyle w:val="TableParagraph"/>
              <w:spacing w:before="80"/>
              <w:ind w:left="70" w:right="58"/>
              <w:jc w:val="center"/>
              <w:rPr>
                <w:sz w:val="16"/>
              </w:rPr>
            </w:pPr>
            <w:r>
              <w:rPr>
                <w:sz w:val="16"/>
              </w:rPr>
              <w:t>50</w:t>
            </w:r>
          </w:p>
        </w:tc>
      </w:tr>
      <w:tr w:rsidR="00A63476">
        <w:trPr>
          <w:trHeight w:val="334"/>
        </w:trPr>
        <w:tc>
          <w:tcPr>
            <w:tcW w:w="7234" w:type="dxa"/>
            <w:gridSpan w:val="3"/>
            <w:shd w:val="clear" w:color="auto" w:fill="DFDFDF"/>
          </w:tcPr>
          <w:p w:rsidR="00A63476" w:rsidRDefault="00D22874">
            <w:pPr>
              <w:pStyle w:val="TableParagraph"/>
              <w:spacing w:before="70"/>
              <w:ind w:left="89"/>
              <w:rPr>
                <w:b/>
                <w:sz w:val="16"/>
              </w:rPr>
            </w:pPr>
            <w:r>
              <w:rPr>
                <w:b/>
                <w:sz w:val="16"/>
              </w:rPr>
              <w:t>MÁXIMOS PUNTOS A OBTENER</w:t>
            </w:r>
          </w:p>
        </w:tc>
        <w:tc>
          <w:tcPr>
            <w:tcW w:w="1451" w:type="dxa"/>
            <w:shd w:val="clear" w:color="auto" w:fill="DFDFDF"/>
          </w:tcPr>
          <w:p w:rsidR="00A63476" w:rsidRDefault="00D22874">
            <w:pPr>
              <w:pStyle w:val="TableParagraph"/>
              <w:spacing w:before="70"/>
              <w:ind w:left="75" w:right="45"/>
              <w:jc w:val="center"/>
              <w:rPr>
                <w:b/>
                <w:sz w:val="16"/>
              </w:rPr>
            </w:pPr>
            <w:r>
              <w:rPr>
                <w:b/>
                <w:sz w:val="16"/>
              </w:rPr>
              <w:t>1000</w:t>
            </w:r>
          </w:p>
        </w:tc>
      </w:tr>
      <w:tr w:rsidR="00A63476">
        <w:trPr>
          <w:trHeight w:val="334"/>
        </w:trPr>
        <w:tc>
          <w:tcPr>
            <w:tcW w:w="8685" w:type="dxa"/>
            <w:gridSpan w:val="4"/>
          </w:tcPr>
          <w:p w:rsidR="00A63476" w:rsidRDefault="00D22874">
            <w:pPr>
              <w:pStyle w:val="TableParagraph"/>
              <w:spacing w:before="80"/>
              <w:ind w:left="89"/>
              <w:rPr>
                <w:b/>
                <w:sz w:val="16"/>
              </w:rPr>
            </w:pPr>
            <w:r>
              <w:rPr>
                <w:b/>
                <w:sz w:val="16"/>
              </w:rPr>
              <w:t>CATÁLOGO DE OPCIONES DE ECOTECNOLOGÍAS Y MEDIDAS DE SUSTENTABILIDAD</w:t>
            </w:r>
          </w:p>
        </w:tc>
      </w:tr>
    </w:tbl>
    <w:p w:rsidR="00A63476" w:rsidRDefault="00A63476">
      <w:pPr>
        <w:rPr>
          <w:sz w:val="16"/>
        </w:rPr>
        <w:sectPr w:rsidR="00A63476">
          <w:pgSz w:w="12240" w:h="15840"/>
          <w:pgMar w:top="880" w:right="1040" w:bottom="280" w:left="1180" w:header="699" w:footer="0" w:gutter="0"/>
          <w:cols w:space="720"/>
        </w:sectPr>
      </w:pPr>
    </w:p>
    <w:p w:rsidR="00A63476" w:rsidRDefault="00FF0FB3">
      <w:pPr>
        <w:pStyle w:val="Textoindependiente"/>
        <w:spacing w:line="20" w:lineRule="exact"/>
        <w:ind w:left="396" w:right="0" w:firstLine="0"/>
        <w:jc w:val="left"/>
        <w:rPr>
          <w:sz w:val="2"/>
        </w:rPr>
      </w:pPr>
      <w:r>
        <w:rPr>
          <w:noProof/>
          <w:sz w:val="2"/>
        </w:rPr>
        <w:lastRenderedPageBreak/>
        <mc:AlternateContent>
          <mc:Choice Requires="wpg">
            <w:drawing>
              <wp:inline distT="0" distB="0" distL="0" distR="0">
                <wp:extent cx="5852160" cy="9525"/>
                <wp:effectExtent l="10160" t="6985" r="5080" b="2540"/>
                <wp:docPr id="40" name="Group 17"/>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5852160" cy="9525"/>
                          <a:chOff x="0" y="0"/>
                          <a:chExt cx="9216" cy="15"/>
                        </a:xfrm>
                      </wpg:grpSpPr>
                      <wps:wsp>
                        <wps:cNvPr id="41" name="Line 18"/>
                        <wps:cNvCnPr>
                          <a:cxnSpLocks noChangeShapeType="1"/>
                        </wps:cNvCnPr>
                        <wps:spPr bwMode="auto">
                          <a:xfrm>
                            <a:off x="0" y="7"/>
                            <a:ext cx="9216" cy="0"/>
                          </a:xfrm>
                          <a:prstGeom prst="line">
                            <a:avLst/>
                          </a:prstGeom>
                          <a:noFill/>
                          <a:ln w="9525">
                            <a:solidFill>
                              <a:srgbClr val="000000"/>
                            </a:solidFill>
                            <a:prstDash val="solid"/>
                            <a:round/>
                            <a:headEnd/>
                            <a:tailEnd/>
                          </a:ln>
                          <a:extLst>
                            <a:ext uri="{909E8E84-426E-40DD-AFC4-6F175D3DCCD1}">
                              <a14:hiddenFill xmlns:a14="http://schemas.microsoft.com/office/drawing/2010/main">
                                <a:noFill/>
                              </a14:hiddenFill>
                            </a:ext>
                          </a:extLst>
                        </wps:spPr>
                        <wps:bodyPr/>
                      </wps:wsp>
                    </wpg:wgp>
                  </a:graphicData>
                </a:graphic>
              </wp:inline>
            </w:drawing>
          </mc:Choice>
          <mc:Fallback>
            <w:pict>
              <v:group w14:anchorId="13FD8015" id="Group 17" o:spid="_x0000_s1026" style="width:460.8pt;height:.75pt;mso-position-horizontal-relative:char;mso-position-vertical-relative:line" coordsize="9216,1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">
                <v:line id="Line 18" o:spid="_x0000_s1027" style="position:absolute;visibility:visible;mso-wrap-style:square" from="0,7" to="9216,7"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"/>
                <w10:anchorlock/>
              </v:group>
            </w:pict>
          </mc:Fallback>
        </mc:AlternateContent>
      </w:r>
    </w:p>
    <w:p w:rsidR="00A63476" w:rsidRDefault="00A63476">
      <w:pPr>
        <w:pStyle w:val="Textoindependiente"/>
        <w:spacing w:before="3"/>
        <w:ind w:left="0" w:right="0" w:firstLine="0"/>
        <w:jc w:val="left"/>
        <w:rPr>
          <w:sz w:val="20"/>
        </w:rPr>
      </w:pPr>
    </w:p>
    <w:tbl>
      <w:tblPr>
        <w:tblStyle w:val="TableNormal"/>
        <w:tblW w:w="0" w:type="auto"/>
        <w:tblInd w:w="678" w:type="dxa"/>
        <w:tblBorders>
          <w:top w:val="single" w:sz="6" w:space="0" w:color="404040"/>
          <w:left w:val="single" w:sz="6" w:space="0" w:color="404040"/>
          <w:bottom w:val="single" w:sz="6" w:space="0" w:color="404040"/>
          <w:right w:val="single" w:sz="6" w:space="0" w:color="404040"/>
          <w:insideH w:val="single" w:sz="6" w:space="0" w:color="404040"/>
          <w:insideV w:val="single" w:sz="6" w:space="0" w:color="404040"/>
        </w:tblBorders>
        <w:tblLayout w:type="fixed"/>
        <w:tblLook w:val="01E0" w:firstRow="1" w:lastRow="1" w:firstColumn="1" w:lastColumn="1" w:noHBand="0" w:noVBand="0"/>
      </w:tblPr>
      <w:tblGrid>
        <w:gridCol w:w="7233"/>
        <w:gridCol w:w="1450"/>
      </w:tblGrid>
      <w:tr w:rsidR="00A63476">
        <w:trPr>
          <w:trHeight w:val="334"/>
        </w:trPr>
        <w:tc>
          <w:tcPr>
            <w:tcW w:w="7233" w:type="dxa"/>
          </w:tcPr>
          <w:p w:rsidR="00A63476" w:rsidRDefault="00D22874">
            <w:pPr>
              <w:pStyle w:val="TableParagraph"/>
              <w:spacing w:before="63"/>
              <w:ind w:left="89"/>
              <w:rPr>
                <w:b/>
                <w:sz w:val="16"/>
              </w:rPr>
            </w:pPr>
            <w:r>
              <w:rPr>
                <w:b/>
                <w:sz w:val="16"/>
              </w:rPr>
              <w:t>Opciones de sustentabilidad a elegir en la Vivienda</w:t>
            </w:r>
          </w:p>
        </w:tc>
        <w:tc>
          <w:tcPr>
            <w:tcW w:w="1450" w:type="dxa"/>
          </w:tcPr>
          <w:p w:rsidR="00A63476" w:rsidRDefault="00D22874">
            <w:pPr>
              <w:pStyle w:val="TableParagraph"/>
              <w:spacing w:before="63"/>
              <w:ind w:left="88" w:right="73"/>
              <w:jc w:val="center"/>
              <w:rPr>
                <w:b/>
                <w:sz w:val="16"/>
              </w:rPr>
            </w:pPr>
            <w:r>
              <w:rPr>
                <w:b/>
                <w:sz w:val="16"/>
              </w:rPr>
              <w:t>Puntaje</w:t>
            </w:r>
          </w:p>
        </w:tc>
      </w:tr>
      <w:tr w:rsidR="00A63476">
        <w:trPr>
          <w:trHeight w:val="334"/>
        </w:trPr>
        <w:tc>
          <w:tcPr>
            <w:tcW w:w="7233" w:type="dxa"/>
          </w:tcPr>
          <w:p w:rsidR="00A63476" w:rsidRDefault="00D22874">
            <w:pPr>
              <w:pStyle w:val="TableParagraph"/>
              <w:spacing w:before="73"/>
              <w:ind w:left="89"/>
              <w:rPr>
                <w:sz w:val="16"/>
              </w:rPr>
            </w:pPr>
            <w:r>
              <w:rPr>
                <w:sz w:val="16"/>
              </w:rPr>
              <w:t>Sistema de captación de agua pluvial, filtrado y almacenamiento para su aprovechamiento)</w:t>
            </w:r>
          </w:p>
        </w:tc>
        <w:tc>
          <w:tcPr>
            <w:tcW w:w="1450" w:type="dxa"/>
          </w:tcPr>
          <w:p w:rsidR="00A63476" w:rsidRDefault="00D22874">
            <w:pPr>
              <w:pStyle w:val="TableParagraph"/>
              <w:spacing w:before="73"/>
              <w:ind w:left="88" w:right="73"/>
              <w:jc w:val="center"/>
              <w:rPr>
                <w:sz w:val="16"/>
              </w:rPr>
            </w:pPr>
            <w:r>
              <w:rPr>
                <w:sz w:val="16"/>
              </w:rPr>
              <w:t>40</w:t>
            </w:r>
          </w:p>
        </w:tc>
      </w:tr>
      <w:tr w:rsidR="00A63476">
        <w:trPr>
          <w:trHeight w:val="334"/>
        </w:trPr>
        <w:tc>
          <w:tcPr>
            <w:tcW w:w="7233" w:type="dxa"/>
          </w:tcPr>
          <w:p w:rsidR="00A63476" w:rsidRDefault="00D22874">
            <w:pPr>
              <w:pStyle w:val="TableParagraph"/>
              <w:spacing w:before="63"/>
              <w:ind w:left="89"/>
              <w:rPr>
                <w:sz w:val="16"/>
              </w:rPr>
            </w:pPr>
            <w:r>
              <w:rPr>
                <w:sz w:val="16"/>
              </w:rPr>
              <w:t>Estufas ecológicas (ejemplo Patsari, solar, Wolf, Lorena)</w:t>
            </w:r>
          </w:p>
        </w:tc>
        <w:tc>
          <w:tcPr>
            <w:tcW w:w="1450" w:type="dxa"/>
          </w:tcPr>
          <w:p w:rsidR="00A63476" w:rsidRDefault="00D22874">
            <w:pPr>
              <w:pStyle w:val="TableParagraph"/>
              <w:spacing w:before="63"/>
              <w:ind w:left="88" w:right="73"/>
              <w:jc w:val="center"/>
              <w:rPr>
                <w:sz w:val="16"/>
              </w:rPr>
            </w:pPr>
            <w:r>
              <w:rPr>
                <w:sz w:val="16"/>
              </w:rPr>
              <w:t>40</w:t>
            </w:r>
          </w:p>
        </w:tc>
      </w:tr>
      <w:tr w:rsidR="00A63476">
        <w:trPr>
          <w:trHeight w:val="514"/>
        </w:trPr>
        <w:tc>
          <w:tcPr>
            <w:tcW w:w="7233" w:type="dxa"/>
          </w:tcPr>
          <w:p w:rsidR="00A63476" w:rsidRDefault="00D22874">
            <w:pPr>
              <w:pStyle w:val="TableParagraph"/>
              <w:spacing w:before="76" w:line="235" w:lineRule="auto"/>
              <w:ind w:left="89"/>
              <w:rPr>
                <w:sz w:val="16"/>
              </w:rPr>
            </w:pPr>
            <w:r>
              <w:rPr>
                <w:sz w:val="16"/>
              </w:rPr>
              <w:t>Inodoro grado ecológico (descarga máxima 5 litros) o letrina seca, baño seco, con fosa séptica cuando</w:t>
            </w:r>
            <w:r>
              <w:rPr>
                <w:sz w:val="16"/>
              </w:rPr>
              <w:t xml:space="preserve"> aplique</w:t>
            </w:r>
          </w:p>
        </w:tc>
        <w:tc>
          <w:tcPr>
            <w:tcW w:w="1450" w:type="dxa"/>
          </w:tcPr>
          <w:p w:rsidR="00A63476" w:rsidRDefault="00A63476">
            <w:pPr>
              <w:pStyle w:val="TableParagraph"/>
              <w:spacing w:before="1"/>
              <w:rPr>
                <w:sz w:val="15"/>
              </w:rPr>
            </w:pPr>
          </w:p>
          <w:p w:rsidR="00A63476" w:rsidRDefault="00D22874">
            <w:pPr>
              <w:pStyle w:val="TableParagraph"/>
              <w:ind w:left="88" w:right="73"/>
              <w:jc w:val="center"/>
              <w:rPr>
                <w:sz w:val="16"/>
              </w:rPr>
            </w:pPr>
            <w:r>
              <w:rPr>
                <w:sz w:val="16"/>
              </w:rPr>
              <w:t>40</w:t>
            </w:r>
          </w:p>
        </w:tc>
      </w:tr>
      <w:tr w:rsidR="00A63476">
        <w:trPr>
          <w:trHeight w:val="334"/>
        </w:trPr>
        <w:tc>
          <w:tcPr>
            <w:tcW w:w="7233" w:type="dxa"/>
          </w:tcPr>
          <w:p w:rsidR="00A63476" w:rsidRDefault="00D22874">
            <w:pPr>
              <w:pStyle w:val="TableParagraph"/>
              <w:spacing w:before="64"/>
              <w:ind w:left="89"/>
              <w:rPr>
                <w:sz w:val="16"/>
              </w:rPr>
            </w:pPr>
            <w:r>
              <w:rPr>
                <w:sz w:val="16"/>
              </w:rPr>
              <w:t>Sistema de tratamiento y reúso de aguas grises</w:t>
            </w:r>
          </w:p>
        </w:tc>
        <w:tc>
          <w:tcPr>
            <w:tcW w:w="1450" w:type="dxa"/>
          </w:tcPr>
          <w:p w:rsidR="00A63476" w:rsidRDefault="00D22874">
            <w:pPr>
              <w:pStyle w:val="TableParagraph"/>
              <w:spacing w:before="64"/>
              <w:ind w:left="88" w:right="73"/>
              <w:jc w:val="center"/>
              <w:rPr>
                <w:sz w:val="16"/>
              </w:rPr>
            </w:pPr>
            <w:r>
              <w:rPr>
                <w:sz w:val="16"/>
              </w:rPr>
              <w:t>40</w:t>
            </w:r>
          </w:p>
        </w:tc>
      </w:tr>
      <w:tr w:rsidR="00A63476">
        <w:trPr>
          <w:trHeight w:val="2050"/>
        </w:trPr>
        <w:tc>
          <w:tcPr>
            <w:tcW w:w="7233" w:type="dxa"/>
          </w:tcPr>
          <w:p w:rsidR="00A63476" w:rsidRDefault="00D22874">
            <w:pPr>
              <w:pStyle w:val="TableParagraph"/>
              <w:spacing w:before="77" w:line="235" w:lineRule="auto"/>
              <w:ind w:left="89"/>
              <w:rPr>
                <w:sz w:val="16"/>
              </w:rPr>
            </w:pPr>
            <w:r>
              <w:rPr>
                <w:sz w:val="16"/>
              </w:rPr>
              <w:t>Calentador de gas paso de rápida recuperación o instantáneo que cumplan con la normatividad vigente.</w:t>
            </w:r>
            <w:r>
              <w:rPr>
                <w:spacing w:val="-1"/>
                <w:sz w:val="16"/>
              </w:rPr>
              <w:t xml:space="preserve"> </w:t>
            </w:r>
            <w:r>
              <w:rPr>
                <w:sz w:val="16"/>
              </w:rPr>
              <w:t>(ECO)</w:t>
            </w:r>
          </w:p>
          <w:p w:rsidR="00A63476" w:rsidRDefault="00D22874">
            <w:pPr>
              <w:pStyle w:val="TableParagraph"/>
              <w:spacing w:before="19" w:line="235" w:lineRule="auto"/>
              <w:ind w:left="89" w:right="120"/>
              <w:rPr>
                <w:sz w:val="16"/>
              </w:rPr>
            </w:pPr>
            <w:r>
              <w:rPr>
                <w:sz w:val="16"/>
              </w:rPr>
              <w:t>Filtros de purificación de agua instalados en tarja con dos repuestos o “</w:t>
            </w:r>
            <w:r>
              <w:rPr>
                <w:i/>
                <w:sz w:val="16"/>
              </w:rPr>
              <w:t xml:space="preserve">mesita azul” </w:t>
            </w:r>
            <w:r>
              <w:rPr>
                <w:sz w:val="16"/>
              </w:rPr>
              <w:t xml:space="preserve">con </w:t>
            </w:r>
            <w:r>
              <w:rPr>
                <w:spacing w:val="-3"/>
                <w:sz w:val="16"/>
              </w:rPr>
              <w:t xml:space="preserve">repuesto </w:t>
            </w:r>
            <w:r>
              <w:rPr>
                <w:sz w:val="16"/>
              </w:rPr>
              <w:t>de filtro.</w:t>
            </w:r>
            <w:r>
              <w:rPr>
                <w:spacing w:val="-1"/>
                <w:sz w:val="16"/>
              </w:rPr>
              <w:t xml:space="preserve"> </w:t>
            </w:r>
            <w:r>
              <w:rPr>
                <w:sz w:val="16"/>
              </w:rPr>
              <w:t>(ECO)</w:t>
            </w:r>
          </w:p>
          <w:p w:rsidR="00A63476" w:rsidRDefault="00D22874">
            <w:pPr>
              <w:pStyle w:val="TableParagraph"/>
              <w:spacing w:before="17" w:line="242" w:lineRule="auto"/>
              <w:ind w:left="89" w:right="120"/>
              <w:rPr>
                <w:sz w:val="16"/>
              </w:rPr>
            </w:pPr>
            <w:r>
              <w:rPr>
                <w:sz w:val="16"/>
              </w:rPr>
              <w:t xml:space="preserve">Lámparas fluorescentes compactas </w:t>
            </w:r>
            <w:r>
              <w:rPr>
                <w:sz w:val="16"/>
              </w:rPr>
              <w:t xml:space="preserve">autobalastradas (focos ahorradores) que cumplan con normatividad vigente y mínimo de 20 W en interiores y mínimo de 13 W en exteriores. (ECO) Regadera grado ecológico y llaves (válvulas) con dispositivo ahorrador de agua que cumplan </w:t>
            </w:r>
            <w:r>
              <w:rPr>
                <w:spacing w:val="-6"/>
                <w:sz w:val="16"/>
              </w:rPr>
              <w:t>con</w:t>
            </w:r>
            <w:r>
              <w:rPr>
                <w:spacing w:val="32"/>
                <w:sz w:val="16"/>
              </w:rPr>
              <w:t xml:space="preserve"> </w:t>
            </w:r>
            <w:r>
              <w:rPr>
                <w:sz w:val="16"/>
              </w:rPr>
              <w:t>la NMX-C-415 en: Co</w:t>
            </w:r>
            <w:r>
              <w:rPr>
                <w:sz w:val="16"/>
              </w:rPr>
              <w:t>cina y Lavabo(s) de baño</w:t>
            </w:r>
            <w:r>
              <w:rPr>
                <w:spacing w:val="-1"/>
                <w:sz w:val="16"/>
              </w:rPr>
              <w:t xml:space="preserve"> </w:t>
            </w:r>
            <w:r>
              <w:rPr>
                <w:sz w:val="16"/>
              </w:rPr>
              <w:t>(ECO)</w:t>
            </w:r>
          </w:p>
          <w:p w:rsidR="00A63476" w:rsidRDefault="00D22874">
            <w:pPr>
              <w:pStyle w:val="TableParagraph"/>
              <w:spacing w:before="39" w:line="235" w:lineRule="auto"/>
              <w:ind w:left="89" w:right="120"/>
              <w:rPr>
                <w:sz w:val="16"/>
              </w:rPr>
            </w:pPr>
            <w:r>
              <w:rPr>
                <w:sz w:val="16"/>
              </w:rPr>
              <w:t>Válvulas de seccionamiento para alimentación en lavabos (2), inodoros (1), fregadero (2), calentador de agua (1), tinaco (1) y cisterna (1). (ECO)</w:t>
            </w:r>
          </w:p>
        </w:tc>
        <w:tc>
          <w:tcPr>
            <w:tcW w:w="1450" w:type="dxa"/>
          </w:tcPr>
          <w:p w:rsidR="00A63476" w:rsidRDefault="00A63476">
            <w:pPr>
              <w:pStyle w:val="TableParagraph"/>
              <w:rPr>
                <w:sz w:val="18"/>
              </w:rPr>
            </w:pPr>
          </w:p>
          <w:p w:rsidR="00A63476" w:rsidRDefault="00A63476">
            <w:pPr>
              <w:pStyle w:val="TableParagraph"/>
              <w:rPr>
                <w:sz w:val="18"/>
              </w:rPr>
            </w:pPr>
          </w:p>
          <w:p w:rsidR="00A63476" w:rsidRDefault="00A63476">
            <w:pPr>
              <w:pStyle w:val="TableParagraph"/>
              <w:rPr>
                <w:sz w:val="18"/>
              </w:rPr>
            </w:pPr>
          </w:p>
          <w:p w:rsidR="00A63476" w:rsidRDefault="00D22874">
            <w:pPr>
              <w:pStyle w:val="TableParagraph"/>
              <w:spacing w:before="133"/>
              <w:ind w:left="88" w:right="73"/>
              <w:jc w:val="center"/>
              <w:rPr>
                <w:sz w:val="16"/>
              </w:rPr>
            </w:pPr>
            <w:r>
              <w:rPr>
                <w:sz w:val="16"/>
              </w:rPr>
              <w:t>20</w:t>
            </w:r>
          </w:p>
          <w:p w:rsidR="00A63476" w:rsidRDefault="00D22874">
            <w:pPr>
              <w:pStyle w:val="TableParagraph"/>
              <w:spacing w:before="19" w:line="235" w:lineRule="auto"/>
              <w:ind w:left="96" w:right="73"/>
              <w:jc w:val="center"/>
              <w:rPr>
                <w:sz w:val="16"/>
              </w:rPr>
            </w:pPr>
            <w:r>
              <w:rPr>
                <w:sz w:val="16"/>
              </w:rPr>
              <w:t>(cualquiera de las opciones)</w:t>
            </w:r>
          </w:p>
        </w:tc>
      </w:tr>
      <w:tr w:rsidR="00A63476">
        <w:trPr>
          <w:trHeight w:val="334"/>
        </w:trPr>
        <w:tc>
          <w:tcPr>
            <w:tcW w:w="7233" w:type="dxa"/>
          </w:tcPr>
          <w:p w:rsidR="00A63476" w:rsidRDefault="00D22874">
            <w:pPr>
              <w:pStyle w:val="TableParagraph"/>
              <w:spacing w:before="68"/>
              <w:ind w:left="89"/>
              <w:rPr>
                <w:b/>
                <w:sz w:val="16"/>
              </w:rPr>
            </w:pPr>
            <w:r>
              <w:rPr>
                <w:b/>
                <w:sz w:val="16"/>
              </w:rPr>
              <w:t>Opciones de sustentabilidad a elegir en la Vivienda</w:t>
            </w:r>
          </w:p>
        </w:tc>
        <w:tc>
          <w:tcPr>
            <w:tcW w:w="1450" w:type="dxa"/>
          </w:tcPr>
          <w:p w:rsidR="00A63476" w:rsidRDefault="00D22874">
            <w:pPr>
              <w:pStyle w:val="TableParagraph"/>
              <w:spacing w:before="68"/>
              <w:ind w:left="88" w:right="73"/>
              <w:jc w:val="center"/>
              <w:rPr>
                <w:b/>
                <w:sz w:val="16"/>
              </w:rPr>
            </w:pPr>
            <w:r>
              <w:rPr>
                <w:b/>
                <w:sz w:val="16"/>
              </w:rPr>
              <w:t>Puntaje</w:t>
            </w:r>
          </w:p>
        </w:tc>
      </w:tr>
      <w:tr w:rsidR="00A63476">
        <w:trPr>
          <w:trHeight w:val="1690"/>
        </w:trPr>
        <w:tc>
          <w:tcPr>
            <w:tcW w:w="7233" w:type="dxa"/>
          </w:tcPr>
          <w:p w:rsidR="00A63476" w:rsidRDefault="00D22874">
            <w:pPr>
              <w:pStyle w:val="TableParagraph"/>
              <w:spacing w:before="78"/>
              <w:ind w:left="89"/>
              <w:rPr>
                <w:sz w:val="16"/>
              </w:rPr>
            </w:pPr>
            <w:r>
              <w:rPr>
                <w:sz w:val="16"/>
              </w:rPr>
              <w:t>Sistema de tratamiento de desechos: Biodigestor</w:t>
            </w:r>
          </w:p>
          <w:p w:rsidR="00A63476" w:rsidRDefault="00D22874">
            <w:pPr>
              <w:pStyle w:val="TableParagraph"/>
              <w:spacing w:before="19" w:line="235" w:lineRule="auto"/>
              <w:ind w:left="89" w:right="120"/>
              <w:rPr>
                <w:sz w:val="16"/>
              </w:rPr>
            </w:pPr>
            <w:r>
              <w:rPr>
                <w:sz w:val="16"/>
              </w:rPr>
              <w:t>Al menos 50% de lámparas LED (de mínimo 3.5 W y cumplir con una eficiencia mínima de 80 lm/ W, y de tipo omnidireccional) (ECO)</w:t>
            </w:r>
          </w:p>
          <w:p w:rsidR="00A63476" w:rsidRDefault="00D22874">
            <w:pPr>
              <w:pStyle w:val="TableParagraph"/>
              <w:spacing w:before="20" w:line="235" w:lineRule="auto"/>
              <w:ind w:left="89" w:right="120"/>
              <w:rPr>
                <w:sz w:val="16"/>
              </w:rPr>
            </w:pPr>
            <w:r>
              <w:rPr>
                <w:sz w:val="16"/>
              </w:rPr>
              <w:t xml:space="preserve">Incorporación de partesoles opacos (mínimo 40 cm) en todas las aberturas de ventana en fachadas </w:t>
            </w:r>
            <w:r>
              <w:rPr>
                <w:spacing w:val="-3"/>
                <w:sz w:val="16"/>
              </w:rPr>
              <w:t xml:space="preserve">sur, </w:t>
            </w:r>
            <w:r>
              <w:rPr>
                <w:sz w:val="16"/>
              </w:rPr>
              <w:t>este y oeste</w:t>
            </w:r>
            <w:r>
              <w:rPr>
                <w:spacing w:val="2"/>
                <w:sz w:val="16"/>
              </w:rPr>
              <w:t xml:space="preserve"> </w:t>
            </w:r>
            <w:r>
              <w:rPr>
                <w:sz w:val="16"/>
              </w:rPr>
              <w:t>(DS)</w:t>
            </w:r>
          </w:p>
          <w:p w:rsidR="00A63476" w:rsidRDefault="00D22874">
            <w:pPr>
              <w:pStyle w:val="TableParagraph"/>
              <w:spacing w:before="16"/>
              <w:ind w:left="89"/>
              <w:rPr>
                <w:sz w:val="16"/>
              </w:rPr>
            </w:pPr>
            <w:r>
              <w:rPr>
                <w:sz w:val="16"/>
              </w:rPr>
              <w:t>WC con de</w:t>
            </w:r>
            <w:r>
              <w:rPr>
                <w:sz w:val="16"/>
              </w:rPr>
              <w:t>scarga máxima de 5 litros (Grado ecológico) (ECO)</w:t>
            </w:r>
          </w:p>
          <w:p w:rsidR="00A63476" w:rsidRDefault="00D22874">
            <w:pPr>
              <w:pStyle w:val="TableParagraph"/>
              <w:spacing w:before="19" w:line="235" w:lineRule="auto"/>
              <w:ind w:left="89" w:right="67"/>
              <w:rPr>
                <w:sz w:val="16"/>
              </w:rPr>
            </w:pPr>
            <w:r>
              <w:rPr>
                <w:sz w:val="16"/>
              </w:rPr>
              <w:t>Aislamiento en muro de mayor asoleamiento o techo, que cumpla con valor mínimo “R” de la NMX- C-460-ONNCCE-2009 (DS)</w:t>
            </w:r>
          </w:p>
        </w:tc>
        <w:tc>
          <w:tcPr>
            <w:tcW w:w="1450" w:type="dxa"/>
          </w:tcPr>
          <w:p w:rsidR="00A63476" w:rsidRDefault="00A63476">
            <w:pPr>
              <w:pStyle w:val="TableParagraph"/>
              <w:rPr>
                <w:sz w:val="18"/>
              </w:rPr>
            </w:pPr>
          </w:p>
          <w:p w:rsidR="00A63476" w:rsidRDefault="00A63476">
            <w:pPr>
              <w:pStyle w:val="TableParagraph"/>
              <w:rPr>
                <w:sz w:val="18"/>
              </w:rPr>
            </w:pPr>
          </w:p>
          <w:p w:rsidR="00A63476" w:rsidRDefault="00A63476">
            <w:pPr>
              <w:pStyle w:val="TableParagraph"/>
              <w:spacing w:before="3"/>
              <w:rPr>
                <w:sz w:val="14"/>
              </w:rPr>
            </w:pPr>
          </w:p>
          <w:p w:rsidR="00A63476" w:rsidRDefault="00D22874">
            <w:pPr>
              <w:pStyle w:val="TableParagraph"/>
              <w:ind w:left="88" w:right="73"/>
              <w:jc w:val="center"/>
              <w:rPr>
                <w:sz w:val="16"/>
              </w:rPr>
            </w:pPr>
            <w:r>
              <w:rPr>
                <w:sz w:val="16"/>
              </w:rPr>
              <w:t>30</w:t>
            </w:r>
          </w:p>
          <w:p w:rsidR="00A63476" w:rsidRDefault="00D22874">
            <w:pPr>
              <w:pStyle w:val="TableParagraph"/>
              <w:spacing w:before="19" w:line="235" w:lineRule="auto"/>
              <w:ind w:left="96" w:right="73"/>
              <w:jc w:val="center"/>
              <w:rPr>
                <w:sz w:val="16"/>
              </w:rPr>
            </w:pPr>
            <w:r>
              <w:rPr>
                <w:sz w:val="16"/>
              </w:rPr>
              <w:t>(cada una de las opciones)</w:t>
            </w:r>
          </w:p>
        </w:tc>
      </w:tr>
      <w:tr w:rsidR="00A63476">
        <w:trPr>
          <w:trHeight w:val="1150"/>
        </w:trPr>
        <w:tc>
          <w:tcPr>
            <w:tcW w:w="7233" w:type="dxa"/>
          </w:tcPr>
          <w:p w:rsidR="00A63476" w:rsidRDefault="00D22874">
            <w:pPr>
              <w:pStyle w:val="TableParagraph"/>
              <w:spacing w:before="73" w:line="261" w:lineRule="auto"/>
              <w:ind w:left="89" w:right="985"/>
              <w:rPr>
                <w:sz w:val="16"/>
              </w:rPr>
            </w:pPr>
            <w:r>
              <w:rPr>
                <w:sz w:val="16"/>
              </w:rPr>
              <w:t>Traspatio: Huerto familiar/Cría de animales dentro del terreno de la vivienda Calentador solar de agua (ECO)</w:t>
            </w:r>
          </w:p>
          <w:p w:rsidR="00A63476" w:rsidRDefault="00D22874">
            <w:pPr>
              <w:pStyle w:val="TableParagraph"/>
              <w:spacing w:line="261" w:lineRule="auto"/>
              <w:ind w:left="89" w:right="2742"/>
              <w:rPr>
                <w:sz w:val="16"/>
              </w:rPr>
            </w:pPr>
            <w:r>
              <w:rPr>
                <w:sz w:val="16"/>
              </w:rPr>
              <w:t>Materiales regionales en cumplimiento con normatividad (DS) WC con descarga máxima de 4 litros (ECO)</w:t>
            </w:r>
          </w:p>
          <w:p w:rsidR="00A63476" w:rsidRDefault="00D22874">
            <w:pPr>
              <w:pStyle w:val="TableParagraph"/>
              <w:spacing w:before="17"/>
              <w:ind w:left="89"/>
              <w:rPr>
                <w:sz w:val="16"/>
              </w:rPr>
            </w:pPr>
            <w:r>
              <w:rPr>
                <w:sz w:val="16"/>
              </w:rPr>
              <w:t xml:space="preserve">Pintura exterior (cuando se requiera según el </w:t>
            </w:r>
            <w:r>
              <w:rPr>
                <w:sz w:val="16"/>
              </w:rPr>
              <w:t>material constructivo a utilizar) (COM)</w:t>
            </w:r>
          </w:p>
        </w:tc>
        <w:tc>
          <w:tcPr>
            <w:tcW w:w="1450" w:type="dxa"/>
          </w:tcPr>
          <w:p w:rsidR="00A63476" w:rsidRDefault="00A63476">
            <w:pPr>
              <w:pStyle w:val="TableParagraph"/>
              <w:spacing w:before="5"/>
              <w:rPr>
                <w:sz w:val="25"/>
              </w:rPr>
            </w:pPr>
          </w:p>
          <w:p w:rsidR="00A63476" w:rsidRDefault="00D22874">
            <w:pPr>
              <w:pStyle w:val="TableParagraph"/>
              <w:ind w:left="88" w:right="73"/>
              <w:jc w:val="center"/>
              <w:rPr>
                <w:sz w:val="16"/>
              </w:rPr>
            </w:pPr>
            <w:r>
              <w:rPr>
                <w:sz w:val="16"/>
              </w:rPr>
              <w:t>40</w:t>
            </w:r>
          </w:p>
          <w:p w:rsidR="00A63476" w:rsidRDefault="00D22874">
            <w:pPr>
              <w:pStyle w:val="TableParagraph"/>
              <w:spacing w:before="19" w:line="235" w:lineRule="auto"/>
              <w:ind w:left="96" w:right="73"/>
              <w:jc w:val="center"/>
              <w:rPr>
                <w:sz w:val="16"/>
              </w:rPr>
            </w:pPr>
            <w:r>
              <w:rPr>
                <w:sz w:val="16"/>
              </w:rPr>
              <w:t>(cada una de las opciones)</w:t>
            </w:r>
          </w:p>
        </w:tc>
      </w:tr>
    </w:tbl>
    <w:p w:rsidR="00A63476" w:rsidRDefault="00A63476">
      <w:pPr>
        <w:spacing w:line="235" w:lineRule="auto"/>
        <w:jc w:val="center"/>
        <w:rPr>
          <w:sz w:val="16"/>
        </w:rPr>
        <w:sectPr w:rsidR="00A63476">
          <w:pgSz w:w="12240" w:h="15840"/>
          <w:pgMar w:top="880" w:right="1040" w:bottom="280" w:left="1180" w:header="699" w:footer="0" w:gutter="0"/>
          <w:cols w:space="720"/>
        </w:sectPr>
      </w:pPr>
    </w:p>
    <w:p w:rsidR="00A63476" w:rsidRDefault="00FF0FB3">
      <w:pPr>
        <w:pStyle w:val="Textoindependiente"/>
        <w:spacing w:line="20" w:lineRule="exact"/>
        <w:ind w:left="396" w:right="0" w:firstLine="0"/>
        <w:jc w:val="left"/>
        <w:rPr>
          <w:sz w:val="2"/>
        </w:rPr>
      </w:pPr>
      <w:r>
        <w:rPr>
          <w:noProof/>
          <w:sz w:val="2"/>
        </w:rPr>
        <w:lastRenderedPageBreak/>
        <mc:AlternateContent>
          <mc:Choice Requires="wpg">
            <w:drawing>
              <wp:inline distT="0" distB="0" distL="0" distR="0">
                <wp:extent cx="5852160" cy="9525"/>
                <wp:effectExtent l="10160" t="6985" r="5080" b="2540"/>
                <wp:docPr id="38" name="Group 15"/>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5852160" cy="9525"/>
                          <a:chOff x="0" y="0"/>
                          <a:chExt cx="9216" cy="15"/>
                        </a:xfrm>
                      </wpg:grpSpPr>
                      <wps:wsp>
                        <wps:cNvPr id="39" name="Line 16"/>
                        <wps:cNvCnPr>
                          <a:cxnSpLocks noChangeShapeType="1"/>
                        </wps:cNvCnPr>
                        <wps:spPr bwMode="auto">
                          <a:xfrm>
                            <a:off x="0" y="7"/>
                            <a:ext cx="9216" cy="0"/>
                          </a:xfrm>
                          <a:prstGeom prst="line">
                            <a:avLst/>
                          </a:prstGeom>
                          <a:noFill/>
                          <a:ln w="9525">
                            <a:solidFill>
                              <a:srgbClr val="000000"/>
                            </a:solidFill>
                            <a:prstDash val="solid"/>
                            <a:round/>
                            <a:headEnd/>
                            <a:tailEnd/>
                          </a:ln>
                          <a:extLst>
                            <a:ext uri="{909E8E84-426E-40DD-AFC4-6F175D3DCCD1}">
                              <a14:hiddenFill xmlns:a14="http://schemas.microsoft.com/office/drawing/2010/main">
                                <a:noFill/>
                              </a14:hiddenFill>
                            </a:ext>
                          </a:extLst>
                        </wps:spPr>
                        <wps:bodyPr/>
                      </wps:wsp>
                    </wpg:wgp>
                  </a:graphicData>
                </a:graphic>
              </wp:inline>
            </w:drawing>
          </mc:Choice>
          <mc:Fallback>
            <w:pict>
              <v:group w14:anchorId="278F8AE6" id="Group 15" o:spid="_x0000_s1026" style="width:460.8pt;height:.75pt;mso-position-horizontal-relative:char;mso-position-vertical-relative:line" coordsize="9216,1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">
                <v:line id="Line 16" o:spid="_x0000_s1027" style="position:absolute;visibility:visible;mso-wrap-style:square" from="0,7" to="9216,7"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"/>
                <w10:anchorlock/>
              </v:group>
            </w:pict>
          </mc:Fallback>
        </mc:AlternateContent>
      </w:r>
    </w:p>
    <w:p w:rsidR="00A63476" w:rsidRDefault="00D22874">
      <w:pPr>
        <w:pStyle w:val="Textoindependiente"/>
        <w:spacing w:before="4"/>
        <w:ind w:left="0" w:right="0" w:firstLine="0"/>
        <w:jc w:val="left"/>
        <w:rPr>
          <w:sz w:val="21"/>
        </w:rPr>
      </w:pPr>
      <w:r>
        <w:rPr>
          <w:noProof/>
        </w:rPr>
        <w:drawing>
          <wp:anchor distT="0" distB="0" distL="0" distR="0" simplePos="0" relativeHeight="42" behindDoc="0" locked="0" layoutInCell="1" allowOverlap="1">
            <wp:simplePos x="0" y="0"/>
            <wp:positionH relativeFrom="page">
              <wp:posOffset>1158326</wp:posOffset>
            </wp:positionH>
            <wp:positionV relativeFrom="paragraph">
              <wp:posOffset>181157</wp:posOffset>
            </wp:positionV>
            <wp:extent cx="5412710" cy="7439596"/>
            <wp:effectExtent l="0" t="0" r="0" b="0"/>
            <wp:wrapTopAndBottom/>
            <wp:docPr id="7" name="image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image4.png"/>
                    <pic:cNvPicPr/>
                  </pic:nvPicPr>
                  <pic:blipFill>
                    <a:blip r:embed="rId49" cstate="print"/>
                    <a:stretch>
                      <a:fillRect/>
                    </a:stretch>
                  </pic:blipFill>
                  <pic:spPr>
                    <a:xfrm>
                      <a:off x="0" y="0"/>
                      <a:ext cx="5412710" cy="7439596"/>
                    </a:xfrm>
                    <a:prstGeom prst="rect">
                      <a:avLst/>
                    </a:prstGeom>
                  </pic:spPr>
                </pic:pic>
              </a:graphicData>
            </a:graphic>
          </wp:anchor>
        </w:drawing>
      </w:r>
    </w:p>
    <w:p w:rsidR="00A63476" w:rsidRDefault="00A63476">
      <w:pPr>
        <w:rPr>
          <w:sz w:val="21"/>
        </w:rPr>
        <w:sectPr w:rsidR="00A63476">
          <w:pgSz w:w="12240" w:h="15840"/>
          <w:pgMar w:top="880" w:right="1040" w:bottom="280" w:left="1180" w:header="699" w:footer="0" w:gutter="0"/>
          <w:cols w:space="720"/>
        </w:sectPr>
      </w:pPr>
    </w:p>
    <w:p w:rsidR="00A63476" w:rsidRDefault="00FF0FB3">
      <w:pPr>
        <w:pStyle w:val="Textoindependiente"/>
        <w:spacing w:line="20" w:lineRule="exact"/>
        <w:ind w:left="396" w:right="0" w:firstLine="0"/>
        <w:jc w:val="left"/>
        <w:rPr>
          <w:sz w:val="2"/>
        </w:rPr>
      </w:pPr>
      <w:r>
        <w:rPr>
          <w:noProof/>
          <w:sz w:val="2"/>
        </w:rPr>
        <w:lastRenderedPageBreak/>
        <mc:AlternateContent>
          <mc:Choice Requires="wpg">
            <w:drawing>
              <wp:inline distT="0" distB="0" distL="0" distR="0">
                <wp:extent cx="5852160" cy="9525"/>
                <wp:effectExtent l="10160" t="6985" r="5080" b="2540"/>
                <wp:docPr id="36" name="Group 13"/>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5852160" cy="9525"/>
                          <a:chOff x="0" y="0"/>
                          <a:chExt cx="9216" cy="15"/>
                        </a:xfrm>
                      </wpg:grpSpPr>
                      <wps:wsp>
                        <wps:cNvPr id="37" name="Line 14"/>
                        <wps:cNvCnPr>
                          <a:cxnSpLocks noChangeShapeType="1"/>
                        </wps:cNvCnPr>
                        <wps:spPr bwMode="auto">
                          <a:xfrm>
                            <a:off x="0" y="7"/>
                            <a:ext cx="9216" cy="0"/>
                          </a:xfrm>
                          <a:prstGeom prst="line">
                            <a:avLst/>
                          </a:prstGeom>
                          <a:noFill/>
                          <a:ln w="9525">
                            <a:solidFill>
                              <a:srgbClr val="000000"/>
                            </a:solidFill>
                            <a:prstDash val="solid"/>
                            <a:round/>
                            <a:headEnd/>
                            <a:tailEnd/>
                          </a:ln>
                          <a:extLst>
                            <a:ext uri="{909E8E84-426E-40DD-AFC4-6F175D3DCCD1}">
                              <a14:hiddenFill xmlns:a14="http://schemas.microsoft.com/office/drawing/2010/main">
                                <a:noFill/>
                              </a14:hiddenFill>
                            </a:ext>
                          </a:extLst>
                        </wps:spPr>
                        <wps:bodyPr/>
                      </wps:wsp>
                    </wpg:wgp>
                  </a:graphicData>
                </a:graphic>
              </wp:inline>
            </w:drawing>
          </mc:Choice>
          <mc:Fallback>
            <w:pict>
              <v:group w14:anchorId="7FC24137" id="Group 13" o:spid="_x0000_s1026" style="width:460.8pt;height:.75pt;mso-position-horizontal-relative:char;mso-position-vertical-relative:line" coordsize="9216,1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">
                <v:line id="Line 14" o:spid="_x0000_s1027" style="position:absolute;visibility:visible;mso-wrap-style:square" from="0,7" to="9216,7"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"/>
                <w10:anchorlock/>
              </v:group>
            </w:pict>
          </mc:Fallback>
        </mc:AlternateContent>
      </w:r>
    </w:p>
    <w:p w:rsidR="00A63476" w:rsidRDefault="00A63476">
      <w:pPr>
        <w:pStyle w:val="Textoindependiente"/>
        <w:ind w:left="0" w:right="0" w:firstLine="0"/>
        <w:jc w:val="left"/>
        <w:rPr>
          <w:sz w:val="20"/>
        </w:rPr>
      </w:pPr>
    </w:p>
    <w:p w:rsidR="00A63476" w:rsidRDefault="00A63476">
      <w:pPr>
        <w:pStyle w:val="Textoindependiente"/>
        <w:ind w:left="0" w:right="0" w:firstLine="0"/>
        <w:jc w:val="left"/>
        <w:rPr>
          <w:sz w:val="20"/>
        </w:rPr>
      </w:pPr>
    </w:p>
    <w:p w:rsidR="00A63476" w:rsidRDefault="00A63476">
      <w:pPr>
        <w:pStyle w:val="Textoindependiente"/>
        <w:ind w:left="0" w:right="0" w:firstLine="0"/>
        <w:jc w:val="left"/>
        <w:rPr>
          <w:sz w:val="20"/>
        </w:rPr>
      </w:pPr>
    </w:p>
    <w:p w:rsidR="00A63476" w:rsidRDefault="00D22874">
      <w:pPr>
        <w:pStyle w:val="Textoindependiente"/>
        <w:spacing w:before="10"/>
        <w:ind w:left="0" w:right="0" w:firstLine="0"/>
        <w:jc w:val="left"/>
        <w:rPr>
          <w:sz w:val="14"/>
        </w:rPr>
      </w:pPr>
      <w:r>
        <w:rPr>
          <w:noProof/>
        </w:rPr>
        <w:drawing>
          <wp:anchor distT="0" distB="0" distL="0" distR="0" simplePos="0" relativeHeight="44" behindDoc="0" locked="0" layoutInCell="1" allowOverlap="1">
            <wp:simplePos x="0" y="0"/>
            <wp:positionH relativeFrom="page">
              <wp:posOffset>1164525</wp:posOffset>
            </wp:positionH>
            <wp:positionV relativeFrom="paragraph">
              <wp:posOffset>133545</wp:posOffset>
            </wp:positionV>
            <wp:extent cx="5379973" cy="7318248"/>
            <wp:effectExtent l="0" t="0" r="0" b="0"/>
            <wp:wrapTopAndBottom/>
            <wp:docPr id="9" name="image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image5.png"/>
                    <pic:cNvPicPr/>
                  </pic:nvPicPr>
                  <pic:blipFill>
                    <a:blip r:embed="rId50" cstate="print"/>
                    <a:stretch>
                      <a:fillRect/>
                    </a:stretch>
                  </pic:blipFill>
                  <pic:spPr>
                    <a:xfrm>
                      <a:off x="0" y="0"/>
                      <a:ext cx="5379973" cy="7318248"/>
                    </a:xfrm>
                    <a:prstGeom prst="rect">
                      <a:avLst/>
                    </a:prstGeom>
                  </pic:spPr>
                </pic:pic>
              </a:graphicData>
            </a:graphic>
          </wp:anchor>
        </w:drawing>
      </w:r>
    </w:p>
    <w:p w:rsidR="00A63476" w:rsidRDefault="00A63476">
      <w:pPr>
        <w:rPr>
          <w:sz w:val="14"/>
        </w:rPr>
        <w:sectPr w:rsidR="00A63476">
          <w:pgSz w:w="12240" w:h="15840"/>
          <w:pgMar w:top="880" w:right="1040" w:bottom="280" w:left="1180" w:header="699" w:footer="0" w:gutter="0"/>
          <w:cols w:space="720"/>
        </w:sectPr>
      </w:pPr>
    </w:p>
    <w:p w:rsidR="00A63476" w:rsidRDefault="00FF0FB3">
      <w:pPr>
        <w:pStyle w:val="Textoindependiente"/>
        <w:spacing w:line="20" w:lineRule="exact"/>
        <w:ind w:left="108" w:right="0" w:firstLine="0"/>
        <w:jc w:val="left"/>
        <w:rPr>
          <w:sz w:val="2"/>
        </w:rPr>
      </w:pPr>
      <w:r>
        <w:rPr>
          <w:noProof/>
          <w:sz w:val="2"/>
        </w:rPr>
        <w:lastRenderedPageBreak/>
        <mc:AlternateContent>
          <mc:Choice Requires="wpg">
            <w:drawing>
              <wp:inline distT="0" distB="0" distL="0" distR="0">
                <wp:extent cx="6217920" cy="9525"/>
                <wp:effectExtent l="8255" t="6985" r="12700" b="2540"/>
                <wp:docPr id="34" name="Group 11"/>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6217920" cy="9525"/>
                          <a:chOff x="0" y="0"/>
                          <a:chExt cx="9792" cy="15"/>
                        </a:xfrm>
                      </wpg:grpSpPr>
                      <wps:wsp>
                        <wps:cNvPr id="35" name="Line 12"/>
                        <wps:cNvCnPr>
                          <a:cxnSpLocks noChangeShapeType="1"/>
                        </wps:cNvCnPr>
                        <wps:spPr bwMode="auto">
                          <a:xfrm>
                            <a:off x="0" y="7"/>
                            <a:ext cx="9792" cy="0"/>
                          </a:xfrm>
                          <a:prstGeom prst="line">
                            <a:avLst/>
                          </a:prstGeom>
                          <a:noFill/>
                          <a:ln w="9525">
                            <a:solidFill>
                              <a:srgbClr val="000000"/>
                            </a:solidFill>
                            <a:prstDash val="solid"/>
                            <a:round/>
                            <a:headEnd/>
                            <a:tailEnd/>
                          </a:ln>
                          <a:extLst>
                            <a:ext uri="{909E8E84-426E-40DD-AFC4-6F175D3DCCD1}">
                              <a14:hiddenFill xmlns:a14="http://schemas.microsoft.com/office/drawing/2010/main">
                                <a:noFill/>
                              </a14:hiddenFill>
                            </a:ext>
                          </a:extLst>
                        </wps:spPr>
                        <wps:bodyPr/>
                      </wps:wsp>
                    </wpg:wgp>
                  </a:graphicData>
                </a:graphic>
              </wp:inline>
            </w:drawing>
          </mc:Choice>
          <mc:Fallback>
            <w:pict>
              <v:group w14:anchorId="111A3DA6" id="Group 11" o:spid="_x0000_s1026" style="width:489.6pt;height:.75pt;mso-position-horizontal-relative:char;mso-position-vertical-relative:line" coordsize="9792,1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">
                <v:line id="Line 12" o:spid="_x0000_s1027" style="position:absolute;visibility:visible;mso-wrap-style:square" from="0,7" to="9792,7"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"/>
                <w10:anchorlock/>
              </v:group>
            </w:pict>
          </mc:Fallback>
        </mc:AlternateContent>
      </w:r>
    </w:p>
    <w:p w:rsidR="00A63476" w:rsidRDefault="00A63476">
      <w:pPr>
        <w:pStyle w:val="Textoindependiente"/>
        <w:ind w:left="0" w:right="0" w:firstLine="0"/>
        <w:jc w:val="left"/>
        <w:rPr>
          <w:sz w:val="20"/>
        </w:rPr>
      </w:pPr>
    </w:p>
    <w:p w:rsidR="00A63476" w:rsidRDefault="00A63476">
      <w:pPr>
        <w:pStyle w:val="Textoindependiente"/>
        <w:ind w:left="0" w:right="0" w:firstLine="0"/>
        <w:jc w:val="left"/>
        <w:rPr>
          <w:sz w:val="20"/>
        </w:rPr>
      </w:pPr>
    </w:p>
    <w:p w:rsidR="00A63476" w:rsidRDefault="00A63476">
      <w:pPr>
        <w:pStyle w:val="Textoindependiente"/>
        <w:ind w:left="0" w:right="0" w:firstLine="0"/>
        <w:jc w:val="left"/>
        <w:rPr>
          <w:sz w:val="20"/>
        </w:rPr>
      </w:pPr>
    </w:p>
    <w:p w:rsidR="00A63476" w:rsidRDefault="00A63476">
      <w:pPr>
        <w:pStyle w:val="Textoindependiente"/>
        <w:ind w:left="0" w:right="0" w:firstLine="0"/>
        <w:jc w:val="left"/>
        <w:rPr>
          <w:sz w:val="20"/>
        </w:rPr>
      </w:pPr>
    </w:p>
    <w:p w:rsidR="00A63476" w:rsidRDefault="00D22874">
      <w:pPr>
        <w:pStyle w:val="Textoindependiente"/>
        <w:spacing w:before="4"/>
        <w:ind w:left="0" w:right="0" w:firstLine="0"/>
        <w:jc w:val="left"/>
      </w:pPr>
      <w:r>
        <w:rPr>
          <w:noProof/>
        </w:rPr>
        <w:drawing>
          <wp:anchor distT="0" distB="0" distL="0" distR="0" simplePos="0" relativeHeight="46" behindDoc="0" locked="0" layoutInCell="1" allowOverlap="1">
            <wp:simplePos x="0" y="0"/>
            <wp:positionH relativeFrom="page">
              <wp:posOffset>839630</wp:posOffset>
            </wp:positionH>
            <wp:positionV relativeFrom="paragraph">
              <wp:posOffset>158912</wp:posOffset>
            </wp:positionV>
            <wp:extent cx="6174342" cy="3813238"/>
            <wp:effectExtent l="0" t="0" r="0" b="0"/>
            <wp:wrapTopAndBottom/>
            <wp:docPr id="11" name="image6.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image6.jpeg"/>
                    <pic:cNvPicPr/>
                  </pic:nvPicPr>
                  <pic:blipFill>
                    <a:blip r:embed="rId51" cstate="print"/>
                    <a:stretch>
                      <a:fillRect/>
                    </a:stretch>
                  </pic:blipFill>
                  <pic:spPr>
                    <a:xfrm>
                      <a:off x="0" y="0"/>
                      <a:ext cx="6174342" cy="3813238"/>
                    </a:xfrm>
                    <a:prstGeom prst="rect">
                      <a:avLst/>
                    </a:prstGeom>
                  </pic:spPr>
                </pic:pic>
              </a:graphicData>
            </a:graphic>
          </wp:anchor>
        </w:drawing>
      </w:r>
    </w:p>
    <w:p w:rsidR="00A63476" w:rsidRDefault="00A63476">
      <w:pPr>
        <w:pStyle w:val="Textoindependiente"/>
        <w:ind w:left="0" w:right="0" w:firstLine="0"/>
        <w:jc w:val="left"/>
        <w:rPr>
          <w:sz w:val="20"/>
        </w:rPr>
      </w:pPr>
    </w:p>
    <w:p w:rsidR="00A63476" w:rsidRDefault="00A63476">
      <w:pPr>
        <w:pStyle w:val="Textoindependiente"/>
        <w:ind w:left="0" w:right="0" w:firstLine="0"/>
        <w:jc w:val="left"/>
        <w:rPr>
          <w:sz w:val="20"/>
        </w:rPr>
      </w:pPr>
    </w:p>
    <w:p w:rsidR="00A63476" w:rsidRDefault="00A63476">
      <w:pPr>
        <w:pStyle w:val="Textoindependiente"/>
        <w:ind w:left="0" w:right="0" w:firstLine="0"/>
        <w:jc w:val="left"/>
        <w:rPr>
          <w:sz w:val="20"/>
        </w:rPr>
      </w:pPr>
    </w:p>
    <w:p w:rsidR="00A63476" w:rsidRDefault="00A63476">
      <w:pPr>
        <w:pStyle w:val="Textoindependiente"/>
        <w:ind w:left="0" w:right="0" w:firstLine="0"/>
        <w:jc w:val="left"/>
        <w:rPr>
          <w:sz w:val="20"/>
        </w:rPr>
      </w:pPr>
    </w:p>
    <w:p w:rsidR="00A63476" w:rsidRDefault="00A63476">
      <w:pPr>
        <w:pStyle w:val="Textoindependiente"/>
        <w:ind w:left="0" w:right="0" w:firstLine="0"/>
        <w:jc w:val="left"/>
        <w:rPr>
          <w:sz w:val="20"/>
        </w:rPr>
      </w:pPr>
    </w:p>
    <w:p w:rsidR="00A63476" w:rsidRDefault="00A63476">
      <w:pPr>
        <w:pStyle w:val="Textoindependiente"/>
        <w:ind w:left="0" w:right="0" w:firstLine="0"/>
        <w:jc w:val="left"/>
        <w:rPr>
          <w:sz w:val="20"/>
        </w:rPr>
      </w:pPr>
    </w:p>
    <w:p w:rsidR="00A63476" w:rsidRDefault="00A63476">
      <w:pPr>
        <w:pStyle w:val="Textoindependiente"/>
        <w:ind w:left="0" w:right="0" w:firstLine="0"/>
        <w:jc w:val="left"/>
        <w:rPr>
          <w:sz w:val="20"/>
        </w:rPr>
      </w:pPr>
    </w:p>
    <w:p w:rsidR="00A63476" w:rsidRDefault="00D22874" w:rsidP="00C931AF">
      <w:pPr>
        <w:pStyle w:val="Textoindependiente"/>
        <w:spacing w:before="3"/>
        <w:ind w:left="0" w:right="0" w:firstLine="0"/>
        <w:jc w:val="left"/>
        <w:rPr>
          <w:sz w:val="17"/>
        </w:rPr>
        <w:sectPr w:rsidR="00A63476">
          <w:pgSz w:w="12240" w:h="15840"/>
          <w:pgMar w:top="880" w:right="1040" w:bottom="280" w:left="1180" w:header="699" w:footer="0" w:gutter="0"/>
          <w:cols w:space="720"/>
        </w:sectPr>
      </w:pPr>
      <w:bookmarkStart w:id="50" w:name="_GoBack"/>
      <w:bookmarkEnd w:id="50"/>
      <w:r>
        <w:rPr>
          <w:noProof/>
        </w:rPr>
        <w:drawing>
          <wp:anchor distT="0" distB="0" distL="0" distR="0" simplePos="0" relativeHeight="47" behindDoc="0" locked="0" layoutInCell="1" allowOverlap="1">
            <wp:simplePos x="0" y="0"/>
            <wp:positionH relativeFrom="page">
              <wp:posOffset>825500</wp:posOffset>
            </wp:positionH>
            <wp:positionV relativeFrom="paragraph">
              <wp:posOffset>151108</wp:posOffset>
            </wp:positionV>
            <wp:extent cx="6179618" cy="1578387"/>
            <wp:effectExtent l="0" t="0" r="0" b="0"/>
            <wp:wrapTopAndBottom/>
            <wp:docPr id="13" name="image7.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image7.jpeg"/>
                    <pic:cNvPicPr/>
                  </pic:nvPicPr>
                  <pic:blipFill>
                    <a:blip r:embed="rId52" cstate="print"/>
                    <a:stretch>
                      <a:fillRect/>
                    </a:stretch>
                  </pic:blipFill>
                  <pic:spPr>
                    <a:xfrm>
                      <a:off x="0" y="0"/>
                      <a:ext cx="6179618" cy="1578387"/>
                    </a:xfrm>
                    <a:prstGeom prst="rect">
                      <a:avLst/>
                    </a:prstGeom>
                  </pic:spPr>
                </pic:pic>
              </a:graphicData>
            </a:graphic>
          </wp:anchor>
        </w:drawing>
      </w:r>
    </w:p>
    <w:p w:rsidR="00A63476" w:rsidRDefault="00A63476">
      <w:pPr>
        <w:rPr>
          <w:sz w:val="24"/>
        </w:rPr>
        <w:sectPr w:rsidR="00A63476">
          <w:pgSz w:w="12240" w:h="15840"/>
          <w:pgMar w:top="880" w:right="1040" w:bottom="280" w:left="1180" w:header="699" w:footer="0" w:gutter="0"/>
          <w:cols w:space="720"/>
        </w:sectPr>
      </w:pPr>
    </w:p>
    <w:p w:rsidR="00A63476" w:rsidRDefault="00A63476" w:rsidP="00C931AF">
      <w:pPr>
        <w:pStyle w:val="Textoindependiente"/>
        <w:spacing w:line="20" w:lineRule="exact"/>
        <w:ind w:left="0" w:right="0" w:firstLine="0"/>
        <w:jc w:val="left"/>
        <w:rPr>
          <w:sz w:val="2"/>
        </w:rPr>
        <w:sectPr w:rsidR="00A63476">
          <w:pgSz w:w="12240" w:h="15840"/>
          <w:pgMar w:top="880" w:right="1040" w:bottom="280" w:left="1180" w:header="699" w:footer="0" w:gutter="0"/>
          <w:cols w:space="720"/>
        </w:sectPr>
      </w:pPr>
    </w:p>
    <w:p w:rsidR="00A63476" w:rsidRPr="00C931AF" w:rsidRDefault="00A63476" w:rsidP="00C931AF">
      <w:pPr>
        <w:pStyle w:val="Textoindependiente"/>
        <w:spacing w:line="20" w:lineRule="exact"/>
        <w:ind w:left="0" w:right="0" w:firstLine="0"/>
        <w:jc w:val="left"/>
        <w:rPr>
          <w:sz w:val="2"/>
        </w:rPr>
        <w:sectPr w:rsidR="00A63476" w:rsidRPr="00C931AF">
          <w:pgSz w:w="12240" w:h="15840"/>
          <w:pgMar w:top="880" w:right="1040" w:bottom="280" w:left="1180" w:header="699" w:footer="0" w:gutter="0"/>
          <w:cols w:space="720"/>
        </w:sectPr>
      </w:pPr>
    </w:p>
    <w:p w:rsidR="00A63476" w:rsidRDefault="00A63476">
      <w:pPr>
        <w:pStyle w:val="Textoindependiente"/>
        <w:spacing w:before="10"/>
        <w:ind w:left="0" w:right="0" w:firstLine="0"/>
        <w:jc w:val="left"/>
        <w:rPr>
          <w:sz w:val="28"/>
        </w:rPr>
      </w:pPr>
    </w:p>
    <w:sectPr w:rsidR="00A63476">
      <w:pgSz w:w="12240" w:h="15840"/>
      <w:pgMar w:top="880" w:right="1040" w:bottom="280" w:left="1180" w:header="699" w:footer="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D22874" w:rsidRDefault="00D22874">
      <w:r>
        <w:separator/>
      </w:r>
    </w:p>
  </w:endnote>
  <w:endnote w:type="continuationSeparator" w:id="0">
    <w:p w:rsidR="00D22874" w:rsidRDefault="00D2287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D22874" w:rsidRDefault="00D22874">
      <w:r>
        <w:separator/>
      </w:r>
    </w:p>
  </w:footnote>
  <w:footnote w:type="continuationSeparator" w:id="0">
    <w:p w:rsidR="00D22874" w:rsidRDefault="00D22874">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A63476" w:rsidRDefault="00FF0FB3">
    <w:pPr>
      <w:pStyle w:val="Textoindependiente"/>
      <w:spacing w:line="14" w:lineRule="auto"/>
      <w:ind w:left="0" w:right="0" w:firstLine="0"/>
      <w:jc w:val="left"/>
      <w:rPr>
        <w:sz w:val="20"/>
      </w:rPr>
    </w:pPr>
    <w:r>
      <w:rPr>
        <w:noProof/>
      </w:rPr>
      <mc:AlternateContent>
        <mc:Choice Requires="wps">
          <w:drawing>
            <wp:anchor distT="0" distB="0" distL="114300" distR="114300" simplePos="0" relativeHeight="484791808" behindDoc="1" locked="0" layoutInCell="1" allowOverlap="1">
              <wp:simplePos x="0" y="0"/>
              <wp:positionH relativeFrom="page">
                <wp:posOffset>1005840</wp:posOffset>
              </wp:positionH>
              <wp:positionV relativeFrom="page">
                <wp:posOffset>588010</wp:posOffset>
              </wp:positionV>
              <wp:extent cx="5852160" cy="0"/>
              <wp:effectExtent l="0" t="0" r="0" b="0"/>
              <wp:wrapNone/>
              <wp:docPr id="24" name="Line 10"/>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852160" cy="0"/>
                      </a:xfrm>
                      <a:prstGeom prst="line">
                        <a:avLst/>
                      </a:prstGeom>
                      <a:noFill/>
                      <a:ln w="9525">
                        <a:solidFill>
                          <a:srgbClr val="00000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4B4BDD4F" id="Line 10" o:spid="_x0000_s1026" style="position:absolute;z-index:-18524672;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 from="79.2pt,46.3pt" to="540pt,46.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">
              <w10:wrap anchorx="page" anchory="page"/>
            </v:line>
          </w:pict>
        </mc:Fallback>
      </mc:AlternateContent>
    </w:r>
    <w:r>
      <w:rPr>
        <w:noProof/>
      </w:rPr>
      <mc:AlternateContent>
        <mc:Choice Requires="wps">
          <w:drawing>
            <wp:anchor distT="0" distB="0" distL="114300" distR="114300" simplePos="0" relativeHeight="484792320" behindDoc="1" locked="0" layoutInCell="1" allowOverlap="1">
              <wp:simplePos x="0" y="0"/>
              <wp:positionH relativeFrom="page">
                <wp:posOffset>1133475</wp:posOffset>
              </wp:positionH>
              <wp:positionV relativeFrom="page">
                <wp:posOffset>431800</wp:posOffset>
              </wp:positionV>
              <wp:extent cx="833120" cy="152400"/>
              <wp:effectExtent l="0" t="0" r="0" b="0"/>
              <wp:wrapNone/>
              <wp:docPr id="23" name="Text Box 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833120" cy="1524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A63476" w:rsidRDefault="00D22874">
                          <w:pPr>
                            <w:pStyle w:val="Textoindependiente"/>
                            <w:spacing w:before="12"/>
                            <w:ind w:left="20" w:right="0" w:firstLine="0"/>
                            <w:jc w:val="left"/>
                            <w:rPr>
                              <w:rFonts w:ascii="Times New Roman" w:hAnsi="Times New Roman"/>
                            </w:rPr>
                          </w:pPr>
                          <w:r>
                            <w:rPr>
                              <w:rFonts w:ascii="Times New Roman" w:hAnsi="Times New Roman"/>
                            </w:rPr>
                            <w:t>(Tercera Sección)</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9" o:spid="_x0000_s1030" type="#_x0000_t202" style="position:absolute;margin-left:89.25pt;margin-top:34pt;width:65.6pt;height:12pt;z-index:-18524160;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" filled="f" stroked="f">
              <v:textbox inset="0,0,0,0">
                <w:txbxContent>
                  <w:p w:rsidR="00A63476" w:rsidRDefault="00D22874">
                    <w:pPr>
                      <w:pStyle w:val="Textoindependiente"/>
                      <w:spacing w:before="12"/>
                      <w:ind w:left="20" w:right="0" w:firstLine="0"/>
                      <w:jc w:val="left"/>
                      <w:rPr>
                        <w:rFonts w:ascii="Times New Roman" w:hAnsi="Times New Roman"/>
                      </w:rPr>
                    </w:pPr>
                    <w:r>
                      <w:rPr>
                        <w:rFonts w:ascii="Times New Roman" w:hAnsi="Times New Roman"/>
                      </w:rPr>
                      <w:t>(Tercera Sección)</w:t>
                    </w:r>
                  </w:p>
                </w:txbxContent>
              </v:textbox>
              <w10:wrap anchorx="page" anchory="page"/>
            </v:shape>
          </w:pict>
        </mc:Fallback>
      </mc:AlternateContent>
    </w:r>
    <w:r>
      <w:rPr>
        <w:noProof/>
      </w:rPr>
      <mc:AlternateContent>
        <mc:Choice Requires="wps">
          <w:drawing>
            <wp:anchor distT="0" distB="0" distL="114300" distR="114300" simplePos="0" relativeHeight="484792832" behindDoc="1" locked="0" layoutInCell="1" allowOverlap="1">
              <wp:simplePos x="0" y="0"/>
              <wp:positionH relativeFrom="page">
                <wp:posOffset>3204845</wp:posOffset>
              </wp:positionH>
              <wp:positionV relativeFrom="page">
                <wp:posOffset>431800</wp:posOffset>
              </wp:positionV>
              <wp:extent cx="905510" cy="152400"/>
              <wp:effectExtent l="0" t="0" r="0" b="0"/>
              <wp:wrapNone/>
              <wp:docPr id="22" name="Text Box 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905510" cy="1524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A63476" w:rsidRDefault="00D22874">
                          <w:pPr>
                            <w:pStyle w:val="Textoindependiente"/>
                            <w:spacing w:before="12"/>
                            <w:ind w:left="20" w:right="0" w:firstLine="0"/>
                            <w:jc w:val="left"/>
                            <w:rPr>
                              <w:rFonts w:ascii="Times New Roman"/>
                            </w:rPr>
                          </w:pPr>
                          <w:r>
                            <w:rPr>
                              <w:rFonts w:ascii="Times New Roman"/>
                            </w:rPr>
                            <w:t>DIARIO OFICIAL</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8" o:spid="_x0000_s1031" type="#_x0000_t202" style="position:absolute;margin-left:252.35pt;margin-top:34pt;width:71.3pt;height:12pt;z-index:-18523648;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" filled="f" stroked="f">
              <v:textbox inset="0,0,0,0">
                <w:txbxContent>
                  <w:p w:rsidR="00A63476" w:rsidRDefault="00D22874">
                    <w:pPr>
                      <w:pStyle w:val="Textoindependiente"/>
                      <w:spacing w:before="12"/>
                      <w:ind w:left="20" w:right="0" w:firstLine="0"/>
                      <w:jc w:val="left"/>
                      <w:rPr>
                        <w:rFonts w:ascii="Times New Roman"/>
                      </w:rPr>
                    </w:pPr>
                    <w:r>
                      <w:rPr>
                        <w:rFonts w:ascii="Times New Roman"/>
                      </w:rPr>
                      <w:t>DIARIO OFICIAL</w:t>
                    </w:r>
                  </w:p>
                </w:txbxContent>
              </v:textbox>
              <w10:wrap anchorx="page" anchory="page"/>
            </v:shape>
          </w:pict>
        </mc:Fallback>
      </mc:AlternateContent>
    </w:r>
    <w:r>
      <w:rPr>
        <w:noProof/>
      </w:rPr>
      <mc:AlternateContent>
        <mc:Choice Requires="wps">
          <w:drawing>
            <wp:anchor distT="0" distB="0" distL="114300" distR="114300" simplePos="0" relativeHeight="484793344" behindDoc="1" locked="0" layoutInCell="1" allowOverlap="1">
              <wp:simplePos x="0" y="0"/>
              <wp:positionH relativeFrom="page">
                <wp:posOffset>4921250</wp:posOffset>
              </wp:positionH>
              <wp:positionV relativeFrom="page">
                <wp:posOffset>431800</wp:posOffset>
              </wp:positionV>
              <wp:extent cx="1361440" cy="152400"/>
              <wp:effectExtent l="0" t="0" r="0" b="0"/>
              <wp:wrapNone/>
              <wp:docPr id="21" name="Text Box 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361440" cy="1524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A63476" w:rsidRDefault="00D22874">
                          <w:pPr>
                            <w:pStyle w:val="Textoindependiente"/>
                            <w:spacing w:before="12"/>
                            <w:ind w:left="20" w:right="0" w:firstLine="0"/>
                            <w:jc w:val="left"/>
                            <w:rPr>
                              <w:rFonts w:ascii="Times New Roman"/>
                            </w:rPr>
                          </w:pPr>
                          <w:r>
                            <w:rPr>
                              <w:rFonts w:ascii="Times New Roman"/>
                            </w:rPr>
                            <w:t>Viernes 15 de marzo de 2019</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7" o:spid="_x0000_s1032" type="#_x0000_t202" style="position:absolute;margin-left:387.5pt;margin-top:34pt;width:107.2pt;height:12pt;z-index:-18523136;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" filled="f" stroked="f">
              <v:textbox inset="0,0,0,0">
                <w:txbxContent>
                  <w:p w:rsidR="00A63476" w:rsidRDefault="00D22874">
                    <w:pPr>
                      <w:pStyle w:val="Textoindependiente"/>
                      <w:spacing w:before="12"/>
                      <w:ind w:left="20" w:right="0" w:firstLine="0"/>
                      <w:jc w:val="left"/>
                      <w:rPr>
                        <w:rFonts w:ascii="Times New Roman"/>
                      </w:rPr>
                    </w:pPr>
                    <w:r>
                      <w:rPr>
                        <w:rFonts w:ascii="Times New Roman"/>
                      </w:rPr>
                      <w:t>Viernes 15 de marzo de 2019</w:t>
                    </w:r>
                  </w:p>
                </w:txbxContent>
              </v:textbox>
              <w10:wrap anchorx="page" anchory="page"/>
            </v:shape>
          </w:pict>
        </mc:Fallback>
      </mc:AlternateConten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A63476" w:rsidRDefault="00FF0FB3">
    <w:pPr>
      <w:pStyle w:val="Textoindependiente"/>
      <w:spacing w:line="14" w:lineRule="auto"/>
      <w:ind w:left="0" w:right="0" w:firstLine="0"/>
      <w:jc w:val="left"/>
      <w:rPr>
        <w:sz w:val="20"/>
      </w:rPr>
    </w:pPr>
    <w:r>
      <w:rPr>
        <w:noProof/>
      </w:rPr>
      <mc:AlternateContent>
        <mc:Choice Requires="wps">
          <w:drawing>
            <wp:anchor distT="0" distB="0" distL="114300" distR="114300" simplePos="0" relativeHeight="484789760" behindDoc="1" locked="0" layoutInCell="1" allowOverlap="1">
              <wp:simplePos x="0" y="0"/>
              <wp:positionH relativeFrom="page">
                <wp:posOffset>1005840</wp:posOffset>
              </wp:positionH>
              <wp:positionV relativeFrom="page">
                <wp:posOffset>588010</wp:posOffset>
              </wp:positionV>
              <wp:extent cx="5852160" cy="0"/>
              <wp:effectExtent l="0" t="0" r="0" b="0"/>
              <wp:wrapNone/>
              <wp:docPr id="20" name="Line 1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852160" cy="0"/>
                      </a:xfrm>
                      <a:prstGeom prst="line">
                        <a:avLst/>
                      </a:prstGeom>
                      <a:noFill/>
                      <a:ln w="9525">
                        <a:solidFill>
                          <a:srgbClr val="00000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30FFAAD0" id="Line 14" o:spid="_x0000_s1026" style="position:absolute;z-index:-18526720;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 from="79.2pt,46.3pt" to="540pt,46.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">
              <w10:wrap anchorx="page" anchory="page"/>
            </v:line>
          </w:pict>
        </mc:Fallback>
      </mc:AlternateContent>
    </w:r>
    <w:r>
      <w:rPr>
        <w:noProof/>
      </w:rPr>
      <mc:AlternateContent>
        <mc:Choice Requires="wps">
          <w:drawing>
            <wp:anchor distT="0" distB="0" distL="114300" distR="114300" simplePos="0" relativeHeight="484790272" behindDoc="1" locked="0" layoutInCell="1" allowOverlap="1">
              <wp:simplePos x="0" y="0"/>
              <wp:positionH relativeFrom="page">
                <wp:posOffset>990600</wp:posOffset>
              </wp:positionH>
              <wp:positionV relativeFrom="page">
                <wp:posOffset>431800</wp:posOffset>
              </wp:positionV>
              <wp:extent cx="1361440" cy="152400"/>
              <wp:effectExtent l="0" t="0" r="0" b="0"/>
              <wp:wrapNone/>
              <wp:docPr id="18" name="Text Box 1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361440" cy="1524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A63476" w:rsidRDefault="00D22874">
                          <w:pPr>
                            <w:pStyle w:val="Textoindependiente"/>
                            <w:spacing w:before="12"/>
                            <w:ind w:left="20" w:right="0" w:firstLine="0"/>
                            <w:jc w:val="left"/>
                            <w:rPr>
                              <w:rFonts w:ascii="Times New Roman"/>
                            </w:rPr>
                          </w:pPr>
                          <w:r>
                            <w:rPr>
                              <w:rFonts w:ascii="Times New Roman"/>
                            </w:rPr>
                            <w:t>Viernes 15 de marzo de 2019</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13" o:spid="_x0000_s1033" type="#_x0000_t202" style="position:absolute;margin-left:78pt;margin-top:34pt;width:107.2pt;height:12pt;z-index:-18526208;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" filled="f" stroked="f">
              <v:textbox inset="0,0,0,0">
                <w:txbxContent>
                  <w:p w:rsidR="00A63476" w:rsidRDefault="00D22874">
                    <w:pPr>
                      <w:pStyle w:val="Textoindependiente"/>
                      <w:spacing w:before="12"/>
                      <w:ind w:left="20" w:right="0" w:firstLine="0"/>
                      <w:jc w:val="left"/>
                      <w:rPr>
                        <w:rFonts w:ascii="Times New Roman"/>
                      </w:rPr>
                    </w:pPr>
                    <w:r>
                      <w:rPr>
                        <w:rFonts w:ascii="Times New Roman"/>
                      </w:rPr>
                      <w:t>Viernes 15 de marzo de 2019</w:t>
                    </w:r>
                  </w:p>
                </w:txbxContent>
              </v:textbox>
              <w10:wrap anchorx="page" anchory="page"/>
            </v:shape>
          </w:pict>
        </mc:Fallback>
      </mc:AlternateContent>
    </w:r>
    <w:r>
      <w:rPr>
        <w:noProof/>
      </w:rPr>
      <mc:AlternateContent>
        <mc:Choice Requires="wps">
          <w:drawing>
            <wp:anchor distT="0" distB="0" distL="114300" distR="114300" simplePos="0" relativeHeight="484790784" behindDoc="1" locked="0" layoutInCell="1" allowOverlap="1">
              <wp:simplePos x="0" y="0"/>
              <wp:positionH relativeFrom="page">
                <wp:posOffset>3204845</wp:posOffset>
              </wp:positionH>
              <wp:positionV relativeFrom="page">
                <wp:posOffset>431800</wp:posOffset>
              </wp:positionV>
              <wp:extent cx="905510" cy="152400"/>
              <wp:effectExtent l="0" t="0" r="0" b="0"/>
              <wp:wrapNone/>
              <wp:docPr id="16" name="Text Box 1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905510" cy="1524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A63476" w:rsidRDefault="00D22874">
                          <w:pPr>
                            <w:pStyle w:val="Textoindependiente"/>
                            <w:spacing w:before="12"/>
                            <w:ind w:left="20" w:right="0" w:firstLine="0"/>
                            <w:jc w:val="left"/>
                            <w:rPr>
                              <w:rFonts w:ascii="Times New Roman"/>
                            </w:rPr>
                          </w:pPr>
                          <w:r>
                            <w:rPr>
                              <w:rFonts w:ascii="Times New Roman"/>
                            </w:rPr>
                            <w:t>DIARIO OFICIAL</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12" o:spid="_x0000_s1034" type="#_x0000_t202" style="position:absolute;margin-left:252.35pt;margin-top:34pt;width:71.3pt;height:12pt;z-index:-18525696;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" filled="f" stroked="f">
              <v:textbox inset="0,0,0,0">
                <w:txbxContent>
                  <w:p w:rsidR="00A63476" w:rsidRDefault="00D22874">
                    <w:pPr>
                      <w:pStyle w:val="Textoindependiente"/>
                      <w:spacing w:before="12"/>
                      <w:ind w:left="20" w:right="0" w:firstLine="0"/>
                      <w:jc w:val="left"/>
                      <w:rPr>
                        <w:rFonts w:ascii="Times New Roman"/>
                      </w:rPr>
                    </w:pPr>
                    <w:r>
                      <w:rPr>
                        <w:rFonts w:ascii="Times New Roman"/>
                      </w:rPr>
                      <w:t>DIARIO OFICIAL</w:t>
                    </w:r>
                  </w:p>
                </w:txbxContent>
              </v:textbox>
              <w10:wrap anchorx="page" anchory="page"/>
            </v:shape>
          </w:pict>
        </mc:Fallback>
      </mc:AlternateContent>
    </w:r>
    <w:r>
      <w:rPr>
        <w:noProof/>
      </w:rPr>
      <mc:AlternateContent>
        <mc:Choice Requires="wps">
          <w:drawing>
            <wp:anchor distT="0" distB="0" distL="114300" distR="114300" simplePos="0" relativeHeight="484791296" behindDoc="1" locked="0" layoutInCell="1" allowOverlap="1">
              <wp:simplePos x="0" y="0"/>
              <wp:positionH relativeFrom="page">
                <wp:posOffset>5306695</wp:posOffset>
              </wp:positionH>
              <wp:positionV relativeFrom="page">
                <wp:posOffset>431800</wp:posOffset>
              </wp:positionV>
              <wp:extent cx="833120" cy="152400"/>
              <wp:effectExtent l="0" t="0" r="0" b="0"/>
              <wp:wrapNone/>
              <wp:docPr id="14" name="Text Box 1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833120" cy="1524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A63476" w:rsidRDefault="00D22874">
                          <w:pPr>
                            <w:pStyle w:val="Textoindependiente"/>
                            <w:spacing w:before="12"/>
                            <w:ind w:left="20" w:right="0" w:firstLine="0"/>
                            <w:jc w:val="left"/>
                            <w:rPr>
                              <w:rFonts w:ascii="Times New Roman" w:hAnsi="Times New Roman"/>
                            </w:rPr>
                          </w:pPr>
                          <w:r>
                            <w:rPr>
                              <w:rFonts w:ascii="Times New Roman" w:hAnsi="Times New Roman"/>
                            </w:rPr>
                            <w:t>(Tercera Sección)</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11" o:spid="_x0000_s1035" type="#_x0000_t202" style="position:absolute;margin-left:417.85pt;margin-top:34pt;width:65.6pt;height:12pt;z-index:-18525184;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" filled="f" stroked="f">
              <v:textbox inset="0,0,0,0">
                <w:txbxContent>
                  <w:p w:rsidR="00A63476" w:rsidRDefault="00D22874">
                    <w:pPr>
                      <w:pStyle w:val="Textoindependiente"/>
                      <w:spacing w:before="12"/>
                      <w:ind w:left="20" w:right="0" w:firstLine="0"/>
                      <w:jc w:val="left"/>
                      <w:rPr>
                        <w:rFonts w:ascii="Times New Roman" w:hAnsi="Times New Roman"/>
                      </w:rPr>
                    </w:pPr>
                    <w:r>
                      <w:rPr>
                        <w:rFonts w:ascii="Times New Roman" w:hAnsi="Times New Roman"/>
                      </w:rPr>
                      <w:t>(Tercera Sección)</w:t>
                    </w:r>
                  </w:p>
                </w:txbxContent>
              </v:textbox>
              <w10:wrap anchorx="page" anchory="page"/>
            </v:shape>
          </w:pict>
        </mc:Fallback>
      </mc:AlternateConten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A63476" w:rsidRDefault="00FF0FB3">
    <w:pPr>
      <w:pStyle w:val="Textoindependiente"/>
      <w:spacing w:line="14" w:lineRule="auto"/>
      <w:ind w:left="0" w:right="0" w:firstLine="0"/>
      <w:jc w:val="left"/>
      <w:rPr>
        <w:sz w:val="20"/>
      </w:rPr>
    </w:pPr>
    <w:r>
      <w:rPr>
        <w:noProof/>
      </w:rPr>
      <mc:AlternateContent>
        <mc:Choice Requires="wps">
          <w:drawing>
            <wp:anchor distT="0" distB="0" distL="114300" distR="114300" simplePos="0" relativeHeight="484793856" behindDoc="1" locked="0" layoutInCell="1" allowOverlap="1">
              <wp:simplePos x="0" y="0"/>
              <wp:positionH relativeFrom="page">
                <wp:posOffset>955675</wp:posOffset>
              </wp:positionH>
              <wp:positionV relativeFrom="page">
                <wp:posOffset>431800</wp:posOffset>
              </wp:positionV>
              <wp:extent cx="833120" cy="152400"/>
              <wp:effectExtent l="0" t="0" r="0" b="0"/>
              <wp:wrapNone/>
              <wp:docPr id="12" name="Text Box 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833120" cy="1524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A63476" w:rsidRDefault="00D22874">
                          <w:pPr>
                            <w:pStyle w:val="Textoindependiente"/>
                            <w:spacing w:before="12"/>
                            <w:ind w:left="20" w:right="0" w:firstLine="0"/>
                            <w:jc w:val="left"/>
                            <w:rPr>
                              <w:rFonts w:ascii="Times New Roman" w:hAnsi="Times New Roman"/>
                            </w:rPr>
                          </w:pPr>
                          <w:r>
                            <w:rPr>
                              <w:rFonts w:ascii="Times New Roman" w:hAnsi="Times New Roman"/>
                            </w:rPr>
                            <w:t>(Tercera Sección)</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6" o:spid="_x0000_s1036" type="#_x0000_t202" style="position:absolute;margin-left:75.25pt;margin-top:34pt;width:65.6pt;height:12pt;z-index:-18522624;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" filled="f" stroked="f">
              <v:textbox inset="0,0,0,0">
                <w:txbxContent>
                  <w:p w:rsidR="00A63476" w:rsidRDefault="00D22874">
                    <w:pPr>
                      <w:pStyle w:val="Textoindependiente"/>
                      <w:spacing w:before="12"/>
                      <w:ind w:left="20" w:right="0" w:firstLine="0"/>
                      <w:jc w:val="left"/>
                      <w:rPr>
                        <w:rFonts w:ascii="Times New Roman" w:hAnsi="Times New Roman"/>
                      </w:rPr>
                    </w:pPr>
                    <w:r>
                      <w:rPr>
                        <w:rFonts w:ascii="Times New Roman" w:hAnsi="Times New Roman"/>
                      </w:rPr>
                      <w:t>(Tercera Sección)</w:t>
                    </w:r>
                  </w:p>
                </w:txbxContent>
              </v:textbox>
              <w10:wrap anchorx="page" anchory="page"/>
            </v:shape>
          </w:pict>
        </mc:Fallback>
      </mc:AlternateContent>
    </w:r>
    <w:r>
      <w:rPr>
        <w:noProof/>
      </w:rPr>
      <mc:AlternateContent>
        <mc:Choice Requires="wps">
          <w:drawing>
            <wp:anchor distT="0" distB="0" distL="114300" distR="114300" simplePos="0" relativeHeight="484794368" behindDoc="1" locked="0" layoutInCell="1" allowOverlap="1">
              <wp:simplePos x="0" y="0"/>
              <wp:positionH relativeFrom="page">
                <wp:posOffset>3181350</wp:posOffset>
              </wp:positionH>
              <wp:positionV relativeFrom="page">
                <wp:posOffset>431800</wp:posOffset>
              </wp:positionV>
              <wp:extent cx="905510" cy="152400"/>
              <wp:effectExtent l="0" t="0" r="0" b="0"/>
              <wp:wrapNone/>
              <wp:docPr id="10" name="Text Box 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905510" cy="1524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A63476" w:rsidRDefault="00D22874">
                          <w:pPr>
                            <w:pStyle w:val="Textoindependiente"/>
                            <w:spacing w:before="12"/>
                            <w:ind w:left="20" w:right="0" w:firstLine="0"/>
                            <w:jc w:val="left"/>
                            <w:rPr>
                              <w:rFonts w:ascii="Times New Roman"/>
                            </w:rPr>
                          </w:pPr>
                          <w:r>
                            <w:rPr>
                              <w:rFonts w:ascii="Times New Roman"/>
                            </w:rPr>
                            <w:t>DIARIO OFICIAL</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5" o:spid="_x0000_s1037" type="#_x0000_t202" style="position:absolute;margin-left:250.5pt;margin-top:34pt;width:71.3pt;height:12pt;z-index:-18522112;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" filled="f" stroked="f">
              <v:textbox inset="0,0,0,0">
                <w:txbxContent>
                  <w:p w:rsidR="00A63476" w:rsidRDefault="00D22874">
                    <w:pPr>
                      <w:pStyle w:val="Textoindependiente"/>
                      <w:spacing w:before="12"/>
                      <w:ind w:left="20" w:right="0" w:firstLine="0"/>
                      <w:jc w:val="left"/>
                      <w:rPr>
                        <w:rFonts w:ascii="Times New Roman"/>
                      </w:rPr>
                    </w:pPr>
                    <w:r>
                      <w:rPr>
                        <w:rFonts w:ascii="Times New Roman"/>
                      </w:rPr>
                      <w:t>DIARIO OFICIAL</w:t>
                    </w:r>
                  </w:p>
                </w:txbxContent>
              </v:textbox>
              <w10:wrap anchorx="page" anchory="page"/>
            </v:shape>
          </w:pict>
        </mc:Fallback>
      </mc:AlternateContent>
    </w:r>
    <w:r>
      <w:rPr>
        <w:noProof/>
      </w:rPr>
      <mc:AlternateContent>
        <mc:Choice Requires="wps">
          <w:drawing>
            <wp:anchor distT="0" distB="0" distL="114300" distR="114300" simplePos="0" relativeHeight="484794880" behindDoc="1" locked="0" layoutInCell="1" allowOverlap="1">
              <wp:simplePos x="0" y="0"/>
              <wp:positionH relativeFrom="page">
                <wp:posOffset>4926330</wp:posOffset>
              </wp:positionH>
              <wp:positionV relativeFrom="page">
                <wp:posOffset>431800</wp:posOffset>
              </wp:positionV>
              <wp:extent cx="1361440" cy="152400"/>
              <wp:effectExtent l="0" t="0" r="0" b="0"/>
              <wp:wrapNone/>
              <wp:docPr id="8" name="Text Box 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361440" cy="1524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A63476" w:rsidRDefault="00D22874">
                          <w:pPr>
                            <w:pStyle w:val="Textoindependiente"/>
                            <w:spacing w:before="12"/>
                            <w:ind w:left="20" w:right="0" w:firstLine="0"/>
                            <w:jc w:val="left"/>
                            <w:rPr>
                              <w:rFonts w:ascii="Times New Roman"/>
                            </w:rPr>
                          </w:pPr>
                          <w:r>
                            <w:rPr>
                              <w:rFonts w:ascii="Times New Roman"/>
                            </w:rPr>
                            <w:t>Viernes 15 de marzo de 2019</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4" o:spid="_x0000_s1038" type="#_x0000_t202" style="position:absolute;margin-left:387.9pt;margin-top:34pt;width:107.2pt;height:12pt;z-index:-18521600;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" filled="f" stroked="f">
              <v:textbox inset="0,0,0,0">
                <w:txbxContent>
                  <w:p w:rsidR="00A63476" w:rsidRDefault="00D22874">
                    <w:pPr>
                      <w:pStyle w:val="Textoindependiente"/>
                      <w:spacing w:before="12"/>
                      <w:ind w:left="20" w:right="0" w:firstLine="0"/>
                      <w:jc w:val="left"/>
                      <w:rPr>
                        <w:rFonts w:ascii="Times New Roman"/>
                      </w:rPr>
                    </w:pPr>
                    <w:r>
                      <w:rPr>
                        <w:rFonts w:ascii="Times New Roman"/>
                      </w:rPr>
                      <w:t>Viernes 15 de marzo de 2019</w:t>
                    </w:r>
                  </w:p>
                </w:txbxContent>
              </v:textbox>
              <w10:wrap anchorx="page" anchory="page"/>
            </v:shape>
          </w:pict>
        </mc:Fallback>
      </mc:AlternateConten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A63476" w:rsidRDefault="00FF0FB3">
    <w:pPr>
      <w:pStyle w:val="Textoindependiente"/>
      <w:spacing w:line="14" w:lineRule="auto"/>
      <w:ind w:left="0" w:right="0" w:firstLine="0"/>
      <w:jc w:val="left"/>
      <w:rPr>
        <w:sz w:val="20"/>
      </w:rPr>
    </w:pPr>
    <w:r>
      <w:rPr>
        <w:noProof/>
      </w:rPr>
      <mc:AlternateContent>
        <mc:Choice Requires="wps">
          <w:drawing>
            <wp:anchor distT="0" distB="0" distL="114300" distR="114300" simplePos="0" relativeHeight="484795392" behindDoc="1" locked="0" layoutInCell="1" allowOverlap="1">
              <wp:simplePos x="0" y="0"/>
              <wp:positionH relativeFrom="page">
                <wp:posOffset>812800</wp:posOffset>
              </wp:positionH>
              <wp:positionV relativeFrom="page">
                <wp:posOffset>431800</wp:posOffset>
              </wp:positionV>
              <wp:extent cx="1361440" cy="152400"/>
              <wp:effectExtent l="0" t="0" r="0" b="0"/>
              <wp:wrapNone/>
              <wp:docPr id="6" name="Text Box 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361440" cy="1524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A63476" w:rsidRDefault="00D22874">
                          <w:pPr>
                            <w:pStyle w:val="Textoindependiente"/>
                            <w:spacing w:before="12"/>
                            <w:ind w:left="20" w:right="0" w:firstLine="0"/>
                            <w:jc w:val="left"/>
                            <w:rPr>
                              <w:rFonts w:ascii="Times New Roman"/>
                            </w:rPr>
                          </w:pPr>
                          <w:r>
                            <w:rPr>
                              <w:rFonts w:ascii="Times New Roman"/>
                            </w:rPr>
                            <w:t>Viernes 15 de marzo de 2019</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3" o:spid="_x0000_s1039" type="#_x0000_t202" style="position:absolute;margin-left:64pt;margin-top:34pt;width:107.2pt;height:12pt;z-index:-18521088;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" filled="f" stroked="f">
              <v:textbox inset="0,0,0,0">
                <w:txbxContent>
                  <w:p w:rsidR="00A63476" w:rsidRDefault="00D22874">
                    <w:pPr>
                      <w:pStyle w:val="Textoindependiente"/>
                      <w:spacing w:before="12"/>
                      <w:ind w:left="20" w:right="0" w:firstLine="0"/>
                      <w:jc w:val="left"/>
                      <w:rPr>
                        <w:rFonts w:ascii="Times New Roman"/>
                      </w:rPr>
                    </w:pPr>
                    <w:r>
                      <w:rPr>
                        <w:rFonts w:ascii="Times New Roman"/>
                      </w:rPr>
                      <w:t>Viernes 15 de marzo de 2019</w:t>
                    </w:r>
                  </w:p>
                </w:txbxContent>
              </v:textbox>
              <w10:wrap anchorx="page" anchory="page"/>
            </v:shape>
          </w:pict>
        </mc:Fallback>
      </mc:AlternateContent>
    </w:r>
    <w:r>
      <w:rPr>
        <w:noProof/>
      </w:rPr>
      <mc:AlternateContent>
        <mc:Choice Requires="wps">
          <w:drawing>
            <wp:anchor distT="0" distB="0" distL="114300" distR="114300" simplePos="0" relativeHeight="484795904" behindDoc="1" locked="0" layoutInCell="1" allowOverlap="1">
              <wp:simplePos x="0" y="0"/>
              <wp:positionH relativeFrom="page">
                <wp:posOffset>3181350</wp:posOffset>
              </wp:positionH>
              <wp:positionV relativeFrom="page">
                <wp:posOffset>431800</wp:posOffset>
              </wp:positionV>
              <wp:extent cx="905510" cy="152400"/>
              <wp:effectExtent l="0" t="0" r="0" b="0"/>
              <wp:wrapNone/>
              <wp:docPr id="4"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905510" cy="1524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A63476" w:rsidRDefault="00D22874">
                          <w:pPr>
                            <w:pStyle w:val="Textoindependiente"/>
                            <w:spacing w:before="12"/>
                            <w:ind w:left="20" w:right="0" w:firstLine="0"/>
                            <w:jc w:val="left"/>
                            <w:rPr>
                              <w:rFonts w:ascii="Times New Roman"/>
                            </w:rPr>
                          </w:pPr>
                          <w:r>
                            <w:rPr>
                              <w:rFonts w:ascii="Times New Roman"/>
                            </w:rPr>
                            <w:t>DIARIO OFICIAL</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2" o:spid="_x0000_s1040" type="#_x0000_t202" style="position:absolute;margin-left:250.5pt;margin-top:34pt;width:71.3pt;height:12pt;z-index:-18520576;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" filled="f" stroked="f">
              <v:textbox inset="0,0,0,0">
                <w:txbxContent>
                  <w:p w:rsidR="00A63476" w:rsidRDefault="00D22874">
                    <w:pPr>
                      <w:pStyle w:val="Textoindependiente"/>
                      <w:spacing w:before="12"/>
                      <w:ind w:left="20" w:right="0" w:firstLine="0"/>
                      <w:jc w:val="left"/>
                      <w:rPr>
                        <w:rFonts w:ascii="Times New Roman"/>
                      </w:rPr>
                    </w:pPr>
                    <w:r>
                      <w:rPr>
                        <w:rFonts w:ascii="Times New Roman"/>
                      </w:rPr>
                      <w:t>DIARIO OFICIAL</w:t>
                    </w:r>
                  </w:p>
                </w:txbxContent>
              </v:textbox>
              <w10:wrap anchorx="page" anchory="page"/>
            </v:shape>
          </w:pict>
        </mc:Fallback>
      </mc:AlternateContent>
    </w:r>
    <w:r>
      <w:rPr>
        <w:noProof/>
      </w:rPr>
      <mc:AlternateContent>
        <mc:Choice Requires="wps">
          <w:drawing>
            <wp:anchor distT="0" distB="0" distL="114300" distR="114300" simplePos="0" relativeHeight="484796416" behindDoc="1" locked="0" layoutInCell="1" allowOverlap="1">
              <wp:simplePos x="0" y="0"/>
              <wp:positionH relativeFrom="page">
                <wp:posOffset>5311775</wp:posOffset>
              </wp:positionH>
              <wp:positionV relativeFrom="page">
                <wp:posOffset>431800</wp:posOffset>
              </wp:positionV>
              <wp:extent cx="833120" cy="152400"/>
              <wp:effectExtent l="0" t="0" r="0" b="0"/>
              <wp:wrapNone/>
              <wp:docPr id="2" name="Text Box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833120" cy="1524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A63476" w:rsidRDefault="00D22874">
                          <w:pPr>
                            <w:pStyle w:val="Textoindependiente"/>
                            <w:spacing w:before="12"/>
                            <w:ind w:left="20" w:right="0" w:firstLine="0"/>
                            <w:jc w:val="left"/>
                            <w:rPr>
                              <w:rFonts w:ascii="Times New Roman" w:hAnsi="Times New Roman"/>
                            </w:rPr>
                          </w:pPr>
                          <w:r>
                            <w:rPr>
                              <w:rFonts w:ascii="Times New Roman" w:hAnsi="Times New Roman"/>
                            </w:rPr>
                            <w:t>(Tercera Sección)</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1" o:spid="_x0000_s1041" type="#_x0000_t202" style="position:absolute;margin-left:418.25pt;margin-top:34pt;width:65.6pt;height:12pt;z-index:-18520064;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" filled="f" stroked="f">
              <v:textbox inset="0,0,0,0">
                <w:txbxContent>
                  <w:p w:rsidR="00A63476" w:rsidRDefault="00D22874">
                    <w:pPr>
                      <w:pStyle w:val="Textoindependiente"/>
                      <w:spacing w:before="12"/>
                      <w:ind w:left="20" w:right="0" w:firstLine="0"/>
                      <w:jc w:val="left"/>
                      <w:rPr>
                        <w:rFonts w:ascii="Times New Roman" w:hAnsi="Times New Roman"/>
                      </w:rPr>
                    </w:pPr>
                    <w:r>
                      <w:rPr>
                        <w:rFonts w:ascii="Times New Roman" w:hAnsi="Times New Roman"/>
                      </w:rPr>
                      <w:t>(Tercera Sección)</w:t>
                    </w:r>
                  </w:p>
                </w:txbxContent>
              </v:textbox>
              <w10:wrap anchorx="page" anchory="page"/>
            </v:shape>
          </w:pict>
        </mc:Fallback>
      </mc:AlternateConten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61C1418"/>
    <w:multiLevelType w:val="hybridMultilevel"/>
    <w:tmpl w:val="27926D80"/>
    <w:lvl w:ilvl="0" w:tplc="27B82EBC">
      <w:start w:val="1"/>
      <w:numFmt w:val="decimal"/>
      <w:lvlText w:val="%1."/>
      <w:lvlJc w:val="left"/>
      <w:pPr>
        <w:ind w:left="449" w:hanging="360"/>
        <w:jc w:val="left"/>
      </w:pPr>
      <w:rPr>
        <w:rFonts w:ascii="Arial" w:eastAsia="Arial" w:hAnsi="Arial" w:cs="Arial" w:hint="default"/>
        <w:spacing w:val="-1"/>
        <w:w w:val="100"/>
        <w:sz w:val="16"/>
        <w:szCs w:val="16"/>
        <w:lang w:val="es-ES" w:eastAsia="en-US" w:bidi="ar-SA"/>
      </w:rPr>
    </w:lvl>
    <w:lvl w:ilvl="1" w:tplc="613E0924">
      <w:numFmt w:val="bullet"/>
      <w:lvlText w:val="•"/>
      <w:lvlJc w:val="left"/>
      <w:pPr>
        <w:ind w:left="1263" w:hanging="360"/>
      </w:pPr>
      <w:rPr>
        <w:rFonts w:hint="default"/>
        <w:lang w:val="es-ES" w:eastAsia="en-US" w:bidi="ar-SA"/>
      </w:rPr>
    </w:lvl>
    <w:lvl w:ilvl="2" w:tplc="2BA6CDE8">
      <w:numFmt w:val="bullet"/>
      <w:lvlText w:val="•"/>
      <w:lvlJc w:val="left"/>
      <w:pPr>
        <w:ind w:left="2086" w:hanging="360"/>
      </w:pPr>
      <w:rPr>
        <w:rFonts w:hint="default"/>
        <w:lang w:val="es-ES" w:eastAsia="en-US" w:bidi="ar-SA"/>
      </w:rPr>
    </w:lvl>
    <w:lvl w:ilvl="3" w:tplc="BC06ABF8">
      <w:numFmt w:val="bullet"/>
      <w:lvlText w:val="•"/>
      <w:lvlJc w:val="left"/>
      <w:pPr>
        <w:ind w:left="2909" w:hanging="360"/>
      </w:pPr>
      <w:rPr>
        <w:rFonts w:hint="default"/>
        <w:lang w:val="es-ES" w:eastAsia="en-US" w:bidi="ar-SA"/>
      </w:rPr>
    </w:lvl>
    <w:lvl w:ilvl="4" w:tplc="F5009BEC">
      <w:numFmt w:val="bullet"/>
      <w:lvlText w:val="•"/>
      <w:lvlJc w:val="left"/>
      <w:pPr>
        <w:ind w:left="3732" w:hanging="360"/>
      </w:pPr>
      <w:rPr>
        <w:rFonts w:hint="default"/>
        <w:lang w:val="es-ES" w:eastAsia="en-US" w:bidi="ar-SA"/>
      </w:rPr>
    </w:lvl>
    <w:lvl w:ilvl="5" w:tplc="5A9EE7E8">
      <w:numFmt w:val="bullet"/>
      <w:lvlText w:val="•"/>
      <w:lvlJc w:val="left"/>
      <w:pPr>
        <w:ind w:left="4555" w:hanging="360"/>
      </w:pPr>
      <w:rPr>
        <w:rFonts w:hint="default"/>
        <w:lang w:val="es-ES" w:eastAsia="en-US" w:bidi="ar-SA"/>
      </w:rPr>
    </w:lvl>
    <w:lvl w:ilvl="6" w:tplc="6F605264">
      <w:numFmt w:val="bullet"/>
      <w:lvlText w:val="•"/>
      <w:lvlJc w:val="left"/>
      <w:pPr>
        <w:ind w:left="5378" w:hanging="360"/>
      </w:pPr>
      <w:rPr>
        <w:rFonts w:hint="default"/>
        <w:lang w:val="es-ES" w:eastAsia="en-US" w:bidi="ar-SA"/>
      </w:rPr>
    </w:lvl>
    <w:lvl w:ilvl="7" w:tplc="3A1C992A">
      <w:numFmt w:val="bullet"/>
      <w:lvlText w:val="•"/>
      <w:lvlJc w:val="left"/>
      <w:pPr>
        <w:ind w:left="6201" w:hanging="360"/>
      </w:pPr>
      <w:rPr>
        <w:rFonts w:hint="default"/>
        <w:lang w:val="es-ES" w:eastAsia="en-US" w:bidi="ar-SA"/>
      </w:rPr>
    </w:lvl>
    <w:lvl w:ilvl="8" w:tplc="67AA76CA">
      <w:numFmt w:val="bullet"/>
      <w:lvlText w:val="•"/>
      <w:lvlJc w:val="left"/>
      <w:pPr>
        <w:ind w:left="7024" w:hanging="360"/>
      </w:pPr>
      <w:rPr>
        <w:rFonts w:hint="default"/>
        <w:lang w:val="es-ES" w:eastAsia="en-US" w:bidi="ar-SA"/>
      </w:rPr>
    </w:lvl>
  </w:abstractNum>
  <w:abstractNum w:abstractNumId="1" w15:restartNumberingAfterBreak="0">
    <w:nsid w:val="084E5974"/>
    <w:multiLevelType w:val="hybridMultilevel"/>
    <w:tmpl w:val="E5802180"/>
    <w:lvl w:ilvl="0" w:tplc="81CE2AC0">
      <w:numFmt w:val="bullet"/>
      <w:lvlText w:val=""/>
      <w:lvlJc w:val="left"/>
      <w:pPr>
        <w:ind w:left="449" w:hanging="360"/>
      </w:pPr>
      <w:rPr>
        <w:rFonts w:ascii="Symbol" w:eastAsia="Symbol" w:hAnsi="Symbol" w:cs="Symbol" w:hint="default"/>
        <w:w w:val="100"/>
        <w:position w:val="2"/>
        <w:sz w:val="16"/>
        <w:szCs w:val="16"/>
        <w:lang w:val="es-ES" w:eastAsia="en-US" w:bidi="ar-SA"/>
      </w:rPr>
    </w:lvl>
    <w:lvl w:ilvl="1" w:tplc="66AC3B0A">
      <w:numFmt w:val="bullet"/>
      <w:lvlText w:val="•"/>
      <w:lvlJc w:val="left"/>
      <w:pPr>
        <w:ind w:left="1164" w:hanging="360"/>
      </w:pPr>
      <w:rPr>
        <w:rFonts w:hint="default"/>
        <w:lang w:val="es-ES" w:eastAsia="en-US" w:bidi="ar-SA"/>
      </w:rPr>
    </w:lvl>
    <w:lvl w:ilvl="2" w:tplc="5A3ADF18">
      <w:numFmt w:val="bullet"/>
      <w:lvlText w:val="•"/>
      <w:lvlJc w:val="left"/>
      <w:pPr>
        <w:ind w:left="1888" w:hanging="360"/>
      </w:pPr>
      <w:rPr>
        <w:rFonts w:hint="default"/>
        <w:lang w:val="es-ES" w:eastAsia="en-US" w:bidi="ar-SA"/>
      </w:rPr>
    </w:lvl>
    <w:lvl w:ilvl="3" w:tplc="3D38E32E">
      <w:numFmt w:val="bullet"/>
      <w:lvlText w:val="•"/>
      <w:lvlJc w:val="left"/>
      <w:pPr>
        <w:ind w:left="2612" w:hanging="360"/>
      </w:pPr>
      <w:rPr>
        <w:rFonts w:hint="default"/>
        <w:lang w:val="es-ES" w:eastAsia="en-US" w:bidi="ar-SA"/>
      </w:rPr>
    </w:lvl>
    <w:lvl w:ilvl="4" w:tplc="0FC084DA">
      <w:numFmt w:val="bullet"/>
      <w:lvlText w:val="•"/>
      <w:lvlJc w:val="left"/>
      <w:pPr>
        <w:ind w:left="3336" w:hanging="360"/>
      </w:pPr>
      <w:rPr>
        <w:rFonts w:hint="default"/>
        <w:lang w:val="es-ES" w:eastAsia="en-US" w:bidi="ar-SA"/>
      </w:rPr>
    </w:lvl>
    <w:lvl w:ilvl="5" w:tplc="3146D80E">
      <w:numFmt w:val="bullet"/>
      <w:lvlText w:val="•"/>
      <w:lvlJc w:val="left"/>
      <w:pPr>
        <w:ind w:left="4060" w:hanging="360"/>
      </w:pPr>
      <w:rPr>
        <w:rFonts w:hint="default"/>
        <w:lang w:val="es-ES" w:eastAsia="en-US" w:bidi="ar-SA"/>
      </w:rPr>
    </w:lvl>
    <w:lvl w:ilvl="6" w:tplc="1D92F410">
      <w:numFmt w:val="bullet"/>
      <w:lvlText w:val="•"/>
      <w:lvlJc w:val="left"/>
      <w:pPr>
        <w:ind w:left="4784" w:hanging="360"/>
      </w:pPr>
      <w:rPr>
        <w:rFonts w:hint="default"/>
        <w:lang w:val="es-ES" w:eastAsia="en-US" w:bidi="ar-SA"/>
      </w:rPr>
    </w:lvl>
    <w:lvl w:ilvl="7" w:tplc="C7ACB44C">
      <w:numFmt w:val="bullet"/>
      <w:lvlText w:val="•"/>
      <w:lvlJc w:val="left"/>
      <w:pPr>
        <w:ind w:left="5508" w:hanging="360"/>
      </w:pPr>
      <w:rPr>
        <w:rFonts w:hint="default"/>
        <w:lang w:val="es-ES" w:eastAsia="en-US" w:bidi="ar-SA"/>
      </w:rPr>
    </w:lvl>
    <w:lvl w:ilvl="8" w:tplc="7E00229E">
      <w:numFmt w:val="bullet"/>
      <w:lvlText w:val="•"/>
      <w:lvlJc w:val="left"/>
      <w:pPr>
        <w:ind w:left="6232" w:hanging="360"/>
      </w:pPr>
      <w:rPr>
        <w:rFonts w:hint="default"/>
        <w:lang w:val="es-ES" w:eastAsia="en-US" w:bidi="ar-SA"/>
      </w:rPr>
    </w:lvl>
  </w:abstractNum>
  <w:abstractNum w:abstractNumId="2" w15:restartNumberingAfterBreak="0">
    <w:nsid w:val="08A66A2E"/>
    <w:multiLevelType w:val="hybridMultilevel"/>
    <w:tmpl w:val="520CFEE6"/>
    <w:lvl w:ilvl="0" w:tplc="79D8F84C">
      <w:numFmt w:val="bullet"/>
      <w:lvlText w:val=""/>
      <w:lvlJc w:val="left"/>
      <w:pPr>
        <w:ind w:left="438" w:hanging="360"/>
      </w:pPr>
      <w:rPr>
        <w:rFonts w:ascii="Symbol" w:eastAsia="Symbol" w:hAnsi="Symbol" w:cs="Symbol" w:hint="default"/>
        <w:w w:val="100"/>
        <w:position w:val="2"/>
        <w:sz w:val="16"/>
        <w:szCs w:val="16"/>
        <w:lang w:val="es-ES" w:eastAsia="en-US" w:bidi="ar-SA"/>
      </w:rPr>
    </w:lvl>
    <w:lvl w:ilvl="1" w:tplc="1F28CD7C">
      <w:numFmt w:val="bullet"/>
      <w:lvlText w:val="•"/>
      <w:lvlJc w:val="left"/>
      <w:pPr>
        <w:ind w:left="801" w:hanging="360"/>
      </w:pPr>
      <w:rPr>
        <w:rFonts w:hint="default"/>
        <w:lang w:val="es-ES" w:eastAsia="en-US" w:bidi="ar-SA"/>
      </w:rPr>
    </w:lvl>
    <w:lvl w:ilvl="2" w:tplc="AAD8BD5E">
      <w:numFmt w:val="bullet"/>
      <w:lvlText w:val="•"/>
      <w:lvlJc w:val="left"/>
      <w:pPr>
        <w:ind w:left="1163" w:hanging="360"/>
      </w:pPr>
      <w:rPr>
        <w:rFonts w:hint="default"/>
        <w:lang w:val="es-ES" w:eastAsia="en-US" w:bidi="ar-SA"/>
      </w:rPr>
    </w:lvl>
    <w:lvl w:ilvl="3" w:tplc="78F6E546">
      <w:numFmt w:val="bullet"/>
      <w:lvlText w:val="•"/>
      <w:lvlJc w:val="left"/>
      <w:pPr>
        <w:ind w:left="1525" w:hanging="360"/>
      </w:pPr>
      <w:rPr>
        <w:rFonts w:hint="default"/>
        <w:lang w:val="es-ES" w:eastAsia="en-US" w:bidi="ar-SA"/>
      </w:rPr>
    </w:lvl>
    <w:lvl w:ilvl="4" w:tplc="3B6862B6">
      <w:numFmt w:val="bullet"/>
      <w:lvlText w:val="•"/>
      <w:lvlJc w:val="left"/>
      <w:pPr>
        <w:ind w:left="1886" w:hanging="360"/>
      </w:pPr>
      <w:rPr>
        <w:rFonts w:hint="default"/>
        <w:lang w:val="es-ES" w:eastAsia="en-US" w:bidi="ar-SA"/>
      </w:rPr>
    </w:lvl>
    <w:lvl w:ilvl="5" w:tplc="51A24256">
      <w:numFmt w:val="bullet"/>
      <w:lvlText w:val="•"/>
      <w:lvlJc w:val="left"/>
      <w:pPr>
        <w:ind w:left="2248" w:hanging="360"/>
      </w:pPr>
      <w:rPr>
        <w:rFonts w:hint="default"/>
        <w:lang w:val="es-ES" w:eastAsia="en-US" w:bidi="ar-SA"/>
      </w:rPr>
    </w:lvl>
    <w:lvl w:ilvl="6" w:tplc="644A0914">
      <w:numFmt w:val="bullet"/>
      <w:lvlText w:val="•"/>
      <w:lvlJc w:val="left"/>
      <w:pPr>
        <w:ind w:left="2610" w:hanging="360"/>
      </w:pPr>
      <w:rPr>
        <w:rFonts w:hint="default"/>
        <w:lang w:val="es-ES" w:eastAsia="en-US" w:bidi="ar-SA"/>
      </w:rPr>
    </w:lvl>
    <w:lvl w:ilvl="7" w:tplc="A9104604">
      <w:numFmt w:val="bullet"/>
      <w:lvlText w:val="•"/>
      <w:lvlJc w:val="left"/>
      <w:pPr>
        <w:ind w:left="2971" w:hanging="360"/>
      </w:pPr>
      <w:rPr>
        <w:rFonts w:hint="default"/>
        <w:lang w:val="es-ES" w:eastAsia="en-US" w:bidi="ar-SA"/>
      </w:rPr>
    </w:lvl>
    <w:lvl w:ilvl="8" w:tplc="83500C86">
      <w:numFmt w:val="bullet"/>
      <w:lvlText w:val="•"/>
      <w:lvlJc w:val="left"/>
      <w:pPr>
        <w:ind w:left="3333" w:hanging="360"/>
      </w:pPr>
      <w:rPr>
        <w:rFonts w:hint="default"/>
        <w:lang w:val="es-ES" w:eastAsia="en-US" w:bidi="ar-SA"/>
      </w:rPr>
    </w:lvl>
  </w:abstractNum>
  <w:abstractNum w:abstractNumId="3" w15:restartNumberingAfterBreak="0">
    <w:nsid w:val="0A9A7171"/>
    <w:multiLevelType w:val="multilevel"/>
    <w:tmpl w:val="F70C2F4E"/>
    <w:lvl w:ilvl="0">
      <w:start w:val="4"/>
      <w:numFmt w:val="decimal"/>
      <w:lvlText w:val="%1"/>
      <w:lvlJc w:val="left"/>
      <w:pPr>
        <w:ind w:left="1150" w:hanging="351"/>
        <w:jc w:val="left"/>
      </w:pPr>
      <w:rPr>
        <w:rFonts w:hint="default"/>
        <w:lang w:val="es-ES" w:eastAsia="en-US" w:bidi="ar-SA"/>
      </w:rPr>
    </w:lvl>
    <w:lvl w:ilvl="1">
      <w:start w:val="3"/>
      <w:numFmt w:val="decimal"/>
      <w:lvlText w:val="%1.%2."/>
      <w:lvlJc w:val="left"/>
      <w:pPr>
        <w:ind w:left="1150" w:hanging="351"/>
        <w:jc w:val="left"/>
      </w:pPr>
      <w:rPr>
        <w:rFonts w:ascii="Arial" w:eastAsia="Arial" w:hAnsi="Arial" w:cs="Arial" w:hint="default"/>
        <w:b/>
        <w:bCs/>
        <w:w w:val="100"/>
        <w:sz w:val="18"/>
        <w:szCs w:val="18"/>
        <w:lang w:val="es-ES" w:eastAsia="en-US" w:bidi="ar-SA"/>
      </w:rPr>
    </w:lvl>
    <w:lvl w:ilvl="2">
      <w:start w:val="1"/>
      <w:numFmt w:val="decimal"/>
      <w:lvlText w:val="%1.%2.%3"/>
      <w:lvlJc w:val="left"/>
      <w:pPr>
        <w:ind w:left="800" w:hanging="451"/>
        <w:jc w:val="left"/>
      </w:pPr>
      <w:rPr>
        <w:rFonts w:ascii="Arial" w:eastAsia="Arial" w:hAnsi="Arial" w:cs="Arial" w:hint="default"/>
        <w:b/>
        <w:bCs/>
        <w:spacing w:val="-10"/>
        <w:w w:val="100"/>
        <w:sz w:val="18"/>
        <w:szCs w:val="18"/>
        <w:lang w:val="es-ES" w:eastAsia="en-US" w:bidi="ar-SA"/>
      </w:rPr>
    </w:lvl>
    <w:lvl w:ilvl="3">
      <w:numFmt w:val="bullet"/>
      <w:lvlText w:val="•"/>
      <w:lvlJc w:val="left"/>
      <w:pPr>
        <w:ind w:left="3128" w:hanging="451"/>
      </w:pPr>
      <w:rPr>
        <w:rFonts w:hint="default"/>
        <w:lang w:val="es-ES" w:eastAsia="en-US" w:bidi="ar-SA"/>
      </w:rPr>
    </w:lvl>
    <w:lvl w:ilvl="4">
      <w:numFmt w:val="bullet"/>
      <w:lvlText w:val="•"/>
      <w:lvlJc w:val="left"/>
      <w:pPr>
        <w:ind w:left="4113" w:hanging="451"/>
      </w:pPr>
      <w:rPr>
        <w:rFonts w:hint="default"/>
        <w:lang w:val="es-ES" w:eastAsia="en-US" w:bidi="ar-SA"/>
      </w:rPr>
    </w:lvl>
    <w:lvl w:ilvl="5">
      <w:numFmt w:val="bullet"/>
      <w:lvlText w:val="•"/>
      <w:lvlJc w:val="left"/>
      <w:pPr>
        <w:ind w:left="5097" w:hanging="451"/>
      </w:pPr>
      <w:rPr>
        <w:rFonts w:hint="default"/>
        <w:lang w:val="es-ES" w:eastAsia="en-US" w:bidi="ar-SA"/>
      </w:rPr>
    </w:lvl>
    <w:lvl w:ilvl="6">
      <w:numFmt w:val="bullet"/>
      <w:lvlText w:val="•"/>
      <w:lvlJc w:val="left"/>
      <w:pPr>
        <w:ind w:left="6082" w:hanging="451"/>
      </w:pPr>
      <w:rPr>
        <w:rFonts w:hint="default"/>
        <w:lang w:val="es-ES" w:eastAsia="en-US" w:bidi="ar-SA"/>
      </w:rPr>
    </w:lvl>
    <w:lvl w:ilvl="7">
      <w:numFmt w:val="bullet"/>
      <w:lvlText w:val="•"/>
      <w:lvlJc w:val="left"/>
      <w:pPr>
        <w:ind w:left="7066" w:hanging="451"/>
      </w:pPr>
      <w:rPr>
        <w:rFonts w:hint="default"/>
        <w:lang w:val="es-ES" w:eastAsia="en-US" w:bidi="ar-SA"/>
      </w:rPr>
    </w:lvl>
    <w:lvl w:ilvl="8">
      <w:numFmt w:val="bullet"/>
      <w:lvlText w:val="•"/>
      <w:lvlJc w:val="left"/>
      <w:pPr>
        <w:ind w:left="8051" w:hanging="451"/>
      </w:pPr>
      <w:rPr>
        <w:rFonts w:hint="default"/>
        <w:lang w:val="es-ES" w:eastAsia="en-US" w:bidi="ar-SA"/>
      </w:rPr>
    </w:lvl>
  </w:abstractNum>
  <w:abstractNum w:abstractNumId="4" w15:restartNumberingAfterBreak="0">
    <w:nsid w:val="0BC40107"/>
    <w:multiLevelType w:val="hybridMultilevel"/>
    <w:tmpl w:val="1D98C38A"/>
    <w:lvl w:ilvl="0" w:tplc="29643688">
      <w:numFmt w:val="bullet"/>
      <w:lvlText w:val=""/>
      <w:lvlJc w:val="left"/>
      <w:pPr>
        <w:ind w:left="449" w:hanging="360"/>
      </w:pPr>
      <w:rPr>
        <w:rFonts w:ascii="Symbol" w:eastAsia="Symbol" w:hAnsi="Symbol" w:cs="Symbol" w:hint="default"/>
        <w:w w:val="100"/>
        <w:position w:val="2"/>
        <w:sz w:val="16"/>
        <w:szCs w:val="16"/>
        <w:lang w:val="es-ES" w:eastAsia="en-US" w:bidi="ar-SA"/>
      </w:rPr>
    </w:lvl>
    <w:lvl w:ilvl="1" w:tplc="7DC20BBC">
      <w:numFmt w:val="bullet"/>
      <w:lvlText w:val="•"/>
      <w:lvlJc w:val="left"/>
      <w:pPr>
        <w:ind w:left="1164" w:hanging="360"/>
      </w:pPr>
      <w:rPr>
        <w:rFonts w:hint="default"/>
        <w:lang w:val="es-ES" w:eastAsia="en-US" w:bidi="ar-SA"/>
      </w:rPr>
    </w:lvl>
    <w:lvl w:ilvl="2" w:tplc="678A7E50">
      <w:numFmt w:val="bullet"/>
      <w:lvlText w:val="•"/>
      <w:lvlJc w:val="left"/>
      <w:pPr>
        <w:ind w:left="1888" w:hanging="360"/>
      </w:pPr>
      <w:rPr>
        <w:rFonts w:hint="default"/>
        <w:lang w:val="es-ES" w:eastAsia="en-US" w:bidi="ar-SA"/>
      </w:rPr>
    </w:lvl>
    <w:lvl w:ilvl="3" w:tplc="5308BF72">
      <w:numFmt w:val="bullet"/>
      <w:lvlText w:val="•"/>
      <w:lvlJc w:val="left"/>
      <w:pPr>
        <w:ind w:left="2612" w:hanging="360"/>
      </w:pPr>
      <w:rPr>
        <w:rFonts w:hint="default"/>
        <w:lang w:val="es-ES" w:eastAsia="en-US" w:bidi="ar-SA"/>
      </w:rPr>
    </w:lvl>
    <w:lvl w:ilvl="4" w:tplc="1B920FA6">
      <w:numFmt w:val="bullet"/>
      <w:lvlText w:val="•"/>
      <w:lvlJc w:val="left"/>
      <w:pPr>
        <w:ind w:left="3336" w:hanging="360"/>
      </w:pPr>
      <w:rPr>
        <w:rFonts w:hint="default"/>
        <w:lang w:val="es-ES" w:eastAsia="en-US" w:bidi="ar-SA"/>
      </w:rPr>
    </w:lvl>
    <w:lvl w:ilvl="5" w:tplc="9D625460">
      <w:numFmt w:val="bullet"/>
      <w:lvlText w:val="•"/>
      <w:lvlJc w:val="left"/>
      <w:pPr>
        <w:ind w:left="4060" w:hanging="360"/>
      </w:pPr>
      <w:rPr>
        <w:rFonts w:hint="default"/>
        <w:lang w:val="es-ES" w:eastAsia="en-US" w:bidi="ar-SA"/>
      </w:rPr>
    </w:lvl>
    <w:lvl w:ilvl="6" w:tplc="3FEE04A8">
      <w:numFmt w:val="bullet"/>
      <w:lvlText w:val="•"/>
      <w:lvlJc w:val="left"/>
      <w:pPr>
        <w:ind w:left="4784" w:hanging="360"/>
      </w:pPr>
      <w:rPr>
        <w:rFonts w:hint="default"/>
        <w:lang w:val="es-ES" w:eastAsia="en-US" w:bidi="ar-SA"/>
      </w:rPr>
    </w:lvl>
    <w:lvl w:ilvl="7" w:tplc="EDCC2CC6">
      <w:numFmt w:val="bullet"/>
      <w:lvlText w:val="•"/>
      <w:lvlJc w:val="left"/>
      <w:pPr>
        <w:ind w:left="5508" w:hanging="360"/>
      </w:pPr>
      <w:rPr>
        <w:rFonts w:hint="default"/>
        <w:lang w:val="es-ES" w:eastAsia="en-US" w:bidi="ar-SA"/>
      </w:rPr>
    </w:lvl>
    <w:lvl w:ilvl="8" w:tplc="1B74706A">
      <w:numFmt w:val="bullet"/>
      <w:lvlText w:val="•"/>
      <w:lvlJc w:val="left"/>
      <w:pPr>
        <w:ind w:left="6232" w:hanging="360"/>
      </w:pPr>
      <w:rPr>
        <w:rFonts w:hint="default"/>
        <w:lang w:val="es-ES" w:eastAsia="en-US" w:bidi="ar-SA"/>
      </w:rPr>
    </w:lvl>
  </w:abstractNum>
  <w:abstractNum w:abstractNumId="5" w15:restartNumberingAfterBreak="0">
    <w:nsid w:val="0CB0738E"/>
    <w:multiLevelType w:val="hybridMultilevel"/>
    <w:tmpl w:val="C73E0906"/>
    <w:lvl w:ilvl="0" w:tplc="6F4C48CA">
      <w:start w:val="1"/>
      <w:numFmt w:val="lowerLetter"/>
      <w:lvlText w:val="%1)"/>
      <w:lvlJc w:val="left"/>
      <w:pPr>
        <w:ind w:left="1218" w:hanging="419"/>
        <w:jc w:val="left"/>
      </w:pPr>
      <w:rPr>
        <w:rFonts w:ascii="Arial" w:eastAsia="Arial" w:hAnsi="Arial" w:cs="Arial" w:hint="default"/>
        <w:b/>
        <w:bCs/>
        <w:i/>
        <w:spacing w:val="-7"/>
        <w:w w:val="100"/>
        <w:sz w:val="18"/>
        <w:szCs w:val="18"/>
        <w:lang w:val="es-ES" w:eastAsia="en-US" w:bidi="ar-SA"/>
      </w:rPr>
    </w:lvl>
    <w:lvl w:ilvl="1" w:tplc="01EAB036">
      <w:numFmt w:val="bullet"/>
      <w:lvlText w:val="•"/>
      <w:lvlJc w:val="left"/>
      <w:pPr>
        <w:ind w:left="2100" w:hanging="419"/>
      </w:pPr>
      <w:rPr>
        <w:rFonts w:hint="default"/>
        <w:lang w:val="es-ES" w:eastAsia="en-US" w:bidi="ar-SA"/>
      </w:rPr>
    </w:lvl>
    <w:lvl w:ilvl="2" w:tplc="92E274E8">
      <w:numFmt w:val="bullet"/>
      <w:lvlText w:val="•"/>
      <w:lvlJc w:val="left"/>
      <w:pPr>
        <w:ind w:left="2980" w:hanging="419"/>
      </w:pPr>
      <w:rPr>
        <w:rFonts w:hint="default"/>
        <w:lang w:val="es-ES" w:eastAsia="en-US" w:bidi="ar-SA"/>
      </w:rPr>
    </w:lvl>
    <w:lvl w:ilvl="3" w:tplc="7ED40BB4">
      <w:numFmt w:val="bullet"/>
      <w:lvlText w:val="•"/>
      <w:lvlJc w:val="left"/>
      <w:pPr>
        <w:ind w:left="3860" w:hanging="419"/>
      </w:pPr>
      <w:rPr>
        <w:rFonts w:hint="default"/>
        <w:lang w:val="es-ES" w:eastAsia="en-US" w:bidi="ar-SA"/>
      </w:rPr>
    </w:lvl>
    <w:lvl w:ilvl="4" w:tplc="436CDE10">
      <w:numFmt w:val="bullet"/>
      <w:lvlText w:val="•"/>
      <w:lvlJc w:val="left"/>
      <w:pPr>
        <w:ind w:left="4740" w:hanging="419"/>
      </w:pPr>
      <w:rPr>
        <w:rFonts w:hint="default"/>
        <w:lang w:val="es-ES" w:eastAsia="en-US" w:bidi="ar-SA"/>
      </w:rPr>
    </w:lvl>
    <w:lvl w:ilvl="5" w:tplc="AE4890A4">
      <w:numFmt w:val="bullet"/>
      <w:lvlText w:val="•"/>
      <w:lvlJc w:val="left"/>
      <w:pPr>
        <w:ind w:left="5620" w:hanging="419"/>
      </w:pPr>
      <w:rPr>
        <w:rFonts w:hint="default"/>
        <w:lang w:val="es-ES" w:eastAsia="en-US" w:bidi="ar-SA"/>
      </w:rPr>
    </w:lvl>
    <w:lvl w:ilvl="6" w:tplc="9080E678">
      <w:numFmt w:val="bullet"/>
      <w:lvlText w:val="•"/>
      <w:lvlJc w:val="left"/>
      <w:pPr>
        <w:ind w:left="6500" w:hanging="419"/>
      </w:pPr>
      <w:rPr>
        <w:rFonts w:hint="default"/>
        <w:lang w:val="es-ES" w:eastAsia="en-US" w:bidi="ar-SA"/>
      </w:rPr>
    </w:lvl>
    <w:lvl w:ilvl="7" w:tplc="1C00AF72">
      <w:numFmt w:val="bullet"/>
      <w:lvlText w:val="•"/>
      <w:lvlJc w:val="left"/>
      <w:pPr>
        <w:ind w:left="7380" w:hanging="419"/>
      </w:pPr>
      <w:rPr>
        <w:rFonts w:hint="default"/>
        <w:lang w:val="es-ES" w:eastAsia="en-US" w:bidi="ar-SA"/>
      </w:rPr>
    </w:lvl>
    <w:lvl w:ilvl="8" w:tplc="4724ABA6">
      <w:numFmt w:val="bullet"/>
      <w:lvlText w:val="•"/>
      <w:lvlJc w:val="left"/>
      <w:pPr>
        <w:ind w:left="8260" w:hanging="419"/>
      </w:pPr>
      <w:rPr>
        <w:rFonts w:hint="default"/>
        <w:lang w:val="es-ES" w:eastAsia="en-US" w:bidi="ar-SA"/>
      </w:rPr>
    </w:lvl>
  </w:abstractNum>
  <w:abstractNum w:abstractNumId="6" w15:restartNumberingAfterBreak="0">
    <w:nsid w:val="0CD63195"/>
    <w:multiLevelType w:val="hybridMultilevel"/>
    <w:tmpl w:val="B8984488"/>
    <w:lvl w:ilvl="0" w:tplc="A9AEEDAE">
      <w:numFmt w:val="bullet"/>
      <w:lvlText w:val=""/>
      <w:lvlJc w:val="left"/>
      <w:pPr>
        <w:ind w:left="449" w:hanging="360"/>
      </w:pPr>
      <w:rPr>
        <w:rFonts w:ascii="Symbol" w:eastAsia="Symbol" w:hAnsi="Symbol" w:cs="Symbol" w:hint="default"/>
        <w:w w:val="100"/>
        <w:position w:val="2"/>
        <w:sz w:val="16"/>
        <w:szCs w:val="16"/>
        <w:lang w:val="es-ES" w:eastAsia="en-US" w:bidi="ar-SA"/>
      </w:rPr>
    </w:lvl>
    <w:lvl w:ilvl="1" w:tplc="B2142410">
      <w:numFmt w:val="bullet"/>
      <w:lvlText w:val="•"/>
      <w:lvlJc w:val="left"/>
      <w:pPr>
        <w:ind w:left="1164" w:hanging="360"/>
      </w:pPr>
      <w:rPr>
        <w:rFonts w:hint="default"/>
        <w:lang w:val="es-ES" w:eastAsia="en-US" w:bidi="ar-SA"/>
      </w:rPr>
    </w:lvl>
    <w:lvl w:ilvl="2" w:tplc="CF06C14A">
      <w:numFmt w:val="bullet"/>
      <w:lvlText w:val="•"/>
      <w:lvlJc w:val="left"/>
      <w:pPr>
        <w:ind w:left="1888" w:hanging="360"/>
      </w:pPr>
      <w:rPr>
        <w:rFonts w:hint="default"/>
        <w:lang w:val="es-ES" w:eastAsia="en-US" w:bidi="ar-SA"/>
      </w:rPr>
    </w:lvl>
    <w:lvl w:ilvl="3" w:tplc="B7723380">
      <w:numFmt w:val="bullet"/>
      <w:lvlText w:val="•"/>
      <w:lvlJc w:val="left"/>
      <w:pPr>
        <w:ind w:left="2612" w:hanging="360"/>
      </w:pPr>
      <w:rPr>
        <w:rFonts w:hint="default"/>
        <w:lang w:val="es-ES" w:eastAsia="en-US" w:bidi="ar-SA"/>
      </w:rPr>
    </w:lvl>
    <w:lvl w:ilvl="4" w:tplc="153AC4E8">
      <w:numFmt w:val="bullet"/>
      <w:lvlText w:val="•"/>
      <w:lvlJc w:val="left"/>
      <w:pPr>
        <w:ind w:left="3336" w:hanging="360"/>
      </w:pPr>
      <w:rPr>
        <w:rFonts w:hint="default"/>
        <w:lang w:val="es-ES" w:eastAsia="en-US" w:bidi="ar-SA"/>
      </w:rPr>
    </w:lvl>
    <w:lvl w:ilvl="5" w:tplc="A2DECFDC">
      <w:numFmt w:val="bullet"/>
      <w:lvlText w:val="•"/>
      <w:lvlJc w:val="left"/>
      <w:pPr>
        <w:ind w:left="4060" w:hanging="360"/>
      </w:pPr>
      <w:rPr>
        <w:rFonts w:hint="default"/>
        <w:lang w:val="es-ES" w:eastAsia="en-US" w:bidi="ar-SA"/>
      </w:rPr>
    </w:lvl>
    <w:lvl w:ilvl="6" w:tplc="CAC0BDC2">
      <w:numFmt w:val="bullet"/>
      <w:lvlText w:val="•"/>
      <w:lvlJc w:val="left"/>
      <w:pPr>
        <w:ind w:left="4784" w:hanging="360"/>
      </w:pPr>
      <w:rPr>
        <w:rFonts w:hint="default"/>
        <w:lang w:val="es-ES" w:eastAsia="en-US" w:bidi="ar-SA"/>
      </w:rPr>
    </w:lvl>
    <w:lvl w:ilvl="7" w:tplc="5FB88A98">
      <w:numFmt w:val="bullet"/>
      <w:lvlText w:val="•"/>
      <w:lvlJc w:val="left"/>
      <w:pPr>
        <w:ind w:left="5508" w:hanging="360"/>
      </w:pPr>
      <w:rPr>
        <w:rFonts w:hint="default"/>
        <w:lang w:val="es-ES" w:eastAsia="en-US" w:bidi="ar-SA"/>
      </w:rPr>
    </w:lvl>
    <w:lvl w:ilvl="8" w:tplc="58960DB8">
      <w:numFmt w:val="bullet"/>
      <w:lvlText w:val="•"/>
      <w:lvlJc w:val="left"/>
      <w:pPr>
        <w:ind w:left="6232" w:hanging="360"/>
      </w:pPr>
      <w:rPr>
        <w:rFonts w:hint="default"/>
        <w:lang w:val="es-ES" w:eastAsia="en-US" w:bidi="ar-SA"/>
      </w:rPr>
    </w:lvl>
  </w:abstractNum>
  <w:abstractNum w:abstractNumId="7" w15:restartNumberingAfterBreak="0">
    <w:nsid w:val="0DBD373E"/>
    <w:multiLevelType w:val="hybridMultilevel"/>
    <w:tmpl w:val="2E386CFC"/>
    <w:lvl w:ilvl="0" w:tplc="8A0C7358">
      <w:numFmt w:val="bullet"/>
      <w:lvlText w:val=""/>
      <w:lvlJc w:val="left"/>
      <w:pPr>
        <w:ind w:left="449" w:hanging="360"/>
      </w:pPr>
      <w:rPr>
        <w:rFonts w:ascii="Symbol" w:eastAsia="Symbol" w:hAnsi="Symbol" w:cs="Symbol" w:hint="default"/>
        <w:w w:val="100"/>
        <w:position w:val="2"/>
        <w:sz w:val="16"/>
        <w:szCs w:val="16"/>
        <w:lang w:val="es-ES" w:eastAsia="en-US" w:bidi="ar-SA"/>
      </w:rPr>
    </w:lvl>
    <w:lvl w:ilvl="1" w:tplc="994EC2A6">
      <w:numFmt w:val="bullet"/>
      <w:lvlText w:val="•"/>
      <w:lvlJc w:val="left"/>
      <w:pPr>
        <w:ind w:left="1164" w:hanging="360"/>
      </w:pPr>
      <w:rPr>
        <w:rFonts w:hint="default"/>
        <w:lang w:val="es-ES" w:eastAsia="en-US" w:bidi="ar-SA"/>
      </w:rPr>
    </w:lvl>
    <w:lvl w:ilvl="2" w:tplc="F5CC5034">
      <w:numFmt w:val="bullet"/>
      <w:lvlText w:val="•"/>
      <w:lvlJc w:val="left"/>
      <w:pPr>
        <w:ind w:left="1888" w:hanging="360"/>
      </w:pPr>
      <w:rPr>
        <w:rFonts w:hint="default"/>
        <w:lang w:val="es-ES" w:eastAsia="en-US" w:bidi="ar-SA"/>
      </w:rPr>
    </w:lvl>
    <w:lvl w:ilvl="3" w:tplc="3FB4494E">
      <w:numFmt w:val="bullet"/>
      <w:lvlText w:val="•"/>
      <w:lvlJc w:val="left"/>
      <w:pPr>
        <w:ind w:left="2612" w:hanging="360"/>
      </w:pPr>
      <w:rPr>
        <w:rFonts w:hint="default"/>
        <w:lang w:val="es-ES" w:eastAsia="en-US" w:bidi="ar-SA"/>
      </w:rPr>
    </w:lvl>
    <w:lvl w:ilvl="4" w:tplc="C3F2AA48">
      <w:numFmt w:val="bullet"/>
      <w:lvlText w:val="•"/>
      <w:lvlJc w:val="left"/>
      <w:pPr>
        <w:ind w:left="3336" w:hanging="360"/>
      </w:pPr>
      <w:rPr>
        <w:rFonts w:hint="default"/>
        <w:lang w:val="es-ES" w:eastAsia="en-US" w:bidi="ar-SA"/>
      </w:rPr>
    </w:lvl>
    <w:lvl w:ilvl="5" w:tplc="131A24D2">
      <w:numFmt w:val="bullet"/>
      <w:lvlText w:val="•"/>
      <w:lvlJc w:val="left"/>
      <w:pPr>
        <w:ind w:left="4060" w:hanging="360"/>
      </w:pPr>
      <w:rPr>
        <w:rFonts w:hint="default"/>
        <w:lang w:val="es-ES" w:eastAsia="en-US" w:bidi="ar-SA"/>
      </w:rPr>
    </w:lvl>
    <w:lvl w:ilvl="6" w:tplc="D4FAF44A">
      <w:numFmt w:val="bullet"/>
      <w:lvlText w:val="•"/>
      <w:lvlJc w:val="left"/>
      <w:pPr>
        <w:ind w:left="4784" w:hanging="360"/>
      </w:pPr>
      <w:rPr>
        <w:rFonts w:hint="default"/>
        <w:lang w:val="es-ES" w:eastAsia="en-US" w:bidi="ar-SA"/>
      </w:rPr>
    </w:lvl>
    <w:lvl w:ilvl="7" w:tplc="73BEB2A2">
      <w:numFmt w:val="bullet"/>
      <w:lvlText w:val="•"/>
      <w:lvlJc w:val="left"/>
      <w:pPr>
        <w:ind w:left="5508" w:hanging="360"/>
      </w:pPr>
      <w:rPr>
        <w:rFonts w:hint="default"/>
        <w:lang w:val="es-ES" w:eastAsia="en-US" w:bidi="ar-SA"/>
      </w:rPr>
    </w:lvl>
    <w:lvl w:ilvl="8" w:tplc="61E60D6A">
      <w:numFmt w:val="bullet"/>
      <w:lvlText w:val="•"/>
      <w:lvlJc w:val="left"/>
      <w:pPr>
        <w:ind w:left="6232" w:hanging="360"/>
      </w:pPr>
      <w:rPr>
        <w:rFonts w:hint="default"/>
        <w:lang w:val="es-ES" w:eastAsia="en-US" w:bidi="ar-SA"/>
      </w:rPr>
    </w:lvl>
  </w:abstractNum>
  <w:abstractNum w:abstractNumId="8" w15:restartNumberingAfterBreak="0">
    <w:nsid w:val="12335C24"/>
    <w:multiLevelType w:val="hybridMultilevel"/>
    <w:tmpl w:val="2E142518"/>
    <w:lvl w:ilvl="0" w:tplc="8360A044">
      <w:start w:val="1"/>
      <w:numFmt w:val="decimal"/>
      <w:lvlText w:val="%1."/>
      <w:lvlJc w:val="left"/>
      <w:pPr>
        <w:ind w:left="1240" w:hanging="432"/>
        <w:jc w:val="left"/>
      </w:pPr>
      <w:rPr>
        <w:rFonts w:ascii="Arial" w:eastAsia="Arial" w:hAnsi="Arial" w:cs="Arial" w:hint="default"/>
        <w:spacing w:val="-15"/>
        <w:w w:val="100"/>
        <w:sz w:val="18"/>
        <w:szCs w:val="18"/>
        <w:lang w:val="es-ES" w:eastAsia="en-US" w:bidi="ar-SA"/>
      </w:rPr>
    </w:lvl>
    <w:lvl w:ilvl="1" w:tplc="C2AA794C">
      <w:numFmt w:val="bullet"/>
      <w:lvlText w:val="•"/>
      <w:lvlJc w:val="left"/>
      <w:pPr>
        <w:ind w:left="2118" w:hanging="432"/>
      </w:pPr>
      <w:rPr>
        <w:rFonts w:hint="default"/>
        <w:lang w:val="es-ES" w:eastAsia="en-US" w:bidi="ar-SA"/>
      </w:rPr>
    </w:lvl>
    <w:lvl w:ilvl="2" w:tplc="F82A11D2">
      <w:numFmt w:val="bullet"/>
      <w:lvlText w:val="•"/>
      <w:lvlJc w:val="left"/>
      <w:pPr>
        <w:ind w:left="2996" w:hanging="432"/>
      </w:pPr>
      <w:rPr>
        <w:rFonts w:hint="default"/>
        <w:lang w:val="es-ES" w:eastAsia="en-US" w:bidi="ar-SA"/>
      </w:rPr>
    </w:lvl>
    <w:lvl w:ilvl="3" w:tplc="F1E2ECCA">
      <w:numFmt w:val="bullet"/>
      <w:lvlText w:val="•"/>
      <w:lvlJc w:val="left"/>
      <w:pPr>
        <w:ind w:left="3874" w:hanging="432"/>
      </w:pPr>
      <w:rPr>
        <w:rFonts w:hint="default"/>
        <w:lang w:val="es-ES" w:eastAsia="en-US" w:bidi="ar-SA"/>
      </w:rPr>
    </w:lvl>
    <w:lvl w:ilvl="4" w:tplc="990E5A3C">
      <w:numFmt w:val="bullet"/>
      <w:lvlText w:val="•"/>
      <w:lvlJc w:val="left"/>
      <w:pPr>
        <w:ind w:left="4752" w:hanging="432"/>
      </w:pPr>
      <w:rPr>
        <w:rFonts w:hint="default"/>
        <w:lang w:val="es-ES" w:eastAsia="en-US" w:bidi="ar-SA"/>
      </w:rPr>
    </w:lvl>
    <w:lvl w:ilvl="5" w:tplc="32C6399E">
      <w:numFmt w:val="bullet"/>
      <w:lvlText w:val="•"/>
      <w:lvlJc w:val="left"/>
      <w:pPr>
        <w:ind w:left="5630" w:hanging="432"/>
      </w:pPr>
      <w:rPr>
        <w:rFonts w:hint="default"/>
        <w:lang w:val="es-ES" w:eastAsia="en-US" w:bidi="ar-SA"/>
      </w:rPr>
    </w:lvl>
    <w:lvl w:ilvl="6" w:tplc="DEF4C0C2">
      <w:numFmt w:val="bullet"/>
      <w:lvlText w:val="•"/>
      <w:lvlJc w:val="left"/>
      <w:pPr>
        <w:ind w:left="6508" w:hanging="432"/>
      </w:pPr>
      <w:rPr>
        <w:rFonts w:hint="default"/>
        <w:lang w:val="es-ES" w:eastAsia="en-US" w:bidi="ar-SA"/>
      </w:rPr>
    </w:lvl>
    <w:lvl w:ilvl="7" w:tplc="812E21BC">
      <w:numFmt w:val="bullet"/>
      <w:lvlText w:val="•"/>
      <w:lvlJc w:val="left"/>
      <w:pPr>
        <w:ind w:left="7386" w:hanging="432"/>
      </w:pPr>
      <w:rPr>
        <w:rFonts w:hint="default"/>
        <w:lang w:val="es-ES" w:eastAsia="en-US" w:bidi="ar-SA"/>
      </w:rPr>
    </w:lvl>
    <w:lvl w:ilvl="8" w:tplc="AA948DDE">
      <w:numFmt w:val="bullet"/>
      <w:lvlText w:val="•"/>
      <w:lvlJc w:val="left"/>
      <w:pPr>
        <w:ind w:left="8264" w:hanging="432"/>
      </w:pPr>
      <w:rPr>
        <w:rFonts w:hint="default"/>
        <w:lang w:val="es-ES" w:eastAsia="en-US" w:bidi="ar-SA"/>
      </w:rPr>
    </w:lvl>
  </w:abstractNum>
  <w:abstractNum w:abstractNumId="9" w15:restartNumberingAfterBreak="0">
    <w:nsid w:val="16602609"/>
    <w:multiLevelType w:val="hybridMultilevel"/>
    <w:tmpl w:val="CB7AC6B8"/>
    <w:lvl w:ilvl="0" w:tplc="2DD4A46C">
      <w:numFmt w:val="bullet"/>
      <w:lvlText w:val=""/>
      <w:lvlJc w:val="left"/>
      <w:pPr>
        <w:ind w:left="438" w:hanging="360"/>
      </w:pPr>
      <w:rPr>
        <w:rFonts w:ascii="Symbol" w:eastAsia="Symbol" w:hAnsi="Symbol" w:cs="Symbol" w:hint="default"/>
        <w:w w:val="100"/>
        <w:position w:val="4"/>
        <w:sz w:val="16"/>
        <w:szCs w:val="16"/>
        <w:lang w:val="es-ES" w:eastAsia="en-US" w:bidi="ar-SA"/>
      </w:rPr>
    </w:lvl>
    <w:lvl w:ilvl="1" w:tplc="2FDA1180">
      <w:numFmt w:val="bullet"/>
      <w:lvlText w:val="•"/>
      <w:lvlJc w:val="left"/>
      <w:pPr>
        <w:ind w:left="801" w:hanging="360"/>
      </w:pPr>
      <w:rPr>
        <w:rFonts w:hint="default"/>
        <w:lang w:val="es-ES" w:eastAsia="en-US" w:bidi="ar-SA"/>
      </w:rPr>
    </w:lvl>
    <w:lvl w:ilvl="2" w:tplc="982A01D6">
      <w:numFmt w:val="bullet"/>
      <w:lvlText w:val="•"/>
      <w:lvlJc w:val="left"/>
      <w:pPr>
        <w:ind w:left="1163" w:hanging="360"/>
      </w:pPr>
      <w:rPr>
        <w:rFonts w:hint="default"/>
        <w:lang w:val="es-ES" w:eastAsia="en-US" w:bidi="ar-SA"/>
      </w:rPr>
    </w:lvl>
    <w:lvl w:ilvl="3" w:tplc="A67A40D6">
      <w:numFmt w:val="bullet"/>
      <w:lvlText w:val="•"/>
      <w:lvlJc w:val="left"/>
      <w:pPr>
        <w:ind w:left="1525" w:hanging="360"/>
      </w:pPr>
      <w:rPr>
        <w:rFonts w:hint="default"/>
        <w:lang w:val="es-ES" w:eastAsia="en-US" w:bidi="ar-SA"/>
      </w:rPr>
    </w:lvl>
    <w:lvl w:ilvl="4" w:tplc="CBD05FC0">
      <w:numFmt w:val="bullet"/>
      <w:lvlText w:val="•"/>
      <w:lvlJc w:val="left"/>
      <w:pPr>
        <w:ind w:left="1886" w:hanging="360"/>
      </w:pPr>
      <w:rPr>
        <w:rFonts w:hint="default"/>
        <w:lang w:val="es-ES" w:eastAsia="en-US" w:bidi="ar-SA"/>
      </w:rPr>
    </w:lvl>
    <w:lvl w:ilvl="5" w:tplc="E160E49A">
      <w:numFmt w:val="bullet"/>
      <w:lvlText w:val="•"/>
      <w:lvlJc w:val="left"/>
      <w:pPr>
        <w:ind w:left="2248" w:hanging="360"/>
      </w:pPr>
      <w:rPr>
        <w:rFonts w:hint="default"/>
        <w:lang w:val="es-ES" w:eastAsia="en-US" w:bidi="ar-SA"/>
      </w:rPr>
    </w:lvl>
    <w:lvl w:ilvl="6" w:tplc="AE127CD8">
      <w:numFmt w:val="bullet"/>
      <w:lvlText w:val="•"/>
      <w:lvlJc w:val="left"/>
      <w:pPr>
        <w:ind w:left="2610" w:hanging="360"/>
      </w:pPr>
      <w:rPr>
        <w:rFonts w:hint="default"/>
        <w:lang w:val="es-ES" w:eastAsia="en-US" w:bidi="ar-SA"/>
      </w:rPr>
    </w:lvl>
    <w:lvl w:ilvl="7" w:tplc="0206F296">
      <w:numFmt w:val="bullet"/>
      <w:lvlText w:val="•"/>
      <w:lvlJc w:val="left"/>
      <w:pPr>
        <w:ind w:left="2971" w:hanging="360"/>
      </w:pPr>
      <w:rPr>
        <w:rFonts w:hint="default"/>
        <w:lang w:val="es-ES" w:eastAsia="en-US" w:bidi="ar-SA"/>
      </w:rPr>
    </w:lvl>
    <w:lvl w:ilvl="8" w:tplc="10642390">
      <w:numFmt w:val="bullet"/>
      <w:lvlText w:val="•"/>
      <w:lvlJc w:val="left"/>
      <w:pPr>
        <w:ind w:left="3333" w:hanging="360"/>
      </w:pPr>
      <w:rPr>
        <w:rFonts w:hint="default"/>
        <w:lang w:val="es-ES" w:eastAsia="en-US" w:bidi="ar-SA"/>
      </w:rPr>
    </w:lvl>
  </w:abstractNum>
  <w:abstractNum w:abstractNumId="10" w15:restartNumberingAfterBreak="0">
    <w:nsid w:val="16E16FE4"/>
    <w:multiLevelType w:val="hybridMultilevel"/>
    <w:tmpl w:val="83DE6948"/>
    <w:lvl w:ilvl="0" w:tplc="633EAAC8">
      <w:numFmt w:val="bullet"/>
      <w:lvlText w:val="-"/>
      <w:lvlJc w:val="left"/>
      <w:pPr>
        <w:ind w:left="1240" w:hanging="432"/>
      </w:pPr>
      <w:rPr>
        <w:rFonts w:ascii="Arial" w:eastAsia="Arial" w:hAnsi="Arial" w:cs="Arial" w:hint="default"/>
        <w:spacing w:val="-14"/>
        <w:w w:val="100"/>
        <w:sz w:val="18"/>
        <w:szCs w:val="18"/>
        <w:lang w:val="es-ES" w:eastAsia="en-US" w:bidi="ar-SA"/>
      </w:rPr>
    </w:lvl>
    <w:lvl w:ilvl="1" w:tplc="66E872D6">
      <w:numFmt w:val="bullet"/>
      <w:lvlText w:val="•"/>
      <w:lvlJc w:val="left"/>
      <w:pPr>
        <w:ind w:left="2118" w:hanging="432"/>
      </w:pPr>
      <w:rPr>
        <w:rFonts w:hint="default"/>
        <w:lang w:val="es-ES" w:eastAsia="en-US" w:bidi="ar-SA"/>
      </w:rPr>
    </w:lvl>
    <w:lvl w:ilvl="2" w:tplc="F4448DB6">
      <w:numFmt w:val="bullet"/>
      <w:lvlText w:val="•"/>
      <w:lvlJc w:val="left"/>
      <w:pPr>
        <w:ind w:left="2996" w:hanging="432"/>
      </w:pPr>
      <w:rPr>
        <w:rFonts w:hint="default"/>
        <w:lang w:val="es-ES" w:eastAsia="en-US" w:bidi="ar-SA"/>
      </w:rPr>
    </w:lvl>
    <w:lvl w:ilvl="3" w:tplc="F8CAE538">
      <w:numFmt w:val="bullet"/>
      <w:lvlText w:val="•"/>
      <w:lvlJc w:val="left"/>
      <w:pPr>
        <w:ind w:left="3874" w:hanging="432"/>
      </w:pPr>
      <w:rPr>
        <w:rFonts w:hint="default"/>
        <w:lang w:val="es-ES" w:eastAsia="en-US" w:bidi="ar-SA"/>
      </w:rPr>
    </w:lvl>
    <w:lvl w:ilvl="4" w:tplc="5C7C7948">
      <w:numFmt w:val="bullet"/>
      <w:lvlText w:val="•"/>
      <w:lvlJc w:val="left"/>
      <w:pPr>
        <w:ind w:left="4752" w:hanging="432"/>
      </w:pPr>
      <w:rPr>
        <w:rFonts w:hint="default"/>
        <w:lang w:val="es-ES" w:eastAsia="en-US" w:bidi="ar-SA"/>
      </w:rPr>
    </w:lvl>
    <w:lvl w:ilvl="5" w:tplc="43B02A44">
      <w:numFmt w:val="bullet"/>
      <w:lvlText w:val="•"/>
      <w:lvlJc w:val="left"/>
      <w:pPr>
        <w:ind w:left="5630" w:hanging="432"/>
      </w:pPr>
      <w:rPr>
        <w:rFonts w:hint="default"/>
        <w:lang w:val="es-ES" w:eastAsia="en-US" w:bidi="ar-SA"/>
      </w:rPr>
    </w:lvl>
    <w:lvl w:ilvl="6" w:tplc="FCB089A4">
      <w:numFmt w:val="bullet"/>
      <w:lvlText w:val="•"/>
      <w:lvlJc w:val="left"/>
      <w:pPr>
        <w:ind w:left="6508" w:hanging="432"/>
      </w:pPr>
      <w:rPr>
        <w:rFonts w:hint="default"/>
        <w:lang w:val="es-ES" w:eastAsia="en-US" w:bidi="ar-SA"/>
      </w:rPr>
    </w:lvl>
    <w:lvl w:ilvl="7" w:tplc="E68E68B2">
      <w:numFmt w:val="bullet"/>
      <w:lvlText w:val="•"/>
      <w:lvlJc w:val="left"/>
      <w:pPr>
        <w:ind w:left="7386" w:hanging="432"/>
      </w:pPr>
      <w:rPr>
        <w:rFonts w:hint="default"/>
        <w:lang w:val="es-ES" w:eastAsia="en-US" w:bidi="ar-SA"/>
      </w:rPr>
    </w:lvl>
    <w:lvl w:ilvl="8" w:tplc="F96AD9EE">
      <w:numFmt w:val="bullet"/>
      <w:lvlText w:val="•"/>
      <w:lvlJc w:val="left"/>
      <w:pPr>
        <w:ind w:left="8264" w:hanging="432"/>
      </w:pPr>
      <w:rPr>
        <w:rFonts w:hint="default"/>
        <w:lang w:val="es-ES" w:eastAsia="en-US" w:bidi="ar-SA"/>
      </w:rPr>
    </w:lvl>
  </w:abstractNum>
  <w:abstractNum w:abstractNumId="11" w15:restartNumberingAfterBreak="0">
    <w:nsid w:val="1850601C"/>
    <w:multiLevelType w:val="hybridMultilevel"/>
    <w:tmpl w:val="979EFAC8"/>
    <w:lvl w:ilvl="0" w:tplc="8DCAFA52">
      <w:start w:val="1"/>
      <w:numFmt w:val="lowerRoman"/>
      <w:lvlText w:val="%1."/>
      <w:lvlJc w:val="left"/>
      <w:pPr>
        <w:ind w:left="1240" w:hanging="91"/>
        <w:jc w:val="left"/>
      </w:pPr>
      <w:rPr>
        <w:rFonts w:ascii="Arial" w:eastAsia="Arial" w:hAnsi="Arial" w:cs="Arial" w:hint="default"/>
        <w:spacing w:val="-1"/>
        <w:w w:val="100"/>
        <w:sz w:val="16"/>
        <w:szCs w:val="16"/>
        <w:lang w:val="es-ES" w:eastAsia="en-US" w:bidi="ar-SA"/>
      </w:rPr>
    </w:lvl>
    <w:lvl w:ilvl="1" w:tplc="B1BCEB96">
      <w:numFmt w:val="bullet"/>
      <w:lvlText w:val="•"/>
      <w:lvlJc w:val="left"/>
      <w:pPr>
        <w:ind w:left="2118" w:hanging="91"/>
      </w:pPr>
      <w:rPr>
        <w:rFonts w:hint="default"/>
        <w:lang w:val="es-ES" w:eastAsia="en-US" w:bidi="ar-SA"/>
      </w:rPr>
    </w:lvl>
    <w:lvl w:ilvl="2" w:tplc="78FE1214">
      <w:numFmt w:val="bullet"/>
      <w:lvlText w:val="•"/>
      <w:lvlJc w:val="left"/>
      <w:pPr>
        <w:ind w:left="2996" w:hanging="91"/>
      </w:pPr>
      <w:rPr>
        <w:rFonts w:hint="default"/>
        <w:lang w:val="es-ES" w:eastAsia="en-US" w:bidi="ar-SA"/>
      </w:rPr>
    </w:lvl>
    <w:lvl w:ilvl="3" w:tplc="CC989A10">
      <w:numFmt w:val="bullet"/>
      <w:lvlText w:val="•"/>
      <w:lvlJc w:val="left"/>
      <w:pPr>
        <w:ind w:left="3874" w:hanging="91"/>
      </w:pPr>
      <w:rPr>
        <w:rFonts w:hint="default"/>
        <w:lang w:val="es-ES" w:eastAsia="en-US" w:bidi="ar-SA"/>
      </w:rPr>
    </w:lvl>
    <w:lvl w:ilvl="4" w:tplc="EC646628">
      <w:numFmt w:val="bullet"/>
      <w:lvlText w:val="•"/>
      <w:lvlJc w:val="left"/>
      <w:pPr>
        <w:ind w:left="4752" w:hanging="91"/>
      </w:pPr>
      <w:rPr>
        <w:rFonts w:hint="default"/>
        <w:lang w:val="es-ES" w:eastAsia="en-US" w:bidi="ar-SA"/>
      </w:rPr>
    </w:lvl>
    <w:lvl w:ilvl="5" w:tplc="828CA81C">
      <w:numFmt w:val="bullet"/>
      <w:lvlText w:val="•"/>
      <w:lvlJc w:val="left"/>
      <w:pPr>
        <w:ind w:left="5630" w:hanging="91"/>
      </w:pPr>
      <w:rPr>
        <w:rFonts w:hint="default"/>
        <w:lang w:val="es-ES" w:eastAsia="en-US" w:bidi="ar-SA"/>
      </w:rPr>
    </w:lvl>
    <w:lvl w:ilvl="6" w:tplc="B2FAC02A">
      <w:numFmt w:val="bullet"/>
      <w:lvlText w:val="•"/>
      <w:lvlJc w:val="left"/>
      <w:pPr>
        <w:ind w:left="6508" w:hanging="91"/>
      </w:pPr>
      <w:rPr>
        <w:rFonts w:hint="default"/>
        <w:lang w:val="es-ES" w:eastAsia="en-US" w:bidi="ar-SA"/>
      </w:rPr>
    </w:lvl>
    <w:lvl w:ilvl="7" w:tplc="B0625102">
      <w:numFmt w:val="bullet"/>
      <w:lvlText w:val="•"/>
      <w:lvlJc w:val="left"/>
      <w:pPr>
        <w:ind w:left="7386" w:hanging="91"/>
      </w:pPr>
      <w:rPr>
        <w:rFonts w:hint="default"/>
        <w:lang w:val="es-ES" w:eastAsia="en-US" w:bidi="ar-SA"/>
      </w:rPr>
    </w:lvl>
    <w:lvl w:ilvl="8" w:tplc="4D623E88">
      <w:numFmt w:val="bullet"/>
      <w:lvlText w:val="•"/>
      <w:lvlJc w:val="left"/>
      <w:pPr>
        <w:ind w:left="8264" w:hanging="91"/>
      </w:pPr>
      <w:rPr>
        <w:rFonts w:hint="default"/>
        <w:lang w:val="es-ES" w:eastAsia="en-US" w:bidi="ar-SA"/>
      </w:rPr>
    </w:lvl>
  </w:abstractNum>
  <w:abstractNum w:abstractNumId="12" w15:restartNumberingAfterBreak="0">
    <w:nsid w:val="195624D2"/>
    <w:multiLevelType w:val="hybridMultilevel"/>
    <w:tmpl w:val="A74EF752"/>
    <w:lvl w:ilvl="0" w:tplc="AE5800A0">
      <w:start w:val="1"/>
      <w:numFmt w:val="lowerLetter"/>
      <w:lvlText w:val="%1."/>
      <w:lvlJc w:val="left"/>
      <w:pPr>
        <w:ind w:left="1232" w:hanging="432"/>
        <w:jc w:val="left"/>
      </w:pPr>
      <w:rPr>
        <w:rFonts w:ascii="Arial" w:eastAsia="Arial" w:hAnsi="Arial" w:cs="Arial" w:hint="default"/>
        <w:b/>
        <w:bCs/>
        <w:spacing w:val="-19"/>
        <w:w w:val="100"/>
        <w:sz w:val="18"/>
        <w:szCs w:val="18"/>
        <w:lang w:val="es-ES" w:eastAsia="en-US" w:bidi="ar-SA"/>
      </w:rPr>
    </w:lvl>
    <w:lvl w:ilvl="1" w:tplc="40ECF678">
      <w:numFmt w:val="bullet"/>
      <w:lvlText w:val="•"/>
      <w:lvlJc w:val="left"/>
      <w:pPr>
        <w:ind w:left="2118" w:hanging="432"/>
      </w:pPr>
      <w:rPr>
        <w:rFonts w:hint="default"/>
        <w:lang w:val="es-ES" w:eastAsia="en-US" w:bidi="ar-SA"/>
      </w:rPr>
    </w:lvl>
    <w:lvl w:ilvl="2" w:tplc="03486290">
      <w:numFmt w:val="bullet"/>
      <w:lvlText w:val="•"/>
      <w:lvlJc w:val="left"/>
      <w:pPr>
        <w:ind w:left="2996" w:hanging="432"/>
      </w:pPr>
      <w:rPr>
        <w:rFonts w:hint="default"/>
        <w:lang w:val="es-ES" w:eastAsia="en-US" w:bidi="ar-SA"/>
      </w:rPr>
    </w:lvl>
    <w:lvl w:ilvl="3" w:tplc="99946F9E">
      <w:numFmt w:val="bullet"/>
      <w:lvlText w:val="•"/>
      <w:lvlJc w:val="left"/>
      <w:pPr>
        <w:ind w:left="3874" w:hanging="432"/>
      </w:pPr>
      <w:rPr>
        <w:rFonts w:hint="default"/>
        <w:lang w:val="es-ES" w:eastAsia="en-US" w:bidi="ar-SA"/>
      </w:rPr>
    </w:lvl>
    <w:lvl w:ilvl="4" w:tplc="9392ED9A">
      <w:numFmt w:val="bullet"/>
      <w:lvlText w:val="•"/>
      <w:lvlJc w:val="left"/>
      <w:pPr>
        <w:ind w:left="4752" w:hanging="432"/>
      </w:pPr>
      <w:rPr>
        <w:rFonts w:hint="default"/>
        <w:lang w:val="es-ES" w:eastAsia="en-US" w:bidi="ar-SA"/>
      </w:rPr>
    </w:lvl>
    <w:lvl w:ilvl="5" w:tplc="BEF8A140">
      <w:numFmt w:val="bullet"/>
      <w:lvlText w:val="•"/>
      <w:lvlJc w:val="left"/>
      <w:pPr>
        <w:ind w:left="5630" w:hanging="432"/>
      </w:pPr>
      <w:rPr>
        <w:rFonts w:hint="default"/>
        <w:lang w:val="es-ES" w:eastAsia="en-US" w:bidi="ar-SA"/>
      </w:rPr>
    </w:lvl>
    <w:lvl w:ilvl="6" w:tplc="8B7C8B48">
      <w:numFmt w:val="bullet"/>
      <w:lvlText w:val="•"/>
      <w:lvlJc w:val="left"/>
      <w:pPr>
        <w:ind w:left="6508" w:hanging="432"/>
      </w:pPr>
      <w:rPr>
        <w:rFonts w:hint="default"/>
        <w:lang w:val="es-ES" w:eastAsia="en-US" w:bidi="ar-SA"/>
      </w:rPr>
    </w:lvl>
    <w:lvl w:ilvl="7" w:tplc="B11871A4">
      <w:numFmt w:val="bullet"/>
      <w:lvlText w:val="•"/>
      <w:lvlJc w:val="left"/>
      <w:pPr>
        <w:ind w:left="7386" w:hanging="432"/>
      </w:pPr>
      <w:rPr>
        <w:rFonts w:hint="default"/>
        <w:lang w:val="es-ES" w:eastAsia="en-US" w:bidi="ar-SA"/>
      </w:rPr>
    </w:lvl>
    <w:lvl w:ilvl="8" w:tplc="449EEA70">
      <w:numFmt w:val="bullet"/>
      <w:lvlText w:val="•"/>
      <w:lvlJc w:val="left"/>
      <w:pPr>
        <w:ind w:left="8264" w:hanging="432"/>
      </w:pPr>
      <w:rPr>
        <w:rFonts w:hint="default"/>
        <w:lang w:val="es-ES" w:eastAsia="en-US" w:bidi="ar-SA"/>
      </w:rPr>
    </w:lvl>
  </w:abstractNum>
  <w:abstractNum w:abstractNumId="13" w15:restartNumberingAfterBreak="0">
    <w:nsid w:val="1A322BBE"/>
    <w:multiLevelType w:val="hybridMultilevel"/>
    <w:tmpl w:val="CC3812CA"/>
    <w:lvl w:ilvl="0" w:tplc="1B18DFF2">
      <w:numFmt w:val="bullet"/>
      <w:lvlText w:val=""/>
      <w:lvlJc w:val="left"/>
      <w:pPr>
        <w:ind w:left="438" w:hanging="360"/>
      </w:pPr>
      <w:rPr>
        <w:rFonts w:ascii="Symbol" w:eastAsia="Symbol" w:hAnsi="Symbol" w:cs="Symbol" w:hint="default"/>
        <w:w w:val="100"/>
        <w:position w:val="2"/>
        <w:sz w:val="16"/>
        <w:szCs w:val="16"/>
        <w:lang w:val="es-ES" w:eastAsia="en-US" w:bidi="ar-SA"/>
      </w:rPr>
    </w:lvl>
    <w:lvl w:ilvl="1" w:tplc="FB604A14">
      <w:numFmt w:val="bullet"/>
      <w:lvlText w:val="•"/>
      <w:lvlJc w:val="left"/>
      <w:pPr>
        <w:ind w:left="801" w:hanging="360"/>
      </w:pPr>
      <w:rPr>
        <w:rFonts w:hint="default"/>
        <w:lang w:val="es-ES" w:eastAsia="en-US" w:bidi="ar-SA"/>
      </w:rPr>
    </w:lvl>
    <w:lvl w:ilvl="2" w:tplc="55BA2D2A">
      <w:numFmt w:val="bullet"/>
      <w:lvlText w:val="•"/>
      <w:lvlJc w:val="left"/>
      <w:pPr>
        <w:ind w:left="1163" w:hanging="360"/>
      </w:pPr>
      <w:rPr>
        <w:rFonts w:hint="default"/>
        <w:lang w:val="es-ES" w:eastAsia="en-US" w:bidi="ar-SA"/>
      </w:rPr>
    </w:lvl>
    <w:lvl w:ilvl="3" w:tplc="00227A3C">
      <w:numFmt w:val="bullet"/>
      <w:lvlText w:val="•"/>
      <w:lvlJc w:val="left"/>
      <w:pPr>
        <w:ind w:left="1525" w:hanging="360"/>
      </w:pPr>
      <w:rPr>
        <w:rFonts w:hint="default"/>
        <w:lang w:val="es-ES" w:eastAsia="en-US" w:bidi="ar-SA"/>
      </w:rPr>
    </w:lvl>
    <w:lvl w:ilvl="4" w:tplc="E13A13D6">
      <w:numFmt w:val="bullet"/>
      <w:lvlText w:val="•"/>
      <w:lvlJc w:val="left"/>
      <w:pPr>
        <w:ind w:left="1886" w:hanging="360"/>
      </w:pPr>
      <w:rPr>
        <w:rFonts w:hint="default"/>
        <w:lang w:val="es-ES" w:eastAsia="en-US" w:bidi="ar-SA"/>
      </w:rPr>
    </w:lvl>
    <w:lvl w:ilvl="5" w:tplc="69D46D96">
      <w:numFmt w:val="bullet"/>
      <w:lvlText w:val="•"/>
      <w:lvlJc w:val="left"/>
      <w:pPr>
        <w:ind w:left="2248" w:hanging="360"/>
      </w:pPr>
      <w:rPr>
        <w:rFonts w:hint="default"/>
        <w:lang w:val="es-ES" w:eastAsia="en-US" w:bidi="ar-SA"/>
      </w:rPr>
    </w:lvl>
    <w:lvl w:ilvl="6" w:tplc="9E66272C">
      <w:numFmt w:val="bullet"/>
      <w:lvlText w:val="•"/>
      <w:lvlJc w:val="left"/>
      <w:pPr>
        <w:ind w:left="2610" w:hanging="360"/>
      </w:pPr>
      <w:rPr>
        <w:rFonts w:hint="default"/>
        <w:lang w:val="es-ES" w:eastAsia="en-US" w:bidi="ar-SA"/>
      </w:rPr>
    </w:lvl>
    <w:lvl w:ilvl="7" w:tplc="2EAE2F04">
      <w:numFmt w:val="bullet"/>
      <w:lvlText w:val="•"/>
      <w:lvlJc w:val="left"/>
      <w:pPr>
        <w:ind w:left="2971" w:hanging="360"/>
      </w:pPr>
      <w:rPr>
        <w:rFonts w:hint="default"/>
        <w:lang w:val="es-ES" w:eastAsia="en-US" w:bidi="ar-SA"/>
      </w:rPr>
    </w:lvl>
    <w:lvl w:ilvl="8" w:tplc="F2CC476C">
      <w:numFmt w:val="bullet"/>
      <w:lvlText w:val="•"/>
      <w:lvlJc w:val="left"/>
      <w:pPr>
        <w:ind w:left="3333" w:hanging="360"/>
      </w:pPr>
      <w:rPr>
        <w:rFonts w:hint="default"/>
        <w:lang w:val="es-ES" w:eastAsia="en-US" w:bidi="ar-SA"/>
      </w:rPr>
    </w:lvl>
  </w:abstractNum>
  <w:abstractNum w:abstractNumId="14" w15:restartNumberingAfterBreak="0">
    <w:nsid w:val="23AD6006"/>
    <w:multiLevelType w:val="multilevel"/>
    <w:tmpl w:val="0AF0ED3C"/>
    <w:lvl w:ilvl="0">
      <w:start w:val="4"/>
      <w:numFmt w:val="decimal"/>
      <w:lvlText w:val="%1"/>
      <w:lvlJc w:val="left"/>
      <w:pPr>
        <w:ind w:left="1250" w:hanging="451"/>
        <w:jc w:val="left"/>
      </w:pPr>
      <w:rPr>
        <w:rFonts w:hint="default"/>
        <w:lang w:val="es-ES" w:eastAsia="en-US" w:bidi="ar-SA"/>
      </w:rPr>
    </w:lvl>
    <w:lvl w:ilvl="1">
      <w:start w:val="2"/>
      <w:numFmt w:val="decimal"/>
      <w:lvlText w:val="%1.%2"/>
      <w:lvlJc w:val="left"/>
      <w:pPr>
        <w:ind w:left="1250" w:hanging="451"/>
        <w:jc w:val="left"/>
      </w:pPr>
      <w:rPr>
        <w:rFonts w:hint="default"/>
        <w:lang w:val="es-ES" w:eastAsia="en-US" w:bidi="ar-SA"/>
      </w:rPr>
    </w:lvl>
    <w:lvl w:ilvl="2">
      <w:start w:val="1"/>
      <w:numFmt w:val="decimal"/>
      <w:lvlText w:val="%1.%2.%3"/>
      <w:lvlJc w:val="left"/>
      <w:pPr>
        <w:ind w:left="1250" w:hanging="451"/>
        <w:jc w:val="left"/>
      </w:pPr>
      <w:rPr>
        <w:rFonts w:ascii="Arial" w:eastAsia="Arial" w:hAnsi="Arial" w:cs="Arial" w:hint="default"/>
        <w:b/>
        <w:bCs/>
        <w:spacing w:val="-1"/>
        <w:w w:val="100"/>
        <w:sz w:val="18"/>
        <w:szCs w:val="18"/>
        <w:lang w:val="es-ES" w:eastAsia="en-US" w:bidi="ar-SA"/>
      </w:rPr>
    </w:lvl>
    <w:lvl w:ilvl="3">
      <w:numFmt w:val="bullet"/>
      <w:lvlText w:val="•"/>
      <w:lvlJc w:val="left"/>
      <w:pPr>
        <w:ind w:left="3888" w:hanging="451"/>
      </w:pPr>
      <w:rPr>
        <w:rFonts w:hint="default"/>
        <w:lang w:val="es-ES" w:eastAsia="en-US" w:bidi="ar-SA"/>
      </w:rPr>
    </w:lvl>
    <w:lvl w:ilvl="4">
      <w:numFmt w:val="bullet"/>
      <w:lvlText w:val="•"/>
      <w:lvlJc w:val="left"/>
      <w:pPr>
        <w:ind w:left="4764" w:hanging="451"/>
      </w:pPr>
      <w:rPr>
        <w:rFonts w:hint="default"/>
        <w:lang w:val="es-ES" w:eastAsia="en-US" w:bidi="ar-SA"/>
      </w:rPr>
    </w:lvl>
    <w:lvl w:ilvl="5">
      <w:numFmt w:val="bullet"/>
      <w:lvlText w:val="•"/>
      <w:lvlJc w:val="left"/>
      <w:pPr>
        <w:ind w:left="5640" w:hanging="451"/>
      </w:pPr>
      <w:rPr>
        <w:rFonts w:hint="default"/>
        <w:lang w:val="es-ES" w:eastAsia="en-US" w:bidi="ar-SA"/>
      </w:rPr>
    </w:lvl>
    <w:lvl w:ilvl="6">
      <w:numFmt w:val="bullet"/>
      <w:lvlText w:val="•"/>
      <w:lvlJc w:val="left"/>
      <w:pPr>
        <w:ind w:left="6516" w:hanging="451"/>
      </w:pPr>
      <w:rPr>
        <w:rFonts w:hint="default"/>
        <w:lang w:val="es-ES" w:eastAsia="en-US" w:bidi="ar-SA"/>
      </w:rPr>
    </w:lvl>
    <w:lvl w:ilvl="7">
      <w:numFmt w:val="bullet"/>
      <w:lvlText w:val="•"/>
      <w:lvlJc w:val="left"/>
      <w:pPr>
        <w:ind w:left="7392" w:hanging="451"/>
      </w:pPr>
      <w:rPr>
        <w:rFonts w:hint="default"/>
        <w:lang w:val="es-ES" w:eastAsia="en-US" w:bidi="ar-SA"/>
      </w:rPr>
    </w:lvl>
    <w:lvl w:ilvl="8">
      <w:numFmt w:val="bullet"/>
      <w:lvlText w:val="•"/>
      <w:lvlJc w:val="left"/>
      <w:pPr>
        <w:ind w:left="8268" w:hanging="451"/>
      </w:pPr>
      <w:rPr>
        <w:rFonts w:hint="default"/>
        <w:lang w:val="es-ES" w:eastAsia="en-US" w:bidi="ar-SA"/>
      </w:rPr>
    </w:lvl>
  </w:abstractNum>
  <w:abstractNum w:abstractNumId="15" w15:restartNumberingAfterBreak="0">
    <w:nsid w:val="23C32544"/>
    <w:multiLevelType w:val="hybridMultilevel"/>
    <w:tmpl w:val="DA3853FE"/>
    <w:lvl w:ilvl="0" w:tplc="87A8BB16">
      <w:numFmt w:val="bullet"/>
      <w:lvlText w:val=""/>
      <w:lvlJc w:val="left"/>
      <w:pPr>
        <w:ind w:left="1520" w:hanging="360"/>
      </w:pPr>
      <w:rPr>
        <w:rFonts w:ascii="Symbol" w:eastAsia="Symbol" w:hAnsi="Symbol" w:cs="Symbol" w:hint="default"/>
        <w:w w:val="100"/>
        <w:position w:val="2"/>
        <w:sz w:val="18"/>
        <w:szCs w:val="18"/>
        <w:lang w:val="es-ES" w:eastAsia="en-US" w:bidi="ar-SA"/>
      </w:rPr>
    </w:lvl>
    <w:lvl w:ilvl="1" w:tplc="C80AE24C">
      <w:numFmt w:val="bullet"/>
      <w:lvlText w:val="•"/>
      <w:lvlJc w:val="left"/>
      <w:pPr>
        <w:ind w:left="2370" w:hanging="360"/>
      </w:pPr>
      <w:rPr>
        <w:rFonts w:hint="default"/>
        <w:lang w:val="es-ES" w:eastAsia="en-US" w:bidi="ar-SA"/>
      </w:rPr>
    </w:lvl>
    <w:lvl w:ilvl="2" w:tplc="15D27CD4">
      <w:numFmt w:val="bullet"/>
      <w:lvlText w:val="•"/>
      <w:lvlJc w:val="left"/>
      <w:pPr>
        <w:ind w:left="3220" w:hanging="360"/>
      </w:pPr>
      <w:rPr>
        <w:rFonts w:hint="default"/>
        <w:lang w:val="es-ES" w:eastAsia="en-US" w:bidi="ar-SA"/>
      </w:rPr>
    </w:lvl>
    <w:lvl w:ilvl="3" w:tplc="30AEF5D8">
      <w:numFmt w:val="bullet"/>
      <w:lvlText w:val="•"/>
      <w:lvlJc w:val="left"/>
      <w:pPr>
        <w:ind w:left="4070" w:hanging="360"/>
      </w:pPr>
      <w:rPr>
        <w:rFonts w:hint="default"/>
        <w:lang w:val="es-ES" w:eastAsia="en-US" w:bidi="ar-SA"/>
      </w:rPr>
    </w:lvl>
    <w:lvl w:ilvl="4" w:tplc="E880F834">
      <w:numFmt w:val="bullet"/>
      <w:lvlText w:val="•"/>
      <w:lvlJc w:val="left"/>
      <w:pPr>
        <w:ind w:left="4920" w:hanging="360"/>
      </w:pPr>
      <w:rPr>
        <w:rFonts w:hint="default"/>
        <w:lang w:val="es-ES" w:eastAsia="en-US" w:bidi="ar-SA"/>
      </w:rPr>
    </w:lvl>
    <w:lvl w:ilvl="5" w:tplc="8050F300">
      <w:numFmt w:val="bullet"/>
      <w:lvlText w:val="•"/>
      <w:lvlJc w:val="left"/>
      <w:pPr>
        <w:ind w:left="5770" w:hanging="360"/>
      </w:pPr>
      <w:rPr>
        <w:rFonts w:hint="default"/>
        <w:lang w:val="es-ES" w:eastAsia="en-US" w:bidi="ar-SA"/>
      </w:rPr>
    </w:lvl>
    <w:lvl w:ilvl="6" w:tplc="E7A8A322">
      <w:numFmt w:val="bullet"/>
      <w:lvlText w:val="•"/>
      <w:lvlJc w:val="left"/>
      <w:pPr>
        <w:ind w:left="6620" w:hanging="360"/>
      </w:pPr>
      <w:rPr>
        <w:rFonts w:hint="default"/>
        <w:lang w:val="es-ES" w:eastAsia="en-US" w:bidi="ar-SA"/>
      </w:rPr>
    </w:lvl>
    <w:lvl w:ilvl="7" w:tplc="F6B07946">
      <w:numFmt w:val="bullet"/>
      <w:lvlText w:val="•"/>
      <w:lvlJc w:val="left"/>
      <w:pPr>
        <w:ind w:left="7470" w:hanging="360"/>
      </w:pPr>
      <w:rPr>
        <w:rFonts w:hint="default"/>
        <w:lang w:val="es-ES" w:eastAsia="en-US" w:bidi="ar-SA"/>
      </w:rPr>
    </w:lvl>
    <w:lvl w:ilvl="8" w:tplc="F84630D4">
      <w:numFmt w:val="bullet"/>
      <w:lvlText w:val="•"/>
      <w:lvlJc w:val="left"/>
      <w:pPr>
        <w:ind w:left="8320" w:hanging="360"/>
      </w:pPr>
      <w:rPr>
        <w:rFonts w:hint="default"/>
        <w:lang w:val="es-ES" w:eastAsia="en-US" w:bidi="ar-SA"/>
      </w:rPr>
    </w:lvl>
  </w:abstractNum>
  <w:abstractNum w:abstractNumId="16" w15:restartNumberingAfterBreak="0">
    <w:nsid w:val="25590E07"/>
    <w:multiLevelType w:val="hybridMultilevel"/>
    <w:tmpl w:val="97F88B56"/>
    <w:lvl w:ilvl="0" w:tplc="E48A0602">
      <w:start w:val="1"/>
      <w:numFmt w:val="lowerLetter"/>
      <w:lvlText w:val="%1."/>
      <w:lvlJc w:val="left"/>
      <w:pPr>
        <w:ind w:left="1240" w:hanging="432"/>
        <w:jc w:val="left"/>
      </w:pPr>
      <w:rPr>
        <w:rFonts w:ascii="Arial" w:eastAsia="Arial" w:hAnsi="Arial" w:cs="Arial" w:hint="default"/>
        <w:spacing w:val="-17"/>
        <w:w w:val="100"/>
        <w:sz w:val="18"/>
        <w:szCs w:val="18"/>
        <w:lang w:val="es-ES" w:eastAsia="en-US" w:bidi="ar-SA"/>
      </w:rPr>
    </w:lvl>
    <w:lvl w:ilvl="1" w:tplc="E8E6513A">
      <w:numFmt w:val="bullet"/>
      <w:lvlText w:val="•"/>
      <w:lvlJc w:val="left"/>
      <w:pPr>
        <w:ind w:left="2118" w:hanging="432"/>
      </w:pPr>
      <w:rPr>
        <w:rFonts w:hint="default"/>
        <w:lang w:val="es-ES" w:eastAsia="en-US" w:bidi="ar-SA"/>
      </w:rPr>
    </w:lvl>
    <w:lvl w:ilvl="2" w:tplc="A75E48FA">
      <w:numFmt w:val="bullet"/>
      <w:lvlText w:val="•"/>
      <w:lvlJc w:val="left"/>
      <w:pPr>
        <w:ind w:left="2996" w:hanging="432"/>
      </w:pPr>
      <w:rPr>
        <w:rFonts w:hint="default"/>
        <w:lang w:val="es-ES" w:eastAsia="en-US" w:bidi="ar-SA"/>
      </w:rPr>
    </w:lvl>
    <w:lvl w:ilvl="3" w:tplc="19FC2574">
      <w:numFmt w:val="bullet"/>
      <w:lvlText w:val="•"/>
      <w:lvlJc w:val="left"/>
      <w:pPr>
        <w:ind w:left="3874" w:hanging="432"/>
      </w:pPr>
      <w:rPr>
        <w:rFonts w:hint="default"/>
        <w:lang w:val="es-ES" w:eastAsia="en-US" w:bidi="ar-SA"/>
      </w:rPr>
    </w:lvl>
    <w:lvl w:ilvl="4" w:tplc="205A7C0A">
      <w:numFmt w:val="bullet"/>
      <w:lvlText w:val="•"/>
      <w:lvlJc w:val="left"/>
      <w:pPr>
        <w:ind w:left="4752" w:hanging="432"/>
      </w:pPr>
      <w:rPr>
        <w:rFonts w:hint="default"/>
        <w:lang w:val="es-ES" w:eastAsia="en-US" w:bidi="ar-SA"/>
      </w:rPr>
    </w:lvl>
    <w:lvl w:ilvl="5" w:tplc="09EACC26">
      <w:numFmt w:val="bullet"/>
      <w:lvlText w:val="•"/>
      <w:lvlJc w:val="left"/>
      <w:pPr>
        <w:ind w:left="5630" w:hanging="432"/>
      </w:pPr>
      <w:rPr>
        <w:rFonts w:hint="default"/>
        <w:lang w:val="es-ES" w:eastAsia="en-US" w:bidi="ar-SA"/>
      </w:rPr>
    </w:lvl>
    <w:lvl w:ilvl="6" w:tplc="60144998">
      <w:numFmt w:val="bullet"/>
      <w:lvlText w:val="•"/>
      <w:lvlJc w:val="left"/>
      <w:pPr>
        <w:ind w:left="6508" w:hanging="432"/>
      </w:pPr>
      <w:rPr>
        <w:rFonts w:hint="default"/>
        <w:lang w:val="es-ES" w:eastAsia="en-US" w:bidi="ar-SA"/>
      </w:rPr>
    </w:lvl>
    <w:lvl w:ilvl="7" w:tplc="A0A2121E">
      <w:numFmt w:val="bullet"/>
      <w:lvlText w:val="•"/>
      <w:lvlJc w:val="left"/>
      <w:pPr>
        <w:ind w:left="7386" w:hanging="432"/>
      </w:pPr>
      <w:rPr>
        <w:rFonts w:hint="default"/>
        <w:lang w:val="es-ES" w:eastAsia="en-US" w:bidi="ar-SA"/>
      </w:rPr>
    </w:lvl>
    <w:lvl w:ilvl="8" w:tplc="47DAC24E">
      <w:numFmt w:val="bullet"/>
      <w:lvlText w:val="•"/>
      <w:lvlJc w:val="left"/>
      <w:pPr>
        <w:ind w:left="8264" w:hanging="432"/>
      </w:pPr>
      <w:rPr>
        <w:rFonts w:hint="default"/>
        <w:lang w:val="es-ES" w:eastAsia="en-US" w:bidi="ar-SA"/>
      </w:rPr>
    </w:lvl>
  </w:abstractNum>
  <w:abstractNum w:abstractNumId="17" w15:restartNumberingAfterBreak="0">
    <w:nsid w:val="26721407"/>
    <w:multiLevelType w:val="hybridMultilevel"/>
    <w:tmpl w:val="F4D65B36"/>
    <w:lvl w:ilvl="0" w:tplc="893C5C82">
      <w:start w:val="1"/>
      <w:numFmt w:val="lowerLetter"/>
      <w:lvlText w:val="%1."/>
      <w:lvlJc w:val="left"/>
      <w:pPr>
        <w:ind w:left="1600" w:hanging="360"/>
        <w:jc w:val="left"/>
      </w:pPr>
      <w:rPr>
        <w:rFonts w:ascii="Arial" w:eastAsia="Arial" w:hAnsi="Arial" w:cs="Arial" w:hint="default"/>
        <w:spacing w:val="-14"/>
        <w:w w:val="100"/>
        <w:sz w:val="18"/>
        <w:szCs w:val="18"/>
        <w:lang w:val="es-ES" w:eastAsia="en-US" w:bidi="ar-SA"/>
      </w:rPr>
    </w:lvl>
    <w:lvl w:ilvl="1" w:tplc="626E71E2">
      <w:numFmt w:val="bullet"/>
      <w:lvlText w:val="•"/>
      <w:lvlJc w:val="left"/>
      <w:pPr>
        <w:ind w:left="2442" w:hanging="360"/>
      </w:pPr>
      <w:rPr>
        <w:rFonts w:hint="default"/>
        <w:lang w:val="es-ES" w:eastAsia="en-US" w:bidi="ar-SA"/>
      </w:rPr>
    </w:lvl>
    <w:lvl w:ilvl="2" w:tplc="877E8DC4">
      <w:numFmt w:val="bullet"/>
      <w:lvlText w:val="•"/>
      <w:lvlJc w:val="left"/>
      <w:pPr>
        <w:ind w:left="3284" w:hanging="360"/>
      </w:pPr>
      <w:rPr>
        <w:rFonts w:hint="default"/>
        <w:lang w:val="es-ES" w:eastAsia="en-US" w:bidi="ar-SA"/>
      </w:rPr>
    </w:lvl>
    <w:lvl w:ilvl="3" w:tplc="41801ACE">
      <w:numFmt w:val="bullet"/>
      <w:lvlText w:val="•"/>
      <w:lvlJc w:val="left"/>
      <w:pPr>
        <w:ind w:left="4126" w:hanging="360"/>
      </w:pPr>
      <w:rPr>
        <w:rFonts w:hint="default"/>
        <w:lang w:val="es-ES" w:eastAsia="en-US" w:bidi="ar-SA"/>
      </w:rPr>
    </w:lvl>
    <w:lvl w:ilvl="4" w:tplc="C014601E">
      <w:numFmt w:val="bullet"/>
      <w:lvlText w:val="•"/>
      <w:lvlJc w:val="left"/>
      <w:pPr>
        <w:ind w:left="4968" w:hanging="360"/>
      </w:pPr>
      <w:rPr>
        <w:rFonts w:hint="default"/>
        <w:lang w:val="es-ES" w:eastAsia="en-US" w:bidi="ar-SA"/>
      </w:rPr>
    </w:lvl>
    <w:lvl w:ilvl="5" w:tplc="BDC8503A">
      <w:numFmt w:val="bullet"/>
      <w:lvlText w:val="•"/>
      <w:lvlJc w:val="left"/>
      <w:pPr>
        <w:ind w:left="5810" w:hanging="360"/>
      </w:pPr>
      <w:rPr>
        <w:rFonts w:hint="default"/>
        <w:lang w:val="es-ES" w:eastAsia="en-US" w:bidi="ar-SA"/>
      </w:rPr>
    </w:lvl>
    <w:lvl w:ilvl="6" w:tplc="53C8BA00">
      <w:numFmt w:val="bullet"/>
      <w:lvlText w:val="•"/>
      <w:lvlJc w:val="left"/>
      <w:pPr>
        <w:ind w:left="6652" w:hanging="360"/>
      </w:pPr>
      <w:rPr>
        <w:rFonts w:hint="default"/>
        <w:lang w:val="es-ES" w:eastAsia="en-US" w:bidi="ar-SA"/>
      </w:rPr>
    </w:lvl>
    <w:lvl w:ilvl="7" w:tplc="210AEB98">
      <w:numFmt w:val="bullet"/>
      <w:lvlText w:val="•"/>
      <w:lvlJc w:val="left"/>
      <w:pPr>
        <w:ind w:left="7494" w:hanging="360"/>
      </w:pPr>
      <w:rPr>
        <w:rFonts w:hint="default"/>
        <w:lang w:val="es-ES" w:eastAsia="en-US" w:bidi="ar-SA"/>
      </w:rPr>
    </w:lvl>
    <w:lvl w:ilvl="8" w:tplc="B0F06D1A">
      <w:numFmt w:val="bullet"/>
      <w:lvlText w:val="•"/>
      <w:lvlJc w:val="left"/>
      <w:pPr>
        <w:ind w:left="8336" w:hanging="360"/>
      </w:pPr>
      <w:rPr>
        <w:rFonts w:hint="default"/>
        <w:lang w:val="es-ES" w:eastAsia="en-US" w:bidi="ar-SA"/>
      </w:rPr>
    </w:lvl>
  </w:abstractNum>
  <w:abstractNum w:abstractNumId="18" w15:restartNumberingAfterBreak="0">
    <w:nsid w:val="2D1E2061"/>
    <w:multiLevelType w:val="hybridMultilevel"/>
    <w:tmpl w:val="D7183826"/>
    <w:lvl w:ilvl="0" w:tplc="775C76DE">
      <w:start w:val="1"/>
      <w:numFmt w:val="lowerLetter"/>
      <w:lvlText w:val="%1."/>
      <w:lvlJc w:val="left"/>
      <w:pPr>
        <w:ind w:left="1240" w:hanging="432"/>
        <w:jc w:val="left"/>
      </w:pPr>
      <w:rPr>
        <w:rFonts w:ascii="Arial" w:eastAsia="Arial" w:hAnsi="Arial" w:cs="Arial" w:hint="default"/>
        <w:spacing w:val="-20"/>
        <w:w w:val="100"/>
        <w:sz w:val="18"/>
        <w:szCs w:val="18"/>
        <w:lang w:val="es-ES" w:eastAsia="en-US" w:bidi="ar-SA"/>
      </w:rPr>
    </w:lvl>
    <w:lvl w:ilvl="1" w:tplc="9D1233DA">
      <w:start w:val="1"/>
      <w:numFmt w:val="upperRoman"/>
      <w:lvlText w:val="%2."/>
      <w:lvlJc w:val="left"/>
      <w:pPr>
        <w:ind w:left="1680" w:hanging="432"/>
        <w:jc w:val="left"/>
      </w:pPr>
      <w:rPr>
        <w:rFonts w:ascii="Arial" w:eastAsia="Arial" w:hAnsi="Arial" w:cs="Arial" w:hint="default"/>
        <w:spacing w:val="-19"/>
        <w:w w:val="100"/>
        <w:sz w:val="18"/>
        <w:szCs w:val="18"/>
        <w:lang w:val="es-ES" w:eastAsia="en-US" w:bidi="ar-SA"/>
      </w:rPr>
    </w:lvl>
    <w:lvl w:ilvl="2" w:tplc="A53A4F9A">
      <w:numFmt w:val="bullet"/>
      <w:lvlText w:val="•"/>
      <w:lvlJc w:val="left"/>
      <w:pPr>
        <w:ind w:left="2606" w:hanging="432"/>
      </w:pPr>
      <w:rPr>
        <w:rFonts w:hint="default"/>
        <w:lang w:val="es-ES" w:eastAsia="en-US" w:bidi="ar-SA"/>
      </w:rPr>
    </w:lvl>
    <w:lvl w:ilvl="3" w:tplc="546661B2">
      <w:numFmt w:val="bullet"/>
      <w:lvlText w:val="•"/>
      <w:lvlJc w:val="left"/>
      <w:pPr>
        <w:ind w:left="3533" w:hanging="432"/>
      </w:pPr>
      <w:rPr>
        <w:rFonts w:hint="default"/>
        <w:lang w:val="es-ES" w:eastAsia="en-US" w:bidi="ar-SA"/>
      </w:rPr>
    </w:lvl>
    <w:lvl w:ilvl="4" w:tplc="76A4F57A">
      <w:numFmt w:val="bullet"/>
      <w:lvlText w:val="•"/>
      <w:lvlJc w:val="left"/>
      <w:pPr>
        <w:ind w:left="4460" w:hanging="432"/>
      </w:pPr>
      <w:rPr>
        <w:rFonts w:hint="default"/>
        <w:lang w:val="es-ES" w:eastAsia="en-US" w:bidi="ar-SA"/>
      </w:rPr>
    </w:lvl>
    <w:lvl w:ilvl="5" w:tplc="F5EC2394">
      <w:numFmt w:val="bullet"/>
      <w:lvlText w:val="•"/>
      <w:lvlJc w:val="left"/>
      <w:pPr>
        <w:ind w:left="5386" w:hanging="432"/>
      </w:pPr>
      <w:rPr>
        <w:rFonts w:hint="default"/>
        <w:lang w:val="es-ES" w:eastAsia="en-US" w:bidi="ar-SA"/>
      </w:rPr>
    </w:lvl>
    <w:lvl w:ilvl="6" w:tplc="67F828A8">
      <w:numFmt w:val="bullet"/>
      <w:lvlText w:val="•"/>
      <w:lvlJc w:val="left"/>
      <w:pPr>
        <w:ind w:left="6313" w:hanging="432"/>
      </w:pPr>
      <w:rPr>
        <w:rFonts w:hint="default"/>
        <w:lang w:val="es-ES" w:eastAsia="en-US" w:bidi="ar-SA"/>
      </w:rPr>
    </w:lvl>
    <w:lvl w:ilvl="7" w:tplc="F79A6E8E">
      <w:numFmt w:val="bullet"/>
      <w:lvlText w:val="•"/>
      <w:lvlJc w:val="left"/>
      <w:pPr>
        <w:ind w:left="7240" w:hanging="432"/>
      </w:pPr>
      <w:rPr>
        <w:rFonts w:hint="default"/>
        <w:lang w:val="es-ES" w:eastAsia="en-US" w:bidi="ar-SA"/>
      </w:rPr>
    </w:lvl>
    <w:lvl w:ilvl="8" w:tplc="B11E7812">
      <w:numFmt w:val="bullet"/>
      <w:lvlText w:val="•"/>
      <w:lvlJc w:val="left"/>
      <w:pPr>
        <w:ind w:left="8166" w:hanging="432"/>
      </w:pPr>
      <w:rPr>
        <w:rFonts w:hint="default"/>
        <w:lang w:val="es-ES" w:eastAsia="en-US" w:bidi="ar-SA"/>
      </w:rPr>
    </w:lvl>
  </w:abstractNum>
  <w:abstractNum w:abstractNumId="19" w15:restartNumberingAfterBreak="0">
    <w:nsid w:val="2FA577FD"/>
    <w:multiLevelType w:val="hybridMultilevel"/>
    <w:tmpl w:val="DED2B65E"/>
    <w:lvl w:ilvl="0" w:tplc="C010CD18">
      <w:numFmt w:val="bullet"/>
      <w:lvlText w:val=""/>
      <w:lvlJc w:val="left"/>
      <w:pPr>
        <w:ind w:left="1240" w:hanging="420"/>
      </w:pPr>
      <w:rPr>
        <w:rFonts w:ascii="Symbol" w:eastAsia="Symbol" w:hAnsi="Symbol" w:cs="Symbol" w:hint="default"/>
        <w:w w:val="100"/>
        <w:position w:val="4"/>
        <w:sz w:val="18"/>
        <w:szCs w:val="18"/>
        <w:lang w:val="es-ES" w:eastAsia="en-US" w:bidi="ar-SA"/>
      </w:rPr>
    </w:lvl>
    <w:lvl w:ilvl="1" w:tplc="CCDA83A0">
      <w:numFmt w:val="bullet"/>
      <w:lvlText w:val="•"/>
      <w:lvlJc w:val="left"/>
      <w:pPr>
        <w:ind w:left="2118" w:hanging="420"/>
      </w:pPr>
      <w:rPr>
        <w:rFonts w:hint="default"/>
        <w:lang w:val="es-ES" w:eastAsia="en-US" w:bidi="ar-SA"/>
      </w:rPr>
    </w:lvl>
    <w:lvl w:ilvl="2" w:tplc="1B1084E0">
      <w:numFmt w:val="bullet"/>
      <w:lvlText w:val="•"/>
      <w:lvlJc w:val="left"/>
      <w:pPr>
        <w:ind w:left="2996" w:hanging="420"/>
      </w:pPr>
      <w:rPr>
        <w:rFonts w:hint="default"/>
        <w:lang w:val="es-ES" w:eastAsia="en-US" w:bidi="ar-SA"/>
      </w:rPr>
    </w:lvl>
    <w:lvl w:ilvl="3" w:tplc="FE7217AE">
      <w:numFmt w:val="bullet"/>
      <w:lvlText w:val="•"/>
      <w:lvlJc w:val="left"/>
      <w:pPr>
        <w:ind w:left="3874" w:hanging="420"/>
      </w:pPr>
      <w:rPr>
        <w:rFonts w:hint="default"/>
        <w:lang w:val="es-ES" w:eastAsia="en-US" w:bidi="ar-SA"/>
      </w:rPr>
    </w:lvl>
    <w:lvl w:ilvl="4" w:tplc="D354B9A0">
      <w:numFmt w:val="bullet"/>
      <w:lvlText w:val="•"/>
      <w:lvlJc w:val="left"/>
      <w:pPr>
        <w:ind w:left="4752" w:hanging="420"/>
      </w:pPr>
      <w:rPr>
        <w:rFonts w:hint="default"/>
        <w:lang w:val="es-ES" w:eastAsia="en-US" w:bidi="ar-SA"/>
      </w:rPr>
    </w:lvl>
    <w:lvl w:ilvl="5" w:tplc="B1CC580E">
      <w:numFmt w:val="bullet"/>
      <w:lvlText w:val="•"/>
      <w:lvlJc w:val="left"/>
      <w:pPr>
        <w:ind w:left="5630" w:hanging="420"/>
      </w:pPr>
      <w:rPr>
        <w:rFonts w:hint="default"/>
        <w:lang w:val="es-ES" w:eastAsia="en-US" w:bidi="ar-SA"/>
      </w:rPr>
    </w:lvl>
    <w:lvl w:ilvl="6" w:tplc="6444F1DC">
      <w:numFmt w:val="bullet"/>
      <w:lvlText w:val="•"/>
      <w:lvlJc w:val="left"/>
      <w:pPr>
        <w:ind w:left="6508" w:hanging="420"/>
      </w:pPr>
      <w:rPr>
        <w:rFonts w:hint="default"/>
        <w:lang w:val="es-ES" w:eastAsia="en-US" w:bidi="ar-SA"/>
      </w:rPr>
    </w:lvl>
    <w:lvl w:ilvl="7" w:tplc="3EF480FC">
      <w:numFmt w:val="bullet"/>
      <w:lvlText w:val="•"/>
      <w:lvlJc w:val="left"/>
      <w:pPr>
        <w:ind w:left="7386" w:hanging="420"/>
      </w:pPr>
      <w:rPr>
        <w:rFonts w:hint="default"/>
        <w:lang w:val="es-ES" w:eastAsia="en-US" w:bidi="ar-SA"/>
      </w:rPr>
    </w:lvl>
    <w:lvl w:ilvl="8" w:tplc="B7665984">
      <w:numFmt w:val="bullet"/>
      <w:lvlText w:val="•"/>
      <w:lvlJc w:val="left"/>
      <w:pPr>
        <w:ind w:left="8264" w:hanging="420"/>
      </w:pPr>
      <w:rPr>
        <w:rFonts w:hint="default"/>
        <w:lang w:val="es-ES" w:eastAsia="en-US" w:bidi="ar-SA"/>
      </w:rPr>
    </w:lvl>
  </w:abstractNum>
  <w:abstractNum w:abstractNumId="20" w15:restartNumberingAfterBreak="0">
    <w:nsid w:val="318F7EB1"/>
    <w:multiLevelType w:val="hybridMultilevel"/>
    <w:tmpl w:val="3364F53A"/>
    <w:lvl w:ilvl="0" w:tplc="792E760C">
      <w:numFmt w:val="bullet"/>
      <w:lvlText w:val=""/>
      <w:lvlJc w:val="left"/>
      <w:pPr>
        <w:ind w:left="449" w:hanging="360"/>
      </w:pPr>
      <w:rPr>
        <w:rFonts w:ascii="Symbol" w:eastAsia="Symbol" w:hAnsi="Symbol" w:cs="Symbol" w:hint="default"/>
        <w:w w:val="100"/>
        <w:position w:val="2"/>
        <w:sz w:val="16"/>
        <w:szCs w:val="16"/>
        <w:lang w:val="es-ES" w:eastAsia="en-US" w:bidi="ar-SA"/>
      </w:rPr>
    </w:lvl>
    <w:lvl w:ilvl="1" w:tplc="05F875CE">
      <w:numFmt w:val="bullet"/>
      <w:lvlText w:val="•"/>
      <w:lvlJc w:val="left"/>
      <w:pPr>
        <w:ind w:left="1262" w:hanging="360"/>
      </w:pPr>
      <w:rPr>
        <w:rFonts w:hint="default"/>
        <w:lang w:val="es-ES" w:eastAsia="en-US" w:bidi="ar-SA"/>
      </w:rPr>
    </w:lvl>
    <w:lvl w:ilvl="2" w:tplc="CAF0DA70">
      <w:numFmt w:val="bullet"/>
      <w:lvlText w:val="•"/>
      <w:lvlJc w:val="left"/>
      <w:pPr>
        <w:ind w:left="2085" w:hanging="360"/>
      </w:pPr>
      <w:rPr>
        <w:rFonts w:hint="default"/>
        <w:lang w:val="es-ES" w:eastAsia="en-US" w:bidi="ar-SA"/>
      </w:rPr>
    </w:lvl>
    <w:lvl w:ilvl="3" w:tplc="B5E219DA">
      <w:numFmt w:val="bullet"/>
      <w:lvlText w:val="•"/>
      <w:lvlJc w:val="left"/>
      <w:pPr>
        <w:ind w:left="2908" w:hanging="360"/>
      </w:pPr>
      <w:rPr>
        <w:rFonts w:hint="default"/>
        <w:lang w:val="es-ES" w:eastAsia="en-US" w:bidi="ar-SA"/>
      </w:rPr>
    </w:lvl>
    <w:lvl w:ilvl="4" w:tplc="30CE9642">
      <w:numFmt w:val="bullet"/>
      <w:lvlText w:val="•"/>
      <w:lvlJc w:val="left"/>
      <w:pPr>
        <w:ind w:left="3731" w:hanging="360"/>
      </w:pPr>
      <w:rPr>
        <w:rFonts w:hint="default"/>
        <w:lang w:val="es-ES" w:eastAsia="en-US" w:bidi="ar-SA"/>
      </w:rPr>
    </w:lvl>
    <w:lvl w:ilvl="5" w:tplc="EDF09E7C">
      <w:numFmt w:val="bullet"/>
      <w:lvlText w:val="•"/>
      <w:lvlJc w:val="left"/>
      <w:pPr>
        <w:ind w:left="4554" w:hanging="360"/>
      </w:pPr>
      <w:rPr>
        <w:rFonts w:hint="default"/>
        <w:lang w:val="es-ES" w:eastAsia="en-US" w:bidi="ar-SA"/>
      </w:rPr>
    </w:lvl>
    <w:lvl w:ilvl="6" w:tplc="A93A9146">
      <w:numFmt w:val="bullet"/>
      <w:lvlText w:val="•"/>
      <w:lvlJc w:val="left"/>
      <w:pPr>
        <w:ind w:left="5376" w:hanging="360"/>
      </w:pPr>
      <w:rPr>
        <w:rFonts w:hint="default"/>
        <w:lang w:val="es-ES" w:eastAsia="en-US" w:bidi="ar-SA"/>
      </w:rPr>
    </w:lvl>
    <w:lvl w:ilvl="7" w:tplc="9ADC5956">
      <w:numFmt w:val="bullet"/>
      <w:lvlText w:val="•"/>
      <w:lvlJc w:val="left"/>
      <w:pPr>
        <w:ind w:left="6199" w:hanging="360"/>
      </w:pPr>
      <w:rPr>
        <w:rFonts w:hint="default"/>
        <w:lang w:val="es-ES" w:eastAsia="en-US" w:bidi="ar-SA"/>
      </w:rPr>
    </w:lvl>
    <w:lvl w:ilvl="8" w:tplc="BE50AF16">
      <w:numFmt w:val="bullet"/>
      <w:lvlText w:val="•"/>
      <w:lvlJc w:val="left"/>
      <w:pPr>
        <w:ind w:left="7022" w:hanging="360"/>
      </w:pPr>
      <w:rPr>
        <w:rFonts w:hint="default"/>
        <w:lang w:val="es-ES" w:eastAsia="en-US" w:bidi="ar-SA"/>
      </w:rPr>
    </w:lvl>
  </w:abstractNum>
  <w:abstractNum w:abstractNumId="21" w15:restartNumberingAfterBreak="0">
    <w:nsid w:val="31C80171"/>
    <w:multiLevelType w:val="hybridMultilevel"/>
    <w:tmpl w:val="D8F24AA6"/>
    <w:lvl w:ilvl="0" w:tplc="4EBE38D2">
      <w:start w:val="1"/>
      <w:numFmt w:val="lowerLetter"/>
      <w:lvlText w:val="%1."/>
      <w:lvlJc w:val="left"/>
      <w:pPr>
        <w:ind w:left="1600" w:hanging="360"/>
        <w:jc w:val="left"/>
      </w:pPr>
      <w:rPr>
        <w:rFonts w:ascii="Arial" w:eastAsia="Arial" w:hAnsi="Arial" w:cs="Arial" w:hint="default"/>
        <w:spacing w:val="-20"/>
        <w:w w:val="100"/>
        <w:sz w:val="18"/>
        <w:szCs w:val="18"/>
        <w:lang w:val="es-ES" w:eastAsia="en-US" w:bidi="ar-SA"/>
      </w:rPr>
    </w:lvl>
    <w:lvl w:ilvl="1" w:tplc="3E103ACE">
      <w:numFmt w:val="bullet"/>
      <w:lvlText w:val="•"/>
      <w:lvlJc w:val="left"/>
      <w:pPr>
        <w:ind w:left="2442" w:hanging="360"/>
      </w:pPr>
      <w:rPr>
        <w:rFonts w:hint="default"/>
        <w:lang w:val="es-ES" w:eastAsia="en-US" w:bidi="ar-SA"/>
      </w:rPr>
    </w:lvl>
    <w:lvl w:ilvl="2" w:tplc="55C0361E">
      <w:numFmt w:val="bullet"/>
      <w:lvlText w:val="•"/>
      <w:lvlJc w:val="left"/>
      <w:pPr>
        <w:ind w:left="3284" w:hanging="360"/>
      </w:pPr>
      <w:rPr>
        <w:rFonts w:hint="default"/>
        <w:lang w:val="es-ES" w:eastAsia="en-US" w:bidi="ar-SA"/>
      </w:rPr>
    </w:lvl>
    <w:lvl w:ilvl="3" w:tplc="AE5A1F4A">
      <w:numFmt w:val="bullet"/>
      <w:lvlText w:val="•"/>
      <w:lvlJc w:val="left"/>
      <w:pPr>
        <w:ind w:left="4126" w:hanging="360"/>
      </w:pPr>
      <w:rPr>
        <w:rFonts w:hint="default"/>
        <w:lang w:val="es-ES" w:eastAsia="en-US" w:bidi="ar-SA"/>
      </w:rPr>
    </w:lvl>
    <w:lvl w:ilvl="4" w:tplc="CF2C7414">
      <w:numFmt w:val="bullet"/>
      <w:lvlText w:val="•"/>
      <w:lvlJc w:val="left"/>
      <w:pPr>
        <w:ind w:left="4968" w:hanging="360"/>
      </w:pPr>
      <w:rPr>
        <w:rFonts w:hint="default"/>
        <w:lang w:val="es-ES" w:eastAsia="en-US" w:bidi="ar-SA"/>
      </w:rPr>
    </w:lvl>
    <w:lvl w:ilvl="5" w:tplc="C6C03E66">
      <w:numFmt w:val="bullet"/>
      <w:lvlText w:val="•"/>
      <w:lvlJc w:val="left"/>
      <w:pPr>
        <w:ind w:left="5810" w:hanging="360"/>
      </w:pPr>
      <w:rPr>
        <w:rFonts w:hint="default"/>
        <w:lang w:val="es-ES" w:eastAsia="en-US" w:bidi="ar-SA"/>
      </w:rPr>
    </w:lvl>
    <w:lvl w:ilvl="6" w:tplc="55BEC61A">
      <w:numFmt w:val="bullet"/>
      <w:lvlText w:val="•"/>
      <w:lvlJc w:val="left"/>
      <w:pPr>
        <w:ind w:left="6652" w:hanging="360"/>
      </w:pPr>
      <w:rPr>
        <w:rFonts w:hint="default"/>
        <w:lang w:val="es-ES" w:eastAsia="en-US" w:bidi="ar-SA"/>
      </w:rPr>
    </w:lvl>
    <w:lvl w:ilvl="7" w:tplc="7D24762A">
      <w:numFmt w:val="bullet"/>
      <w:lvlText w:val="•"/>
      <w:lvlJc w:val="left"/>
      <w:pPr>
        <w:ind w:left="7494" w:hanging="360"/>
      </w:pPr>
      <w:rPr>
        <w:rFonts w:hint="default"/>
        <w:lang w:val="es-ES" w:eastAsia="en-US" w:bidi="ar-SA"/>
      </w:rPr>
    </w:lvl>
    <w:lvl w:ilvl="8" w:tplc="96BE8ABC">
      <w:numFmt w:val="bullet"/>
      <w:lvlText w:val="•"/>
      <w:lvlJc w:val="left"/>
      <w:pPr>
        <w:ind w:left="8336" w:hanging="360"/>
      </w:pPr>
      <w:rPr>
        <w:rFonts w:hint="default"/>
        <w:lang w:val="es-ES" w:eastAsia="en-US" w:bidi="ar-SA"/>
      </w:rPr>
    </w:lvl>
  </w:abstractNum>
  <w:abstractNum w:abstractNumId="22" w15:restartNumberingAfterBreak="0">
    <w:nsid w:val="338C3564"/>
    <w:multiLevelType w:val="hybridMultilevel"/>
    <w:tmpl w:val="DD38472C"/>
    <w:lvl w:ilvl="0" w:tplc="DAAECC6C">
      <w:start w:val="1"/>
      <w:numFmt w:val="lowerLetter"/>
      <w:lvlText w:val="%1."/>
      <w:lvlJc w:val="left"/>
      <w:pPr>
        <w:ind w:left="1240" w:hanging="432"/>
        <w:jc w:val="left"/>
      </w:pPr>
      <w:rPr>
        <w:rFonts w:ascii="Arial" w:eastAsia="Arial" w:hAnsi="Arial" w:cs="Arial" w:hint="default"/>
        <w:spacing w:val="-19"/>
        <w:w w:val="100"/>
        <w:sz w:val="18"/>
        <w:szCs w:val="18"/>
        <w:lang w:val="es-ES" w:eastAsia="en-US" w:bidi="ar-SA"/>
      </w:rPr>
    </w:lvl>
    <w:lvl w:ilvl="1" w:tplc="D44E2ABA">
      <w:numFmt w:val="bullet"/>
      <w:lvlText w:val="•"/>
      <w:lvlJc w:val="left"/>
      <w:pPr>
        <w:ind w:left="2118" w:hanging="432"/>
      </w:pPr>
      <w:rPr>
        <w:rFonts w:hint="default"/>
        <w:lang w:val="es-ES" w:eastAsia="en-US" w:bidi="ar-SA"/>
      </w:rPr>
    </w:lvl>
    <w:lvl w:ilvl="2" w:tplc="856ADC2A">
      <w:numFmt w:val="bullet"/>
      <w:lvlText w:val="•"/>
      <w:lvlJc w:val="left"/>
      <w:pPr>
        <w:ind w:left="2996" w:hanging="432"/>
      </w:pPr>
      <w:rPr>
        <w:rFonts w:hint="default"/>
        <w:lang w:val="es-ES" w:eastAsia="en-US" w:bidi="ar-SA"/>
      </w:rPr>
    </w:lvl>
    <w:lvl w:ilvl="3" w:tplc="E6D061B0">
      <w:numFmt w:val="bullet"/>
      <w:lvlText w:val="•"/>
      <w:lvlJc w:val="left"/>
      <w:pPr>
        <w:ind w:left="3874" w:hanging="432"/>
      </w:pPr>
      <w:rPr>
        <w:rFonts w:hint="default"/>
        <w:lang w:val="es-ES" w:eastAsia="en-US" w:bidi="ar-SA"/>
      </w:rPr>
    </w:lvl>
    <w:lvl w:ilvl="4" w:tplc="0AA60218">
      <w:numFmt w:val="bullet"/>
      <w:lvlText w:val="•"/>
      <w:lvlJc w:val="left"/>
      <w:pPr>
        <w:ind w:left="4752" w:hanging="432"/>
      </w:pPr>
      <w:rPr>
        <w:rFonts w:hint="default"/>
        <w:lang w:val="es-ES" w:eastAsia="en-US" w:bidi="ar-SA"/>
      </w:rPr>
    </w:lvl>
    <w:lvl w:ilvl="5" w:tplc="A1689D08">
      <w:numFmt w:val="bullet"/>
      <w:lvlText w:val="•"/>
      <w:lvlJc w:val="left"/>
      <w:pPr>
        <w:ind w:left="5630" w:hanging="432"/>
      </w:pPr>
      <w:rPr>
        <w:rFonts w:hint="default"/>
        <w:lang w:val="es-ES" w:eastAsia="en-US" w:bidi="ar-SA"/>
      </w:rPr>
    </w:lvl>
    <w:lvl w:ilvl="6" w:tplc="AC827BA8">
      <w:numFmt w:val="bullet"/>
      <w:lvlText w:val="•"/>
      <w:lvlJc w:val="left"/>
      <w:pPr>
        <w:ind w:left="6508" w:hanging="432"/>
      </w:pPr>
      <w:rPr>
        <w:rFonts w:hint="default"/>
        <w:lang w:val="es-ES" w:eastAsia="en-US" w:bidi="ar-SA"/>
      </w:rPr>
    </w:lvl>
    <w:lvl w:ilvl="7" w:tplc="5CC42FB6">
      <w:numFmt w:val="bullet"/>
      <w:lvlText w:val="•"/>
      <w:lvlJc w:val="left"/>
      <w:pPr>
        <w:ind w:left="7386" w:hanging="432"/>
      </w:pPr>
      <w:rPr>
        <w:rFonts w:hint="default"/>
        <w:lang w:val="es-ES" w:eastAsia="en-US" w:bidi="ar-SA"/>
      </w:rPr>
    </w:lvl>
    <w:lvl w:ilvl="8" w:tplc="A336D180">
      <w:numFmt w:val="bullet"/>
      <w:lvlText w:val="•"/>
      <w:lvlJc w:val="left"/>
      <w:pPr>
        <w:ind w:left="8264" w:hanging="432"/>
      </w:pPr>
      <w:rPr>
        <w:rFonts w:hint="default"/>
        <w:lang w:val="es-ES" w:eastAsia="en-US" w:bidi="ar-SA"/>
      </w:rPr>
    </w:lvl>
  </w:abstractNum>
  <w:abstractNum w:abstractNumId="23" w15:restartNumberingAfterBreak="0">
    <w:nsid w:val="3C4F6D6E"/>
    <w:multiLevelType w:val="hybridMultilevel"/>
    <w:tmpl w:val="AE127D40"/>
    <w:lvl w:ilvl="0" w:tplc="731444BE">
      <w:numFmt w:val="bullet"/>
      <w:lvlText w:val="o"/>
      <w:lvlJc w:val="left"/>
      <w:pPr>
        <w:ind w:left="438" w:hanging="360"/>
      </w:pPr>
      <w:rPr>
        <w:rFonts w:ascii="Arial" w:eastAsia="Arial" w:hAnsi="Arial" w:cs="Arial" w:hint="default"/>
        <w:spacing w:val="-11"/>
        <w:w w:val="100"/>
        <w:sz w:val="16"/>
        <w:szCs w:val="16"/>
        <w:lang w:val="es-ES" w:eastAsia="en-US" w:bidi="ar-SA"/>
      </w:rPr>
    </w:lvl>
    <w:lvl w:ilvl="1" w:tplc="ABDA7B82">
      <w:numFmt w:val="bullet"/>
      <w:lvlText w:val="•"/>
      <w:lvlJc w:val="left"/>
      <w:pPr>
        <w:ind w:left="783" w:hanging="360"/>
      </w:pPr>
      <w:rPr>
        <w:rFonts w:hint="default"/>
        <w:lang w:val="es-ES" w:eastAsia="en-US" w:bidi="ar-SA"/>
      </w:rPr>
    </w:lvl>
    <w:lvl w:ilvl="2" w:tplc="CDB2CD54">
      <w:numFmt w:val="bullet"/>
      <w:lvlText w:val="•"/>
      <w:lvlJc w:val="left"/>
      <w:pPr>
        <w:ind w:left="1126" w:hanging="360"/>
      </w:pPr>
      <w:rPr>
        <w:rFonts w:hint="default"/>
        <w:lang w:val="es-ES" w:eastAsia="en-US" w:bidi="ar-SA"/>
      </w:rPr>
    </w:lvl>
    <w:lvl w:ilvl="3" w:tplc="B6C05362">
      <w:numFmt w:val="bullet"/>
      <w:lvlText w:val="•"/>
      <w:lvlJc w:val="left"/>
      <w:pPr>
        <w:ind w:left="1469" w:hanging="360"/>
      </w:pPr>
      <w:rPr>
        <w:rFonts w:hint="default"/>
        <w:lang w:val="es-ES" w:eastAsia="en-US" w:bidi="ar-SA"/>
      </w:rPr>
    </w:lvl>
    <w:lvl w:ilvl="4" w:tplc="3750751C">
      <w:numFmt w:val="bullet"/>
      <w:lvlText w:val="•"/>
      <w:lvlJc w:val="left"/>
      <w:pPr>
        <w:ind w:left="1812" w:hanging="360"/>
      </w:pPr>
      <w:rPr>
        <w:rFonts w:hint="default"/>
        <w:lang w:val="es-ES" w:eastAsia="en-US" w:bidi="ar-SA"/>
      </w:rPr>
    </w:lvl>
    <w:lvl w:ilvl="5" w:tplc="1480B256">
      <w:numFmt w:val="bullet"/>
      <w:lvlText w:val="•"/>
      <w:lvlJc w:val="left"/>
      <w:pPr>
        <w:ind w:left="2155" w:hanging="360"/>
      </w:pPr>
      <w:rPr>
        <w:rFonts w:hint="default"/>
        <w:lang w:val="es-ES" w:eastAsia="en-US" w:bidi="ar-SA"/>
      </w:rPr>
    </w:lvl>
    <w:lvl w:ilvl="6" w:tplc="29E47CD8">
      <w:numFmt w:val="bullet"/>
      <w:lvlText w:val="•"/>
      <w:lvlJc w:val="left"/>
      <w:pPr>
        <w:ind w:left="2498" w:hanging="360"/>
      </w:pPr>
      <w:rPr>
        <w:rFonts w:hint="default"/>
        <w:lang w:val="es-ES" w:eastAsia="en-US" w:bidi="ar-SA"/>
      </w:rPr>
    </w:lvl>
    <w:lvl w:ilvl="7" w:tplc="CDACDB64">
      <w:numFmt w:val="bullet"/>
      <w:lvlText w:val="•"/>
      <w:lvlJc w:val="left"/>
      <w:pPr>
        <w:ind w:left="2841" w:hanging="360"/>
      </w:pPr>
      <w:rPr>
        <w:rFonts w:hint="default"/>
        <w:lang w:val="es-ES" w:eastAsia="en-US" w:bidi="ar-SA"/>
      </w:rPr>
    </w:lvl>
    <w:lvl w:ilvl="8" w:tplc="368C1E3A">
      <w:numFmt w:val="bullet"/>
      <w:lvlText w:val="•"/>
      <w:lvlJc w:val="left"/>
      <w:pPr>
        <w:ind w:left="3184" w:hanging="360"/>
      </w:pPr>
      <w:rPr>
        <w:rFonts w:hint="default"/>
        <w:lang w:val="es-ES" w:eastAsia="en-US" w:bidi="ar-SA"/>
      </w:rPr>
    </w:lvl>
  </w:abstractNum>
  <w:abstractNum w:abstractNumId="24" w15:restartNumberingAfterBreak="0">
    <w:nsid w:val="3D86783C"/>
    <w:multiLevelType w:val="hybridMultilevel"/>
    <w:tmpl w:val="BC2A145C"/>
    <w:lvl w:ilvl="0" w:tplc="4C62AD48">
      <w:numFmt w:val="bullet"/>
      <w:lvlText w:val=""/>
      <w:lvlJc w:val="left"/>
      <w:pPr>
        <w:ind w:left="449" w:hanging="360"/>
      </w:pPr>
      <w:rPr>
        <w:rFonts w:ascii="Symbol" w:eastAsia="Symbol" w:hAnsi="Symbol" w:cs="Symbol" w:hint="default"/>
        <w:w w:val="100"/>
        <w:position w:val="2"/>
        <w:sz w:val="16"/>
        <w:szCs w:val="16"/>
        <w:lang w:val="es-ES" w:eastAsia="en-US" w:bidi="ar-SA"/>
      </w:rPr>
    </w:lvl>
    <w:lvl w:ilvl="1" w:tplc="2458CC4A">
      <w:numFmt w:val="bullet"/>
      <w:lvlText w:val="•"/>
      <w:lvlJc w:val="left"/>
      <w:pPr>
        <w:ind w:left="1164" w:hanging="360"/>
      </w:pPr>
      <w:rPr>
        <w:rFonts w:hint="default"/>
        <w:lang w:val="es-ES" w:eastAsia="en-US" w:bidi="ar-SA"/>
      </w:rPr>
    </w:lvl>
    <w:lvl w:ilvl="2" w:tplc="E384C05C">
      <w:numFmt w:val="bullet"/>
      <w:lvlText w:val="•"/>
      <w:lvlJc w:val="left"/>
      <w:pPr>
        <w:ind w:left="1888" w:hanging="360"/>
      </w:pPr>
      <w:rPr>
        <w:rFonts w:hint="default"/>
        <w:lang w:val="es-ES" w:eastAsia="en-US" w:bidi="ar-SA"/>
      </w:rPr>
    </w:lvl>
    <w:lvl w:ilvl="3" w:tplc="3526439E">
      <w:numFmt w:val="bullet"/>
      <w:lvlText w:val="•"/>
      <w:lvlJc w:val="left"/>
      <w:pPr>
        <w:ind w:left="2612" w:hanging="360"/>
      </w:pPr>
      <w:rPr>
        <w:rFonts w:hint="default"/>
        <w:lang w:val="es-ES" w:eastAsia="en-US" w:bidi="ar-SA"/>
      </w:rPr>
    </w:lvl>
    <w:lvl w:ilvl="4" w:tplc="94C0FBA8">
      <w:numFmt w:val="bullet"/>
      <w:lvlText w:val="•"/>
      <w:lvlJc w:val="left"/>
      <w:pPr>
        <w:ind w:left="3336" w:hanging="360"/>
      </w:pPr>
      <w:rPr>
        <w:rFonts w:hint="default"/>
        <w:lang w:val="es-ES" w:eastAsia="en-US" w:bidi="ar-SA"/>
      </w:rPr>
    </w:lvl>
    <w:lvl w:ilvl="5" w:tplc="E42E5A0E">
      <w:numFmt w:val="bullet"/>
      <w:lvlText w:val="•"/>
      <w:lvlJc w:val="left"/>
      <w:pPr>
        <w:ind w:left="4060" w:hanging="360"/>
      </w:pPr>
      <w:rPr>
        <w:rFonts w:hint="default"/>
        <w:lang w:val="es-ES" w:eastAsia="en-US" w:bidi="ar-SA"/>
      </w:rPr>
    </w:lvl>
    <w:lvl w:ilvl="6" w:tplc="5192C2D2">
      <w:numFmt w:val="bullet"/>
      <w:lvlText w:val="•"/>
      <w:lvlJc w:val="left"/>
      <w:pPr>
        <w:ind w:left="4784" w:hanging="360"/>
      </w:pPr>
      <w:rPr>
        <w:rFonts w:hint="default"/>
        <w:lang w:val="es-ES" w:eastAsia="en-US" w:bidi="ar-SA"/>
      </w:rPr>
    </w:lvl>
    <w:lvl w:ilvl="7" w:tplc="A9CEC038">
      <w:numFmt w:val="bullet"/>
      <w:lvlText w:val="•"/>
      <w:lvlJc w:val="left"/>
      <w:pPr>
        <w:ind w:left="5508" w:hanging="360"/>
      </w:pPr>
      <w:rPr>
        <w:rFonts w:hint="default"/>
        <w:lang w:val="es-ES" w:eastAsia="en-US" w:bidi="ar-SA"/>
      </w:rPr>
    </w:lvl>
    <w:lvl w:ilvl="8" w:tplc="A0F8FABE">
      <w:numFmt w:val="bullet"/>
      <w:lvlText w:val="•"/>
      <w:lvlJc w:val="left"/>
      <w:pPr>
        <w:ind w:left="6232" w:hanging="360"/>
      </w:pPr>
      <w:rPr>
        <w:rFonts w:hint="default"/>
        <w:lang w:val="es-ES" w:eastAsia="en-US" w:bidi="ar-SA"/>
      </w:rPr>
    </w:lvl>
  </w:abstractNum>
  <w:abstractNum w:abstractNumId="25" w15:restartNumberingAfterBreak="0">
    <w:nsid w:val="3F9C7685"/>
    <w:multiLevelType w:val="multilevel"/>
    <w:tmpl w:val="A9B28D98"/>
    <w:lvl w:ilvl="0">
      <w:start w:val="1"/>
      <w:numFmt w:val="decimal"/>
      <w:lvlText w:val="%1."/>
      <w:lvlJc w:val="left"/>
      <w:pPr>
        <w:ind w:left="1232" w:hanging="432"/>
        <w:jc w:val="left"/>
      </w:pPr>
      <w:rPr>
        <w:rFonts w:ascii="Arial" w:eastAsia="Arial" w:hAnsi="Arial" w:cs="Arial" w:hint="default"/>
        <w:b/>
        <w:bCs/>
        <w:spacing w:val="-19"/>
        <w:w w:val="100"/>
        <w:sz w:val="18"/>
        <w:szCs w:val="18"/>
        <w:lang w:val="es-ES" w:eastAsia="en-US" w:bidi="ar-SA"/>
      </w:rPr>
    </w:lvl>
    <w:lvl w:ilvl="1">
      <w:start w:val="1"/>
      <w:numFmt w:val="decimal"/>
      <w:lvlText w:val="%1.%2."/>
      <w:lvlJc w:val="left"/>
      <w:pPr>
        <w:ind w:left="1150" w:hanging="351"/>
        <w:jc w:val="left"/>
      </w:pPr>
      <w:rPr>
        <w:rFonts w:ascii="Arial" w:eastAsia="Arial" w:hAnsi="Arial" w:cs="Arial" w:hint="default"/>
        <w:b/>
        <w:bCs/>
        <w:w w:val="100"/>
        <w:sz w:val="18"/>
        <w:szCs w:val="18"/>
        <w:lang w:val="es-ES" w:eastAsia="en-US" w:bidi="ar-SA"/>
      </w:rPr>
    </w:lvl>
    <w:lvl w:ilvl="2">
      <w:numFmt w:val="bullet"/>
      <w:lvlText w:val="•"/>
      <w:lvlJc w:val="left"/>
      <w:pPr>
        <w:ind w:left="2215" w:hanging="351"/>
      </w:pPr>
      <w:rPr>
        <w:rFonts w:hint="default"/>
        <w:lang w:val="es-ES" w:eastAsia="en-US" w:bidi="ar-SA"/>
      </w:rPr>
    </w:lvl>
    <w:lvl w:ilvl="3">
      <w:numFmt w:val="bullet"/>
      <w:lvlText w:val="•"/>
      <w:lvlJc w:val="left"/>
      <w:pPr>
        <w:ind w:left="3191" w:hanging="351"/>
      </w:pPr>
      <w:rPr>
        <w:rFonts w:hint="default"/>
        <w:lang w:val="es-ES" w:eastAsia="en-US" w:bidi="ar-SA"/>
      </w:rPr>
    </w:lvl>
    <w:lvl w:ilvl="4">
      <w:numFmt w:val="bullet"/>
      <w:lvlText w:val="•"/>
      <w:lvlJc w:val="left"/>
      <w:pPr>
        <w:ind w:left="4166" w:hanging="351"/>
      </w:pPr>
      <w:rPr>
        <w:rFonts w:hint="default"/>
        <w:lang w:val="es-ES" w:eastAsia="en-US" w:bidi="ar-SA"/>
      </w:rPr>
    </w:lvl>
    <w:lvl w:ilvl="5">
      <w:numFmt w:val="bullet"/>
      <w:lvlText w:val="•"/>
      <w:lvlJc w:val="left"/>
      <w:pPr>
        <w:ind w:left="5142" w:hanging="351"/>
      </w:pPr>
      <w:rPr>
        <w:rFonts w:hint="default"/>
        <w:lang w:val="es-ES" w:eastAsia="en-US" w:bidi="ar-SA"/>
      </w:rPr>
    </w:lvl>
    <w:lvl w:ilvl="6">
      <w:numFmt w:val="bullet"/>
      <w:lvlText w:val="•"/>
      <w:lvlJc w:val="left"/>
      <w:pPr>
        <w:ind w:left="6117" w:hanging="351"/>
      </w:pPr>
      <w:rPr>
        <w:rFonts w:hint="default"/>
        <w:lang w:val="es-ES" w:eastAsia="en-US" w:bidi="ar-SA"/>
      </w:rPr>
    </w:lvl>
    <w:lvl w:ilvl="7">
      <w:numFmt w:val="bullet"/>
      <w:lvlText w:val="•"/>
      <w:lvlJc w:val="left"/>
      <w:pPr>
        <w:ind w:left="7093" w:hanging="351"/>
      </w:pPr>
      <w:rPr>
        <w:rFonts w:hint="default"/>
        <w:lang w:val="es-ES" w:eastAsia="en-US" w:bidi="ar-SA"/>
      </w:rPr>
    </w:lvl>
    <w:lvl w:ilvl="8">
      <w:numFmt w:val="bullet"/>
      <w:lvlText w:val="•"/>
      <w:lvlJc w:val="left"/>
      <w:pPr>
        <w:ind w:left="8068" w:hanging="351"/>
      </w:pPr>
      <w:rPr>
        <w:rFonts w:hint="default"/>
        <w:lang w:val="es-ES" w:eastAsia="en-US" w:bidi="ar-SA"/>
      </w:rPr>
    </w:lvl>
  </w:abstractNum>
  <w:abstractNum w:abstractNumId="26" w15:restartNumberingAfterBreak="0">
    <w:nsid w:val="41175E97"/>
    <w:multiLevelType w:val="hybridMultilevel"/>
    <w:tmpl w:val="45A43A40"/>
    <w:lvl w:ilvl="0" w:tplc="357C2EA2">
      <w:numFmt w:val="bullet"/>
      <w:lvlText w:val=""/>
      <w:lvlJc w:val="left"/>
      <w:pPr>
        <w:ind w:left="449" w:hanging="360"/>
      </w:pPr>
      <w:rPr>
        <w:rFonts w:ascii="Symbol" w:eastAsia="Symbol" w:hAnsi="Symbol" w:cs="Symbol" w:hint="default"/>
        <w:w w:val="100"/>
        <w:position w:val="2"/>
        <w:sz w:val="16"/>
        <w:szCs w:val="16"/>
        <w:lang w:val="es-ES" w:eastAsia="en-US" w:bidi="ar-SA"/>
      </w:rPr>
    </w:lvl>
    <w:lvl w:ilvl="1" w:tplc="6B9E2F6C">
      <w:numFmt w:val="bullet"/>
      <w:lvlText w:val="•"/>
      <w:lvlJc w:val="left"/>
      <w:pPr>
        <w:ind w:left="1262" w:hanging="360"/>
      </w:pPr>
      <w:rPr>
        <w:rFonts w:hint="default"/>
        <w:lang w:val="es-ES" w:eastAsia="en-US" w:bidi="ar-SA"/>
      </w:rPr>
    </w:lvl>
    <w:lvl w:ilvl="2" w:tplc="8CF03ED0">
      <w:numFmt w:val="bullet"/>
      <w:lvlText w:val="•"/>
      <w:lvlJc w:val="left"/>
      <w:pPr>
        <w:ind w:left="2085" w:hanging="360"/>
      </w:pPr>
      <w:rPr>
        <w:rFonts w:hint="default"/>
        <w:lang w:val="es-ES" w:eastAsia="en-US" w:bidi="ar-SA"/>
      </w:rPr>
    </w:lvl>
    <w:lvl w:ilvl="3" w:tplc="0AE40E8E">
      <w:numFmt w:val="bullet"/>
      <w:lvlText w:val="•"/>
      <w:lvlJc w:val="left"/>
      <w:pPr>
        <w:ind w:left="2908" w:hanging="360"/>
      </w:pPr>
      <w:rPr>
        <w:rFonts w:hint="default"/>
        <w:lang w:val="es-ES" w:eastAsia="en-US" w:bidi="ar-SA"/>
      </w:rPr>
    </w:lvl>
    <w:lvl w:ilvl="4" w:tplc="9A787492">
      <w:numFmt w:val="bullet"/>
      <w:lvlText w:val="•"/>
      <w:lvlJc w:val="left"/>
      <w:pPr>
        <w:ind w:left="3731" w:hanging="360"/>
      </w:pPr>
      <w:rPr>
        <w:rFonts w:hint="default"/>
        <w:lang w:val="es-ES" w:eastAsia="en-US" w:bidi="ar-SA"/>
      </w:rPr>
    </w:lvl>
    <w:lvl w:ilvl="5" w:tplc="6B700F7E">
      <w:numFmt w:val="bullet"/>
      <w:lvlText w:val="•"/>
      <w:lvlJc w:val="left"/>
      <w:pPr>
        <w:ind w:left="4554" w:hanging="360"/>
      </w:pPr>
      <w:rPr>
        <w:rFonts w:hint="default"/>
        <w:lang w:val="es-ES" w:eastAsia="en-US" w:bidi="ar-SA"/>
      </w:rPr>
    </w:lvl>
    <w:lvl w:ilvl="6" w:tplc="95BE19DC">
      <w:numFmt w:val="bullet"/>
      <w:lvlText w:val="•"/>
      <w:lvlJc w:val="left"/>
      <w:pPr>
        <w:ind w:left="5376" w:hanging="360"/>
      </w:pPr>
      <w:rPr>
        <w:rFonts w:hint="default"/>
        <w:lang w:val="es-ES" w:eastAsia="en-US" w:bidi="ar-SA"/>
      </w:rPr>
    </w:lvl>
    <w:lvl w:ilvl="7" w:tplc="70A4B494">
      <w:numFmt w:val="bullet"/>
      <w:lvlText w:val="•"/>
      <w:lvlJc w:val="left"/>
      <w:pPr>
        <w:ind w:left="6199" w:hanging="360"/>
      </w:pPr>
      <w:rPr>
        <w:rFonts w:hint="default"/>
        <w:lang w:val="es-ES" w:eastAsia="en-US" w:bidi="ar-SA"/>
      </w:rPr>
    </w:lvl>
    <w:lvl w:ilvl="8" w:tplc="3732E554">
      <w:numFmt w:val="bullet"/>
      <w:lvlText w:val="•"/>
      <w:lvlJc w:val="left"/>
      <w:pPr>
        <w:ind w:left="7022" w:hanging="360"/>
      </w:pPr>
      <w:rPr>
        <w:rFonts w:hint="default"/>
        <w:lang w:val="es-ES" w:eastAsia="en-US" w:bidi="ar-SA"/>
      </w:rPr>
    </w:lvl>
  </w:abstractNum>
  <w:abstractNum w:abstractNumId="27" w15:restartNumberingAfterBreak="0">
    <w:nsid w:val="426608AB"/>
    <w:multiLevelType w:val="multilevel"/>
    <w:tmpl w:val="7CE4AC88"/>
    <w:lvl w:ilvl="0">
      <w:start w:val="1"/>
      <w:numFmt w:val="decimal"/>
      <w:lvlText w:val="%1."/>
      <w:lvlJc w:val="left"/>
      <w:pPr>
        <w:ind w:left="1000" w:hanging="201"/>
        <w:jc w:val="left"/>
      </w:pPr>
      <w:rPr>
        <w:rFonts w:ascii="Arial" w:eastAsia="Arial" w:hAnsi="Arial" w:cs="Arial" w:hint="default"/>
        <w:b/>
        <w:bCs/>
        <w:w w:val="100"/>
        <w:sz w:val="18"/>
        <w:szCs w:val="18"/>
        <w:lang w:val="es-ES" w:eastAsia="en-US" w:bidi="ar-SA"/>
      </w:rPr>
    </w:lvl>
    <w:lvl w:ilvl="1">
      <w:start w:val="1"/>
      <w:numFmt w:val="decimal"/>
      <w:lvlText w:val="%1.%2"/>
      <w:lvlJc w:val="left"/>
      <w:pPr>
        <w:ind w:left="1150" w:hanging="301"/>
        <w:jc w:val="left"/>
      </w:pPr>
      <w:rPr>
        <w:rFonts w:ascii="Arial" w:eastAsia="Arial" w:hAnsi="Arial" w:cs="Arial" w:hint="default"/>
        <w:b/>
        <w:bCs/>
        <w:w w:val="100"/>
        <w:sz w:val="18"/>
        <w:szCs w:val="18"/>
        <w:lang w:val="es-ES" w:eastAsia="en-US" w:bidi="ar-SA"/>
      </w:rPr>
    </w:lvl>
    <w:lvl w:ilvl="2">
      <w:start w:val="1"/>
      <w:numFmt w:val="lowerRoman"/>
      <w:lvlText w:val="%1.%2.%3."/>
      <w:lvlJc w:val="left"/>
      <w:pPr>
        <w:ind w:left="1250" w:hanging="451"/>
        <w:jc w:val="left"/>
      </w:pPr>
      <w:rPr>
        <w:rFonts w:ascii="Arial" w:eastAsia="Arial" w:hAnsi="Arial" w:cs="Arial" w:hint="default"/>
        <w:b/>
        <w:bCs/>
        <w:w w:val="100"/>
        <w:sz w:val="18"/>
        <w:szCs w:val="18"/>
        <w:lang w:val="es-ES" w:eastAsia="en-US" w:bidi="ar-SA"/>
      </w:rPr>
    </w:lvl>
    <w:lvl w:ilvl="3">
      <w:numFmt w:val="bullet"/>
      <w:lvlText w:val="•"/>
      <w:lvlJc w:val="left"/>
      <w:pPr>
        <w:ind w:left="2355" w:hanging="451"/>
      </w:pPr>
      <w:rPr>
        <w:rFonts w:hint="default"/>
        <w:lang w:val="es-ES" w:eastAsia="en-US" w:bidi="ar-SA"/>
      </w:rPr>
    </w:lvl>
    <w:lvl w:ilvl="4">
      <w:numFmt w:val="bullet"/>
      <w:lvlText w:val="•"/>
      <w:lvlJc w:val="left"/>
      <w:pPr>
        <w:ind w:left="3450" w:hanging="451"/>
      </w:pPr>
      <w:rPr>
        <w:rFonts w:hint="default"/>
        <w:lang w:val="es-ES" w:eastAsia="en-US" w:bidi="ar-SA"/>
      </w:rPr>
    </w:lvl>
    <w:lvl w:ilvl="5">
      <w:numFmt w:val="bullet"/>
      <w:lvlText w:val="•"/>
      <w:lvlJc w:val="left"/>
      <w:pPr>
        <w:ind w:left="4545" w:hanging="451"/>
      </w:pPr>
      <w:rPr>
        <w:rFonts w:hint="default"/>
        <w:lang w:val="es-ES" w:eastAsia="en-US" w:bidi="ar-SA"/>
      </w:rPr>
    </w:lvl>
    <w:lvl w:ilvl="6">
      <w:numFmt w:val="bullet"/>
      <w:lvlText w:val="•"/>
      <w:lvlJc w:val="left"/>
      <w:pPr>
        <w:ind w:left="5640" w:hanging="451"/>
      </w:pPr>
      <w:rPr>
        <w:rFonts w:hint="default"/>
        <w:lang w:val="es-ES" w:eastAsia="en-US" w:bidi="ar-SA"/>
      </w:rPr>
    </w:lvl>
    <w:lvl w:ilvl="7">
      <w:numFmt w:val="bullet"/>
      <w:lvlText w:val="•"/>
      <w:lvlJc w:val="left"/>
      <w:pPr>
        <w:ind w:left="6735" w:hanging="451"/>
      </w:pPr>
      <w:rPr>
        <w:rFonts w:hint="default"/>
        <w:lang w:val="es-ES" w:eastAsia="en-US" w:bidi="ar-SA"/>
      </w:rPr>
    </w:lvl>
    <w:lvl w:ilvl="8">
      <w:numFmt w:val="bullet"/>
      <w:lvlText w:val="•"/>
      <w:lvlJc w:val="left"/>
      <w:pPr>
        <w:ind w:left="7830" w:hanging="451"/>
      </w:pPr>
      <w:rPr>
        <w:rFonts w:hint="default"/>
        <w:lang w:val="es-ES" w:eastAsia="en-US" w:bidi="ar-SA"/>
      </w:rPr>
    </w:lvl>
  </w:abstractNum>
  <w:abstractNum w:abstractNumId="28" w15:restartNumberingAfterBreak="0">
    <w:nsid w:val="44B21E0F"/>
    <w:multiLevelType w:val="hybridMultilevel"/>
    <w:tmpl w:val="A8425DD4"/>
    <w:lvl w:ilvl="0" w:tplc="FEF822FE">
      <w:start w:val="1"/>
      <w:numFmt w:val="lowerLetter"/>
      <w:lvlText w:val="%1)"/>
      <w:lvlJc w:val="left"/>
      <w:pPr>
        <w:ind w:left="1218" w:hanging="419"/>
        <w:jc w:val="left"/>
      </w:pPr>
      <w:rPr>
        <w:rFonts w:ascii="Arial" w:eastAsia="Arial" w:hAnsi="Arial" w:cs="Arial" w:hint="default"/>
        <w:b/>
        <w:bCs/>
        <w:i/>
        <w:spacing w:val="-7"/>
        <w:w w:val="100"/>
        <w:sz w:val="18"/>
        <w:szCs w:val="18"/>
        <w:lang w:val="es-ES" w:eastAsia="en-US" w:bidi="ar-SA"/>
      </w:rPr>
    </w:lvl>
    <w:lvl w:ilvl="1" w:tplc="B4247B66">
      <w:numFmt w:val="bullet"/>
      <w:lvlText w:val="•"/>
      <w:lvlJc w:val="left"/>
      <w:pPr>
        <w:ind w:left="2100" w:hanging="419"/>
      </w:pPr>
      <w:rPr>
        <w:rFonts w:hint="default"/>
        <w:lang w:val="es-ES" w:eastAsia="en-US" w:bidi="ar-SA"/>
      </w:rPr>
    </w:lvl>
    <w:lvl w:ilvl="2" w:tplc="7EBA300C">
      <w:numFmt w:val="bullet"/>
      <w:lvlText w:val="•"/>
      <w:lvlJc w:val="left"/>
      <w:pPr>
        <w:ind w:left="2980" w:hanging="419"/>
      </w:pPr>
      <w:rPr>
        <w:rFonts w:hint="default"/>
        <w:lang w:val="es-ES" w:eastAsia="en-US" w:bidi="ar-SA"/>
      </w:rPr>
    </w:lvl>
    <w:lvl w:ilvl="3" w:tplc="87901000">
      <w:numFmt w:val="bullet"/>
      <w:lvlText w:val="•"/>
      <w:lvlJc w:val="left"/>
      <w:pPr>
        <w:ind w:left="3860" w:hanging="419"/>
      </w:pPr>
      <w:rPr>
        <w:rFonts w:hint="default"/>
        <w:lang w:val="es-ES" w:eastAsia="en-US" w:bidi="ar-SA"/>
      </w:rPr>
    </w:lvl>
    <w:lvl w:ilvl="4" w:tplc="49BAE5AC">
      <w:numFmt w:val="bullet"/>
      <w:lvlText w:val="•"/>
      <w:lvlJc w:val="left"/>
      <w:pPr>
        <w:ind w:left="4740" w:hanging="419"/>
      </w:pPr>
      <w:rPr>
        <w:rFonts w:hint="default"/>
        <w:lang w:val="es-ES" w:eastAsia="en-US" w:bidi="ar-SA"/>
      </w:rPr>
    </w:lvl>
    <w:lvl w:ilvl="5" w:tplc="773E1D80">
      <w:numFmt w:val="bullet"/>
      <w:lvlText w:val="•"/>
      <w:lvlJc w:val="left"/>
      <w:pPr>
        <w:ind w:left="5620" w:hanging="419"/>
      </w:pPr>
      <w:rPr>
        <w:rFonts w:hint="default"/>
        <w:lang w:val="es-ES" w:eastAsia="en-US" w:bidi="ar-SA"/>
      </w:rPr>
    </w:lvl>
    <w:lvl w:ilvl="6" w:tplc="256AB6B6">
      <w:numFmt w:val="bullet"/>
      <w:lvlText w:val="•"/>
      <w:lvlJc w:val="left"/>
      <w:pPr>
        <w:ind w:left="6500" w:hanging="419"/>
      </w:pPr>
      <w:rPr>
        <w:rFonts w:hint="default"/>
        <w:lang w:val="es-ES" w:eastAsia="en-US" w:bidi="ar-SA"/>
      </w:rPr>
    </w:lvl>
    <w:lvl w:ilvl="7" w:tplc="F73EB64E">
      <w:numFmt w:val="bullet"/>
      <w:lvlText w:val="•"/>
      <w:lvlJc w:val="left"/>
      <w:pPr>
        <w:ind w:left="7380" w:hanging="419"/>
      </w:pPr>
      <w:rPr>
        <w:rFonts w:hint="default"/>
        <w:lang w:val="es-ES" w:eastAsia="en-US" w:bidi="ar-SA"/>
      </w:rPr>
    </w:lvl>
    <w:lvl w:ilvl="8" w:tplc="684EFFE8">
      <w:numFmt w:val="bullet"/>
      <w:lvlText w:val="•"/>
      <w:lvlJc w:val="left"/>
      <w:pPr>
        <w:ind w:left="8260" w:hanging="419"/>
      </w:pPr>
      <w:rPr>
        <w:rFonts w:hint="default"/>
        <w:lang w:val="es-ES" w:eastAsia="en-US" w:bidi="ar-SA"/>
      </w:rPr>
    </w:lvl>
  </w:abstractNum>
  <w:abstractNum w:abstractNumId="29" w15:restartNumberingAfterBreak="0">
    <w:nsid w:val="46213257"/>
    <w:multiLevelType w:val="hybridMultilevel"/>
    <w:tmpl w:val="CB426248"/>
    <w:lvl w:ilvl="0" w:tplc="F626B848">
      <w:start w:val="1"/>
      <w:numFmt w:val="decimal"/>
      <w:lvlText w:val="%1."/>
      <w:lvlJc w:val="left"/>
      <w:pPr>
        <w:ind w:left="520" w:hanging="209"/>
        <w:jc w:val="left"/>
      </w:pPr>
      <w:rPr>
        <w:rFonts w:ascii="Arial" w:eastAsia="Arial" w:hAnsi="Arial" w:cs="Arial" w:hint="default"/>
        <w:b/>
        <w:bCs/>
        <w:w w:val="100"/>
        <w:sz w:val="18"/>
        <w:szCs w:val="18"/>
        <w:lang w:val="es-ES" w:eastAsia="en-US" w:bidi="ar-SA"/>
      </w:rPr>
    </w:lvl>
    <w:lvl w:ilvl="1" w:tplc="1C006D14">
      <w:numFmt w:val="bullet"/>
      <w:lvlText w:val="•"/>
      <w:lvlJc w:val="left"/>
      <w:pPr>
        <w:ind w:left="1470" w:hanging="209"/>
      </w:pPr>
      <w:rPr>
        <w:rFonts w:hint="default"/>
        <w:lang w:val="es-ES" w:eastAsia="en-US" w:bidi="ar-SA"/>
      </w:rPr>
    </w:lvl>
    <w:lvl w:ilvl="2" w:tplc="08B6830C">
      <w:numFmt w:val="bullet"/>
      <w:lvlText w:val="•"/>
      <w:lvlJc w:val="left"/>
      <w:pPr>
        <w:ind w:left="2420" w:hanging="209"/>
      </w:pPr>
      <w:rPr>
        <w:rFonts w:hint="default"/>
        <w:lang w:val="es-ES" w:eastAsia="en-US" w:bidi="ar-SA"/>
      </w:rPr>
    </w:lvl>
    <w:lvl w:ilvl="3" w:tplc="07A6B32C">
      <w:numFmt w:val="bullet"/>
      <w:lvlText w:val="•"/>
      <w:lvlJc w:val="left"/>
      <w:pPr>
        <w:ind w:left="3370" w:hanging="209"/>
      </w:pPr>
      <w:rPr>
        <w:rFonts w:hint="default"/>
        <w:lang w:val="es-ES" w:eastAsia="en-US" w:bidi="ar-SA"/>
      </w:rPr>
    </w:lvl>
    <w:lvl w:ilvl="4" w:tplc="108E9960">
      <w:numFmt w:val="bullet"/>
      <w:lvlText w:val="•"/>
      <w:lvlJc w:val="left"/>
      <w:pPr>
        <w:ind w:left="4320" w:hanging="209"/>
      </w:pPr>
      <w:rPr>
        <w:rFonts w:hint="default"/>
        <w:lang w:val="es-ES" w:eastAsia="en-US" w:bidi="ar-SA"/>
      </w:rPr>
    </w:lvl>
    <w:lvl w:ilvl="5" w:tplc="9822DF38">
      <w:numFmt w:val="bullet"/>
      <w:lvlText w:val="•"/>
      <w:lvlJc w:val="left"/>
      <w:pPr>
        <w:ind w:left="5270" w:hanging="209"/>
      </w:pPr>
      <w:rPr>
        <w:rFonts w:hint="default"/>
        <w:lang w:val="es-ES" w:eastAsia="en-US" w:bidi="ar-SA"/>
      </w:rPr>
    </w:lvl>
    <w:lvl w:ilvl="6" w:tplc="0088D10A">
      <w:numFmt w:val="bullet"/>
      <w:lvlText w:val="•"/>
      <w:lvlJc w:val="left"/>
      <w:pPr>
        <w:ind w:left="6220" w:hanging="209"/>
      </w:pPr>
      <w:rPr>
        <w:rFonts w:hint="default"/>
        <w:lang w:val="es-ES" w:eastAsia="en-US" w:bidi="ar-SA"/>
      </w:rPr>
    </w:lvl>
    <w:lvl w:ilvl="7" w:tplc="2A8A78F4">
      <w:numFmt w:val="bullet"/>
      <w:lvlText w:val="•"/>
      <w:lvlJc w:val="left"/>
      <w:pPr>
        <w:ind w:left="7170" w:hanging="209"/>
      </w:pPr>
      <w:rPr>
        <w:rFonts w:hint="default"/>
        <w:lang w:val="es-ES" w:eastAsia="en-US" w:bidi="ar-SA"/>
      </w:rPr>
    </w:lvl>
    <w:lvl w:ilvl="8" w:tplc="BB4E30E4">
      <w:numFmt w:val="bullet"/>
      <w:lvlText w:val="•"/>
      <w:lvlJc w:val="left"/>
      <w:pPr>
        <w:ind w:left="8120" w:hanging="209"/>
      </w:pPr>
      <w:rPr>
        <w:rFonts w:hint="default"/>
        <w:lang w:val="es-ES" w:eastAsia="en-US" w:bidi="ar-SA"/>
      </w:rPr>
    </w:lvl>
  </w:abstractNum>
  <w:abstractNum w:abstractNumId="30" w15:restartNumberingAfterBreak="0">
    <w:nsid w:val="46A72FC1"/>
    <w:multiLevelType w:val="hybridMultilevel"/>
    <w:tmpl w:val="50F6500C"/>
    <w:lvl w:ilvl="0" w:tplc="5C46532A">
      <w:start w:val="1"/>
      <w:numFmt w:val="lowerLetter"/>
      <w:lvlText w:val="%1)"/>
      <w:lvlJc w:val="left"/>
      <w:pPr>
        <w:ind w:left="1232" w:hanging="432"/>
        <w:jc w:val="left"/>
      </w:pPr>
      <w:rPr>
        <w:rFonts w:ascii="Arial" w:eastAsia="Arial" w:hAnsi="Arial" w:cs="Arial" w:hint="default"/>
        <w:w w:val="100"/>
        <w:sz w:val="18"/>
        <w:szCs w:val="18"/>
        <w:lang w:val="es-ES" w:eastAsia="en-US" w:bidi="ar-SA"/>
      </w:rPr>
    </w:lvl>
    <w:lvl w:ilvl="1" w:tplc="FE78F056">
      <w:numFmt w:val="bullet"/>
      <w:lvlText w:val="•"/>
      <w:lvlJc w:val="left"/>
      <w:pPr>
        <w:ind w:left="2118" w:hanging="432"/>
      </w:pPr>
      <w:rPr>
        <w:rFonts w:hint="default"/>
        <w:lang w:val="es-ES" w:eastAsia="en-US" w:bidi="ar-SA"/>
      </w:rPr>
    </w:lvl>
    <w:lvl w:ilvl="2" w:tplc="C45C6F10">
      <w:numFmt w:val="bullet"/>
      <w:lvlText w:val="•"/>
      <w:lvlJc w:val="left"/>
      <w:pPr>
        <w:ind w:left="2996" w:hanging="432"/>
      </w:pPr>
      <w:rPr>
        <w:rFonts w:hint="default"/>
        <w:lang w:val="es-ES" w:eastAsia="en-US" w:bidi="ar-SA"/>
      </w:rPr>
    </w:lvl>
    <w:lvl w:ilvl="3" w:tplc="3BBE5D5A">
      <w:numFmt w:val="bullet"/>
      <w:lvlText w:val="•"/>
      <w:lvlJc w:val="left"/>
      <w:pPr>
        <w:ind w:left="3874" w:hanging="432"/>
      </w:pPr>
      <w:rPr>
        <w:rFonts w:hint="default"/>
        <w:lang w:val="es-ES" w:eastAsia="en-US" w:bidi="ar-SA"/>
      </w:rPr>
    </w:lvl>
    <w:lvl w:ilvl="4" w:tplc="D24A1868">
      <w:numFmt w:val="bullet"/>
      <w:lvlText w:val="•"/>
      <w:lvlJc w:val="left"/>
      <w:pPr>
        <w:ind w:left="4752" w:hanging="432"/>
      </w:pPr>
      <w:rPr>
        <w:rFonts w:hint="default"/>
        <w:lang w:val="es-ES" w:eastAsia="en-US" w:bidi="ar-SA"/>
      </w:rPr>
    </w:lvl>
    <w:lvl w:ilvl="5" w:tplc="9D5EC492">
      <w:numFmt w:val="bullet"/>
      <w:lvlText w:val="•"/>
      <w:lvlJc w:val="left"/>
      <w:pPr>
        <w:ind w:left="5630" w:hanging="432"/>
      </w:pPr>
      <w:rPr>
        <w:rFonts w:hint="default"/>
        <w:lang w:val="es-ES" w:eastAsia="en-US" w:bidi="ar-SA"/>
      </w:rPr>
    </w:lvl>
    <w:lvl w:ilvl="6" w:tplc="8782E654">
      <w:numFmt w:val="bullet"/>
      <w:lvlText w:val="•"/>
      <w:lvlJc w:val="left"/>
      <w:pPr>
        <w:ind w:left="6508" w:hanging="432"/>
      </w:pPr>
      <w:rPr>
        <w:rFonts w:hint="default"/>
        <w:lang w:val="es-ES" w:eastAsia="en-US" w:bidi="ar-SA"/>
      </w:rPr>
    </w:lvl>
    <w:lvl w:ilvl="7" w:tplc="CFC4509A">
      <w:numFmt w:val="bullet"/>
      <w:lvlText w:val="•"/>
      <w:lvlJc w:val="left"/>
      <w:pPr>
        <w:ind w:left="7386" w:hanging="432"/>
      </w:pPr>
      <w:rPr>
        <w:rFonts w:hint="default"/>
        <w:lang w:val="es-ES" w:eastAsia="en-US" w:bidi="ar-SA"/>
      </w:rPr>
    </w:lvl>
    <w:lvl w:ilvl="8" w:tplc="89C2733E">
      <w:numFmt w:val="bullet"/>
      <w:lvlText w:val="•"/>
      <w:lvlJc w:val="left"/>
      <w:pPr>
        <w:ind w:left="8264" w:hanging="432"/>
      </w:pPr>
      <w:rPr>
        <w:rFonts w:hint="default"/>
        <w:lang w:val="es-ES" w:eastAsia="en-US" w:bidi="ar-SA"/>
      </w:rPr>
    </w:lvl>
  </w:abstractNum>
  <w:abstractNum w:abstractNumId="31" w15:restartNumberingAfterBreak="0">
    <w:nsid w:val="4763771E"/>
    <w:multiLevelType w:val="hybridMultilevel"/>
    <w:tmpl w:val="F62E05CA"/>
    <w:lvl w:ilvl="0" w:tplc="820C7B92">
      <w:numFmt w:val="bullet"/>
      <w:lvlText w:val=""/>
      <w:lvlJc w:val="left"/>
      <w:pPr>
        <w:ind w:left="449" w:hanging="360"/>
      </w:pPr>
      <w:rPr>
        <w:rFonts w:ascii="Symbol" w:eastAsia="Symbol" w:hAnsi="Symbol" w:cs="Symbol" w:hint="default"/>
        <w:w w:val="100"/>
        <w:position w:val="2"/>
        <w:sz w:val="16"/>
        <w:szCs w:val="16"/>
        <w:lang w:val="es-ES" w:eastAsia="en-US" w:bidi="ar-SA"/>
      </w:rPr>
    </w:lvl>
    <w:lvl w:ilvl="1" w:tplc="27822CAA">
      <w:numFmt w:val="bullet"/>
      <w:lvlText w:val="•"/>
      <w:lvlJc w:val="left"/>
      <w:pPr>
        <w:ind w:left="1164" w:hanging="360"/>
      </w:pPr>
      <w:rPr>
        <w:rFonts w:hint="default"/>
        <w:lang w:val="es-ES" w:eastAsia="en-US" w:bidi="ar-SA"/>
      </w:rPr>
    </w:lvl>
    <w:lvl w:ilvl="2" w:tplc="D9F641E8">
      <w:numFmt w:val="bullet"/>
      <w:lvlText w:val="•"/>
      <w:lvlJc w:val="left"/>
      <w:pPr>
        <w:ind w:left="1888" w:hanging="360"/>
      </w:pPr>
      <w:rPr>
        <w:rFonts w:hint="default"/>
        <w:lang w:val="es-ES" w:eastAsia="en-US" w:bidi="ar-SA"/>
      </w:rPr>
    </w:lvl>
    <w:lvl w:ilvl="3" w:tplc="EDE03E4E">
      <w:numFmt w:val="bullet"/>
      <w:lvlText w:val="•"/>
      <w:lvlJc w:val="left"/>
      <w:pPr>
        <w:ind w:left="2612" w:hanging="360"/>
      </w:pPr>
      <w:rPr>
        <w:rFonts w:hint="default"/>
        <w:lang w:val="es-ES" w:eastAsia="en-US" w:bidi="ar-SA"/>
      </w:rPr>
    </w:lvl>
    <w:lvl w:ilvl="4" w:tplc="803AA786">
      <w:numFmt w:val="bullet"/>
      <w:lvlText w:val="•"/>
      <w:lvlJc w:val="left"/>
      <w:pPr>
        <w:ind w:left="3336" w:hanging="360"/>
      </w:pPr>
      <w:rPr>
        <w:rFonts w:hint="default"/>
        <w:lang w:val="es-ES" w:eastAsia="en-US" w:bidi="ar-SA"/>
      </w:rPr>
    </w:lvl>
    <w:lvl w:ilvl="5" w:tplc="534C15EC">
      <w:numFmt w:val="bullet"/>
      <w:lvlText w:val="•"/>
      <w:lvlJc w:val="left"/>
      <w:pPr>
        <w:ind w:left="4060" w:hanging="360"/>
      </w:pPr>
      <w:rPr>
        <w:rFonts w:hint="default"/>
        <w:lang w:val="es-ES" w:eastAsia="en-US" w:bidi="ar-SA"/>
      </w:rPr>
    </w:lvl>
    <w:lvl w:ilvl="6" w:tplc="4A7865CC">
      <w:numFmt w:val="bullet"/>
      <w:lvlText w:val="•"/>
      <w:lvlJc w:val="left"/>
      <w:pPr>
        <w:ind w:left="4784" w:hanging="360"/>
      </w:pPr>
      <w:rPr>
        <w:rFonts w:hint="default"/>
        <w:lang w:val="es-ES" w:eastAsia="en-US" w:bidi="ar-SA"/>
      </w:rPr>
    </w:lvl>
    <w:lvl w:ilvl="7" w:tplc="C4C2F3C0">
      <w:numFmt w:val="bullet"/>
      <w:lvlText w:val="•"/>
      <w:lvlJc w:val="left"/>
      <w:pPr>
        <w:ind w:left="5508" w:hanging="360"/>
      </w:pPr>
      <w:rPr>
        <w:rFonts w:hint="default"/>
        <w:lang w:val="es-ES" w:eastAsia="en-US" w:bidi="ar-SA"/>
      </w:rPr>
    </w:lvl>
    <w:lvl w:ilvl="8" w:tplc="CD7EE062">
      <w:numFmt w:val="bullet"/>
      <w:lvlText w:val="•"/>
      <w:lvlJc w:val="left"/>
      <w:pPr>
        <w:ind w:left="6232" w:hanging="360"/>
      </w:pPr>
      <w:rPr>
        <w:rFonts w:hint="default"/>
        <w:lang w:val="es-ES" w:eastAsia="en-US" w:bidi="ar-SA"/>
      </w:rPr>
    </w:lvl>
  </w:abstractNum>
  <w:abstractNum w:abstractNumId="32" w15:restartNumberingAfterBreak="0">
    <w:nsid w:val="48FE0561"/>
    <w:multiLevelType w:val="hybridMultilevel"/>
    <w:tmpl w:val="047C6F2C"/>
    <w:lvl w:ilvl="0" w:tplc="818427CC">
      <w:numFmt w:val="bullet"/>
      <w:lvlText w:val=""/>
      <w:lvlJc w:val="left"/>
      <w:pPr>
        <w:ind w:left="442" w:hanging="360"/>
      </w:pPr>
      <w:rPr>
        <w:rFonts w:ascii="Symbol" w:eastAsia="Symbol" w:hAnsi="Symbol" w:cs="Symbol" w:hint="default"/>
        <w:w w:val="100"/>
        <w:position w:val="2"/>
        <w:sz w:val="16"/>
        <w:szCs w:val="16"/>
        <w:lang w:val="es-ES" w:eastAsia="en-US" w:bidi="ar-SA"/>
      </w:rPr>
    </w:lvl>
    <w:lvl w:ilvl="1" w:tplc="379471E2">
      <w:numFmt w:val="bullet"/>
      <w:lvlText w:val="•"/>
      <w:lvlJc w:val="left"/>
      <w:pPr>
        <w:ind w:left="1262" w:hanging="360"/>
      </w:pPr>
      <w:rPr>
        <w:rFonts w:hint="default"/>
        <w:lang w:val="es-ES" w:eastAsia="en-US" w:bidi="ar-SA"/>
      </w:rPr>
    </w:lvl>
    <w:lvl w:ilvl="2" w:tplc="5ABE90C0">
      <w:numFmt w:val="bullet"/>
      <w:lvlText w:val="•"/>
      <w:lvlJc w:val="left"/>
      <w:pPr>
        <w:ind w:left="2085" w:hanging="360"/>
      </w:pPr>
      <w:rPr>
        <w:rFonts w:hint="default"/>
        <w:lang w:val="es-ES" w:eastAsia="en-US" w:bidi="ar-SA"/>
      </w:rPr>
    </w:lvl>
    <w:lvl w:ilvl="3" w:tplc="9F28536A">
      <w:numFmt w:val="bullet"/>
      <w:lvlText w:val="•"/>
      <w:lvlJc w:val="left"/>
      <w:pPr>
        <w:ind w:left="2908" w:hanging="360"/>
      </w:pPr>
      <w:rPr>
        <w:rFonts w:hint="default"/>
        <w:lang w:val="es-ES" w:eastAsia="en-US" w:bidi="ar-SA"/>
      </w:rPr>
    </w:lvl>
    <w:lvl w:ilvl="4" w:tplc="66BEEC44">
      <w:numFmt w:val="bullet"/>
      <w:lvlText w:val="•"/>
      <w:lvlJc w:val="left"/>
      <w:pPr>
        <w:ind w:left="3731" w:hanging="360"/>
      </w:pPr>
      <w:rPr>
        <w:rFonts w:hint="default"/>
        <w:lang w:val="es-ES" w:eastAsia="en-US" w:bidi="ar-SA"/>
      </w:rPr>
    </w:lvl>
    <w:lvl w:ilvl="5" w:tplc="72BABBD4">
      <w:numFmt w:val="bullet"/>
      <w:lvlText w:val="•"/>
      <w:lvlJc w:val="left"/>
      <w:pPr>
        <w:ind w:left="4554" w:hanging="360"/>
      </w:pPr>
      <w:rPr>
        <w:rFonts w:hint="default"/>
        <w:lang w:val="es-ES" w:eastAsia="en-US" w:bidi="ar-SA"/>
      </w:rPr>
    </w:lvl>
    <w:lvl w:ilvl="6" w:tplc="3CCCD492">
      <w:numFmt w:val="bullet"/>
      <w:lvlText w:val="•"/>
      <w:lvlJc w:val="left"/>
      <w:pPr>
        <w:ind w:left="5376" w:hanging="360"/>
      </w:pPr>
      <w:rPr>
        <w:rFonts w:hint="default"/>
        <w:lang w:val="es-ES" w:eastAsia="en-US" w:bidi="ar-SA"/>
      </w:rPr>
    </w:lvl>
    <w:lvl w:ilvl="7" w:tplc="5AF00026">
      <w:numFmt w:val="bullet"/>
      <w:lvlText w:val="•"/>
      <w:lvlJc w:val="left"/>
      <w:pPr>
        <w:ind w:left="6199" w:hanging="360"/>
      </w:pPr>
      <w:rPr>
        <w:rFonts w:hint="default"/>
        <w:lang w:val="es-ES" w:eastAsia="en-US" w:bidi="ar-SA"/>
      </w:rPr>
    </w:lvl>
    <w:lvl w:ilvl="8" w:tplc="E98092F8">
      <w:numFmt w:val="bullet"/>
      <w:lvlText w:val="•"/>
      <w:lvlJc w:val="left"/>
      <w:pPr>
        <w:ind w:left="7022" w:hanging="360"/>
      </w:pPr>
      <w:rPr>
        <w:rFonts w:hint="default"/>
        <w:lang w:val="es-ES" w:eastAsia="en-US" w:bidi="ar-SA"/>
      </w:rPr>
    </w:lvl>
  </w:abstractNum>
  <w:abstractNum w:abstractNumId="33" w15:restartNumberingAfterBreak="0">
    <w:nsid w:val="4C912944"/>
    <w:multiLevelType w:val="hybridMultilevel"/>
    <w:tmpl w:val="AE580068"/>
    <w:lvl w:ilvl="0" w:tplc="1422B17E">
      <w:start w:val="1"/>
      <w:numFmt w:val="lowerLetter"/>
      <w:lvlText w:val="%1."/>
      <w:lvlJc w:val="left"/>
      <w:pPr>
        <w:ind w:left="1232" w:hanging="432"/>
        <w:jc w:val="left"/>
      </w:pPr>
      <w:rPr>
        <w:rFonts w:ascii="Arial" w:eastAsia="Arial" w:hAnsi="Arial" w:cs="Arial" w:hint="default"/>
        <w:b/>
        <w:bCs/>
        <w:spacing w:val="-10"/>
        <w:w w:val="100"/>
        <w:sz w:val="18"/>
        <w:szCs w:val="18"/>
        <w:lang w:val="es-ES" w:eastAsia="en-US" w:bidi="ar-SA"/>
      </w:rPr>
    </w:lvl>
    <w:lvl w:ilvl="1" w:tplc="D108A14E">
      <w:numFmt w:val="bullet"/>
      <w:lvlText w:val="•"/>
      <w:lvlJc w:val="left"/>
      <w:pPr>
        <w:ind w:left="2118" w:hanging="432"/>
      </w:pPr>
      <w:rPr>
        <w:rFonts w:hint="default"/>
        <w:lang w:val="es-ES" w:eastAsia="en-US" w:bidi="ar-SA"/>
      </w:rPr>
    </w:lvl>
    <w:lvl w:ilvl="2" w:tplc="BA26BE84">
      <w:numFmt w:val="bullet"/>
      <w:lvlText w:val="•"/>
      <w:lvlJc w:val="left"/>
      <w:pPr>
        <w:ind w:left="2996" w:hanging="432"/>
      </w:pPr>
      <w:rPr>
        <w:rFonts w:hint="default"/>
        <w:lang w:val="es-ES" w:eastAsia="en-US" w:bidi="ar-SA"/>
      </w:rPr>
    </w:lvl>
    <w:lvl w:ilvl="3" w:tplc="3D649582">
      <w:numFmt w:val="bullet"/>
      <w:lvlText w:val="•"/>
      <w:lvlJc w:val="left"/>
      <w:pPr>
        <w:ind w:left="3874" w:hanging="432"/>
      </w:pPr>
      <w:rPr>
        <w:rFonts w:hint="default"/>
        <w:lang w:val="es-ES" w:eastAsia="en-US" w:bidi="ar-SA"/>
      </w:rPr>
    </w:lvl>
    <w:lvl w:ilvl="4" w:tplc="439C3212">
      <w:numFmt w:val="bullet"/>
      <w:lvlText w:val="•"/>
      <w:lvlJc w:val="left"/>
      <w:pPr>
        <w:ind w:left="4752" w:hanging="432"/>
      </w:pPr>
      <w:rPr>
        <w:rFonts w:hint="default"/>
        <w:lang w:val="es-ES" w:eastAsia="en-US" w:bidi="ar-SA"/>
      </w:rPr>
    </w:lvl>
    <w:lvl w:ilvl="5" w:tplc="6A6E6300">
      <w:numFmt w:val="bullet"/>
      <w:lvlText w:val="•"/>
      <w:lvlJc w:val="left"/>
      <w:pPr>
        <w:ind w:left="5630" w:hanging="432"/>
      </w:pPr>
      <w:rPr>
        <w:rFonts w:hint="default"/>
        <w:lang w:val="es-ES" w:eastAsia="en-US" w:bidi="ar-SA"/>
      </w:rPr>
    </w:lvl>
    <w:lvl w:ilvl="6" w:tplc="90A46400">
      <w:numFmt w:val="bullet"/>
      <w:lvlText w:val="•"/>
      <w:lvlJc w:val="left"/>
      <w:pPr>
        <w:ind w:left="6508" w:hanging="432"/>
      </w:pPr>
      <w:rPr>
        <w:rFonts w:hint="default"/>
        <w:lang w:val="es-ES" w:eastAsia="en-US" w:bidi="ar-SA"/>
      </w:rPr>
    </w:lvl>
    <w:lvl w:ilvl="7" w:tplc="B31CDC58">
      <w:numFmt w:val="bullet"/>
      <w:lvlText w:val="•"/>
      <w:lvlJc w:val="left"/>
      <w:pPr>
        <w:ind w:left="7386" w:hanging="432"/>
      </w:pPr>
      <w:rPr>
        <w:rFonts w:hint="default"/>
        <w:lang w:val="es-ES" w:eastAsia="en-US" w:bidi="ar-SA"/>
      </w:rPr>
    </w:lvl>
    <w:lvl w:ilvl="8" w:tplc="D166B916">
      <w:numFmt w:val="bullet"/>
      <w:lvlText w:val="•"/>
      <w:lvlJc w:val="left"/>
      <w:pPr>
        <w:ind w:left="8264" w:hanging="432"/>
      </w:pPr>
      <w:rPr>
        <w:rFonts w:hint="default"/>
        <w:lang w:val="es-ES" w:eastAsia="en-US" w:bidi="ar-SA"/>
      </w:rPr>
    </w:lvl>
  </w:abstractNum>
  <w:abstractNum w:abstractNumId="34" w15:restartNumberingAfterBreak="0">
    <w:nsid w:val="4CCD1279"/>
    <w:multiLevelType w:val="multilevel"/>
    <w:tmpl w:val="916C5B66"/>
    <w:lvl w:ilvl="0">
      <w:start w:val="5"/>
      <w:numFmt w:val="decimal"/>
      <w:lvlText w:val="%1."/>
      <w:lvlJc w:val="left"/>
      <w:pPr>
        <w:ind w:left="1232" w:hanging="432"/>
        <w:jc w:val="left"/>
      </w:pPr>
      <w:rPr>
        <w:rFonts w:hint="default"/>
        <w:b/>
        <w:bCs/>
        <w:spacing w:val="-19"/>
        <w:w w:val="100"/>
        <w:lang w:val="es-ES" w:eastAsia="en-US" w:bidi="ar-SA"/>
      </w:rPr>
    </w:lvl>
    <w:lvl w:ilvl="1">
      <w:start w:val="1"/>
      <w:numFmt w:val="decimal"/>
      <w:lvlText w:val="%1.%2"/>
      <w:lvlJc w:val="left"/>
      <w:pPr>
        <w:ind w:left="1100" w:hanging="301"/>
        <w:jc w:val="left"/>
      </w:pPr>
      <w:rPr>
        <w:rFonts w:ascii="Arial" w:eastAsia="Arial" w:hAnsi="Arial" w:cs="Arial" w:hint="default"/>
        <w:b/>
        <w:bCs/>
        <w:spacing w:val="-1"/>
        <w:w w:val="100"/>
        <w:sz w:val="18"/>
        <w:szCs w:val="18"/>
        <w:lang w:val="es-ES" w:eastAsia="en-US" w:bidi="ar-SA"/>
      </w:rPr>
    </w:lvl>
    <w:lvl w:ilvl="2">
      <w:start w:val="1"/>
      <w:numFmt w:val="decimal"/>
      <w:lvlText w:val="%1.%2.%3"/>
      <w:lvlJc w:val="left"/>
      <w:pPr>
        <w:ind w:left="1250" w:hanging="451"/>
        <w:jc w:val="left"/>
      </w:pPr>
      <w:rPr>
        <w:rFonts w:ascii="Arial" w:eastAsia="Arial" w:hAnsi="Arial" w:cs="Arial" w:hint="default"/>
        <w:b/>
        <w:bCs/>
        <w:spacing w:val="-1"/>
        <w:w w:val="100"/>
        <w:sz w:val="18"/>
        <w:szCs w:val="18"/>
        <w:lang w:val="es-ES" w:eastAsia="en-US" w:bidi="ar-SA"/>
      </w:rPr>
    </w:lvl>
    <w:lvl w:ilvl="3">
      <w:numFmt w:val="bullet"/>
      <w:lvlText w:val="•"/>
      <w:lvlJc w:val="left"/>
      <w:pPr>
        <w:ind w:left="1260" w:hanging="451"/>
      </w:pPr>
      <w:rPr>
        <w:rFonts w:hint="default"/>
        <w:lang w:val="es-ES" w:eastAsia="en-US" w:bidi="ar-SA"/>
      </w:rPr>
    </w:lvl>
    <w:lvl w:ilvl="4">
      <w:numFmt w:val="bullet"/>
      <w:lvlText w:val="•"/>
      <w:lvlJc w:val="left"/>
      <w:pPr>
        <w:ind w:left="2511" w:hanging="451"/>
      </w:pPr>
      <w:rPr>
        <w:rFonts w:hint="default"/>
        <w:lang w:val="es-ES" w:eastAsia="en-US" w:bidi="ar-SA"/>
      </w:rPr>
    </w:lvl>
    <w:lvl w:ilvl="5">
      <w:numFmt w:val="bullet"/>
      <w:lvlText w:val="•"/>
      <w:lvlJc w:val="left"/>
      <w:pPr>
        <w:ind w:left="3762" w:hanging="451"/>
      </w:pPr>
      <w:rPr>
        <w:rFonts w:hint="default"/>
        <w:lang w:val="es-ES" w:eastAsia="en-US" w:bidi="ar-SA"/>
      </w:rPr>
    </w:lvl>
    <w:lvl w:ilvl="6">
      <w:numFmt w:val="bullet"/>
      <w:lvlText w:val="•"/>
      <w:lvlJc w:val="left"/>
      <w:pPr>
        <w:ind w:left="5014" w:hanging="451"/>
      </w:pPr>
      <w:rPr>
        <w:rFonts w:hint="default"/>
        <w:lang w:val="es-ES" w:eastAsia="en-US" w:bidi="ar-SA"/>
      </w:rPr>
    </w:lvl>
    <w:lvl w:ilvl="7">
      <w:numFmt w:val="bullet"/>
      <w:lvlText w:val="•"/>
      <w:lvlJc w:val="left"/>
      <w:pPr>
        <w:ind w:left="6265" w:hanging="451"/>
      </w:pPr>
      <w:rPr>
        <w:rFonts w:hint="default"/>
        <w:lang w:val="es-ES" w:eastAsia="en-US" w:bidi="ar-SA"/>
      </w:rPr>
    </w:lvl>
    <w:lvl w:ilvl="8">
      <w:numFmt w:val="bullet"/>
      <w:lvlText w:val="•"/>
      <w:lvlJc w:val="left"/>
      <w:pPr>
        <w:ind w:left="7517" w:hanging="451"/>
      </w:pPr>
      <w:rPr>
        <w:rFonts w:hint="default"/>
        <w:lang w:val="es-ES" w:eastAsia="en-US" w:bidi="ar-SA"/>
      </w:rPr>
    </w:lvl>
  </w:abstractNum>
  <w:abstractNum w:abstractNumId="35" w15:restartNumberingAfterBreak="0">
    <w:nsid w:val="4E001F24"/>
    <w:multiLevelType w:val="hybridMultilevel"/>
    <w:tmpl w:val="CC905DE2"/>
    <w:lvl w:ilvl="0" w:tplc="12685F22">
      <w:start w:val="1"/>
      <w:numFmt w:val="lowerLetter"/>
      <w:lvlText w:val="%1)"/>
      <w:lvlJc w:val="left"/>
      <w:pPr>
        <w:ind w:left="1218" w:hanging="419"/>
        <w:jc w:val="left"/>
      </w:pPr>
      <w:rPr>
        <w:rFonts w:ascii="Arial" w:eastAsia="Arial" w:hAnsi="Arial" w:cs="Arial" w:hint="default"/>
        <w:b/>
        <w:bCs/>
        <w:i/>
        <w:spacing w:val="-7"/>
        <w:w w:val="100"/>
        <w:sz w:val="18"/>
        <w:szCs w:val="18"/>
        <w:lang w:val="es-ES" w:eastAsia="en-US" w:bidi="ar-SA"/>
      </w:rPr>
    </w:lvl>
    <w:lvl w:ilvl="1" w:tplc="27E262E2">
      <w:numFmt w:val="bullet"/>
      <w:lvlText w:val="•"/>
      <w:lvlJc w:val="left"/>
      <w:pPr>
        <w:ind w:left="2100" w:hanging="419"/>
      </w:pPr>
      <w:rPr>
        <w:rFonts w:hint="default"/>
        <w:lang w:val="es-ES" w:eastAsia="en-US" w:bidi="ar-SA"/>
      </w:rPr>
    </w:lvl>
    <w:lvl w:ilvl="2" w:tplc="DE12DE74">
      <w:numFmt w:val="bullet"/>
      <w:lvlText w:val="•"/>
      <w:lvlJc w:val="left"/>
      <w:pPr>
        <w:ind w:left="2980" w:hanging="419"/>
      </w:pPr>
      <w:rPr>
        <w:rFonts w:hint="default"/>
        <w:lang w:val="es-ES" w:eastAsia="en-US" w:bidi="ar-SA"/>
      </w:rPr>
    </w:lvl>
    <w:lvl w:ilvl="3" w:tplc="82D48F64">
      <w:numFmt w:val="bullet"/>
      <w:lvlText w:val="•"/>
      <w:lvlJc w:val="left"/>
      <w:pPr>
        <w:ind w:left="3860" w:hanging="419"/>
      </w:pPr>
      <w:rPr>
        <w:rFonts w:hint="default"/>
        <w:lang w:val="es-ES" w:eastAsia="en-US" w:bidi="ar-SA"/>
      </w:rPr>
    </w:lvl>
    <w:lvl w:ilvl="4" w:tplc="7778D76E">
      <w:numFmt w:val="bullet"/>
      <w:lvlText w:val="•"/>
      <w:lvlJc w:val="left"/>
      <w:pPr>
        <w:ind w:left="4740" w:hanging="419"/>
      </w:pPr>
      <w:rPr>
        <w:rFonts w:hint="default"/>
        <w:lang w:val="es-ES" w:eastAsia="en-US" w:bidi="ar-SA"/>
      </w:rPr>
    </w:lvl>
    <w:lvl w:ilvl="5" w:tplc="4C688A6A">
      <w:numFmt w:val="bullet"/>
      <w:lvlText w:val="•"/>
      <w:lvlJc w:val="left"/>
      <w:pPr>
        <w:ind w:left="5620" w:hanging="419"/>
      </w:pPr>
      <w:rPr>
        <w:rFonts w:hint="default"/>
        <w:lang w:val="es-ES" w:eastAsia="en-US" w:bidi="ar-SA"/>
      </w:rPr>
    </w:lvl>
    <w:lvl w:ilvl="6" w:tplc="865AAE40">
      <w:numFmt w:val="bullet"/>
      <w:lvlText w:val="•"/>
      <w:lvlJc w:val="left"/>
      <w:pPr>
        <w:ind w:left="6500" w:hanging="419"/>
      </w:pPr>
      <w:rPr>
        <w:rFonts w:hint="default"/>
        <w:lang w:val="es-ES" w:eastAsia="en-US" w:bidi="ar-SA"/>
      </w:rPr>
    </w:lvl>
    <w:lvl w:ilvl="7" w:tplc="4DD44DDC">
      <w:numFmt w:val="bullet"/>
      <w:lvlText w:val="•"/>
      <w:lvlJc w:val="left"/>
      <w:pPr>
        <w:ind w:left="7380" w:hanging="419"/>
      </w:pPr>
      <w:rPr>
        <w:rFonts w:hint="default"/>
        <w:lang w:val="es-ES" w:eastAsia="en-US" w:bidi="ar-SA"/>
      </w:rPr>
    </w:lvl>
    <w:lvl w:ilvl="8" w:tplc="780256E2">
      <w:numFmt w:val="bullet"/>
      <w:lvlText w:val="•"/>
      <w:lvlJc w:val="left"/>
      <w:pPr>
        <w:ind w:left="8260" w:hanging="419"/>
      </w:pPr>
      <w:rPr>
        <w:rFonts w:hint="default"/>
        <w:lang w:val="es-ES" w:eastAsia="en-US" w:bidi="ar-SA"/>
      </w:rPr>
    </w:lvl>
  </w:abstractNum>
  <w:abstractNum w:abstractNumId="36" w15:restartNumberingAfterBreak="0">
    <w:nsid w:val="538D0CAD"/>
    <w:multiLevelType w:val="hybridMultilevel"/>
    <w:tmpl w:val="109CA244"/>
    <w:lvl w:ilvl="0" w:tplc="7A326594">
      <w:start w:val="1"/>
      <w:numFmt w:val="decimal"/>
      <w:lvlText w:val="%1"/>
      <w:lvlJc w:val="left"/>
      <w:pPr>
        <w:ind w:left="298" w:hanging="179"/>
        <w:jc w:val="left"/>
      </w:pPr>
      <w:rPr>
        <w:rFonts w:hint="default"/>
        <w:w w:val="102"/>
        <w:position w:val="4"/>
        <w:lang w:val="es-ES" w:eastAsia="en-US" w:bidi="ar-SA"/>
      </w:rPr>
    </w:lvl>
    <w:lvl w:ilvl="1" w:tplc="52C854FA">
      <w:numFmt w:val="bullet"/>
      <w:lvlText w:val=""/>
      <w:lvlJc w:val="left"/>
      <w:pPr>
        <w:ind w:left="1220" w:hanging="420"/>
      </w:pPr>
      <w:rPr>
        <w:rFonts w:ascii="Symbol" w:eastAsia="Symbol" w:hAnsi="Symbol" w:cs="Symbol" w:hint="default"/>
        <w:w w:val="100"/>
        <w:position w:val="4"/>
        <w:sz w:val="18"/>
        <w:szCs w:val="18"/>
        <w:lang w:val="es-ES" w:eastAsia="en-US" w:bidi="ar-SA"/>
      </w:rPr>
    </w:lvl>
    <w:lvl w:ilvl="2" w:tplc="92C4D040">
      <w:numFmt w:val="bullet"/>
      <w:lvlText w:val="•"/>
      <w:lvlJc w:val="left"/>
      <w:pPr>
        <w:ind w:left="1240" w:hanging="420"/>
      </w:pPr>
      <w:rPr>
        <w:rFonts w:hint="default"/>
        <w:lang w:val="es-ES" w:eastAsia="en-US" w:bidi="ar-SA"/>
      </w:rPr>
    </w:lvl>
    <w:lvl w:ilvl="3" w:tplc="B54C9FA8">
      <w:numFmt w:val="bullet"/>
      <w:lvlText w:val="•"/>
      <w:lvlJc w:val="left"/>
      <w:pPr>
        <w:ind w:left="2337" w:hanging="420"/>
      </w:pPr>
      <w:rPr>
        <w:rFonts w:hint="default"/>
        <w:lang w:val="es-ES" w:eastAsia="en-US" w:bidi="ar-SA"/>
      </w:rPr>
    </w:lvl>
    <w:lvl w:ilvl="4" w:tplc="8886F532">
      <w:numFmt w:val="bullet"/>
      <w:lvlText w:val="•"/>
      <w:lvlJc w:val="left"/>
      <w:pPr>
        <w:ind w:left="3435" w:hanging="420"/>
      </w:pPr>
      <w:rPr>
        <w:rFonts w:hint="default"/>
        <w:lang w:val="es-ES" w:eastAsia="en-US" w:bidi="ar-SA"/>
      </w:rPr>
    </w:lvl>
    <w:lvl w:ilvl="5" w:tplc="2342FD5C">
      <w:numFmt w:val="bullet"/>
      <w:lvlText w:val="•"/>
      <w:lvlJc w:val="left"/>
      <w:pPr>
        <w:ind w:left="4532" w:hanging="420"/>
      </w:pPr>
      <w:rPr>
        <w:rFonts w:hint="default"/>
        <w:lang w:val="es-ES" w:eastAsia="en-US" w:bidi="ar-SA"/>
      </w:rPr>
    </w:lvl>
    <w:lvl w:ilvl="6" w:tplc="61A688D8">
      <w:numFmt w:val="bullet"/>
      <w:lvlText w:val="•"/>
      <w:lvlJc w:val="left"/>
      <w:pPr>
        <w:ind w:left="5630" w:hanging="420"/>
      </w:pPr>
      <w:rPr>
        <w:rFonts w:hint="default"/>
        <w:lang w:val="es-ES" w:eastAsia="en-US" w:bidi="ar-SA"/>
      </w:rPr>
    </w:lvl>
    <w:lvl w:ilvl="7" w:tplc="45C8723A">
      <w:numFmt w:val="bullet"/>
      <w:lvlText w:val="•"/>
      <w:lvlJc w:val="left"/>
      <w:pPr>
        <w:ind w:left="6727" w:hanging="420"/>
      </w:pPr>
      <w:rPr>
        <w:rFonts w:hint="default"/>
        <w:lang w:val="es-ES" w:eastAsia="en-US" w:bidi="ar-SA"/>
      </w:rPr>
    </w:lvl>
    <w:lvl w:ilvl="8" w:tplc="B4EC796A">
      <w:numFmt w:val="bullet"/>
      <w:lvlText w:val="•"/>
      <w:lvlJc w:val="left"/>
      <w:pPr>
        <w:ind w:left="7825" w:hanging="420"/>
      </w:pPr>
      <w:rPr>
        <w:rFonts w:hint="default"/>
        <w:lang w:val="es-ES" w:eastAsia="en-US" w:bidi="ar-SA"/>
      </w:rPr>
    </w:lvl>
  </w:abstractNum>
  <w:abstractNum w:abstractNumId="37" w15:restartNumberingAfterBreak="0">
    <w:nsid w:val="53930793"/>
    <w:multiLevelType w:val="hybridMultilevel"/>
    <w:tmpl w:val="9C4CB9CC"/>
    <w:lvl w:ilvl="0" w:tplc="6A304748">
      <w:start w:val="1"/>
      <w:numFmt w:val="decimal"/>
      <w:lvlText w:val="%1."/>
      <w:lvlJc w:val="left"/>
      <w:pPr>
        <w:ind w:left="82" w:hanging="183"/>
        <w:jc w:val="left"/>
      </w:pPr>
      <w:rPr>
        <w:rFonts w:ascii="Arial" w:eastAsia="Arial" w:hAnsi="Arial" w:cs="Arial" w:hint="default"/>
        <w:b/>
        <w:bCs/>
        <w:spacing w:val="-1"/>
        <w:w w:val="100"/>
        <w:sz w:val="16"/>
        <w:szCs w:val="16"/>
        <w:lang w:val="es-ES" w:eastAsia="en-US" w:bidi="ar-SA"/>
      </w:rPr>
    </w:lvl>
    <w:lvl w:ilvl="1" w:tplc="E5C086EA">
      <w:numFmt w:val="bullet"/>
      <w:lvlText w:val="•"/>
      <w:lvlJc w:val="left"/>
      <w:pPr>
        <w:ind w:left="938" w:hanging="183"/>
      </w:pPr>
      <w:rPr>
        <w:rFonts w:hint="default"/>
        <w:lang w:val="es-ES" w:eastAsia="en-US" w:bidi="ar-SA"/>
      </w:rPr>
    </w:lvl>
    <w:lvl w:ilvl="2" w:tplc="53FC39FA">
      <w:numFmt w:val="bullet"/>
      <w:lvlText w:val="•"/>
      <w:lvlJc w:val="left"/>
      <w:pPr>
        <w:ind w:left="1797" w:hanging="183"/>
      </w:pPr>
      <w:rPr>
        <w:rFonts w:hint="default"/>
        <w:lang w:val="es-ES" w:eastAsia="en-US" w:bidi="ar-SA"/>
      </w:rPr>
    </w:lvl>
    <w:lvl w:ilvl="3" w:tplc="8C92214A">
      <w:numFmt w:val="bullet"/>
      <w:lvlText w:val="•"/>
      <w:lvlJc w:val="left"/>
      <w:pPr>
        <w:ind w:left="2656" w:hanging="183"/>
      </w:pPr>
      <w:rPr>
        <w:rFonts w:hint="default"/>
        <w:lang w:val="es-ES" w:eastAsia="en-US" w:bidi="ar-SA"/>
      </w:rPr>
    </w:lvl>
    <w:lvl w:ilvl="4" w:tplc="9F9CD512">
      <w:numFmt w:val="bullet"/>
      <w:lvlText w:val="•"/>
      <w:lvlJc w:val="left"/>
      <w:pPr>
        <w:ind w:left="3515" w:hanging="183"/>
      </w:pPr>
      <w:rPr>
        <w:rFonts w:hint="default"/>
        <w:lang w:val="es-ES" w:eastAsia="en-US" w:bidi="ar-SA"/>
      </w:rPr>
    </w:lvl>
    <w:lvl w:ilvl="5" w:tplc="B7608F94">
      <w:numFmt w:val="bullet"/>
      <w:lvlText w:val="•"/>
      <w:lvlJc w:val="left"/>
      <w:pPr>
        <w:ind w:left="4374" w:hanging="183"/>
      </w:pPr>
      <w:rPr>
        <w:rFonts w:hint="default"/>
        <w:lang w:val="es-ES" w:eastAsia="en-US" w:bidi="ar-SA"/>
      </w:rPr>
    </w:lvl>
    <w:lvl w:ilvl="6" w:tplc="909077DA">
      <w:numFmt w:val="bullet"/>
      <w:lvlText w:val="•"/>
      <w:lvlJc w:val="left"/>
      <w:pPr>
        <w:ind w:left="5232" w:hanging="183"/>
      </w:pPr>
      <w:rPr>
        <w:rFonts w:hint="default"/>
        <w:lang w:val="es-ES" w:eastAsia="en-US" w:bidi="ar-SA"/>
      </w:rPr>
    </w:lvl>
    <w:lvl w:ilvl="7" w:tplc="6BBC6B5A">
      <w:numFmt w:val="bullet"/>
      <w:lvlText w:val="•"/>
      <w:lvlJc w:val="left"/>
      <w:pPr>
        <w:ind w:left="6091" w:hanging="183"/>
      </w:pPr>
      <w:rPr>
        <w:rFonts w:hint="default"/>
        <w:lang w:val="es-ES" w:eastAsia="en-US" w:bidi="ar-SA"/>
      </w:rPr>
    </w:lvl>
    <w:lvl w:ilvl="8" w:tplc="B80C5006">
      <w:numFmt w:val="bullet"/>
      <w:lvlText w:val="•"/>
      <w:lvlJc w:val="left"/>
      <w:pPr>
        <w:ind w:left="6950" w:hanging="183"/>
      </w:pPr>
      <w:rPr>
        <w:rFonts w:hint="default"/>
        <w:lang w:val="es-ES" w:eastAsia="en-US" w:bidi="ar-SA"/>
      </w:rPr>
    </w:lvl>
  </w:abstractNum>
  <w:abstractNum w:abstractNumId="38" w15:restartNumberingAfterBreak="0">
    <w:nsid w:val="55295674"/>
    <w:multiLevelType w:val="hybridMultilevel"/>
    <w:tmpl w:val="D54C8452"/>
    <w:lvl w:ilvl="0" w:tplc="C288577E">
      <w:numFmt w:val="bullet"/>
      <w:lvlText w:val=""/>
      <w:lvlJc w:val="left"/>
      <w:pPr>
        <w:ind w:left="449" w:hanging="360"/>
      </w:pPr>
      <w:rPr>
        <w:rFonts w:ascii="Symbol" w:eastAsia="Symbol" w:hAnsi="Symbol" w:cs="Symbol" w:hint="default"/>
        <w:w w:val="100"/>
        <w:position w:val="2"/>
        <w:sz w:val="16"/>
        <w:szCs w:val="16"/>
        <w:lang w:val="es-ES" w:eastAsia="en-US" w:bidi="ar-SA"/>
      </w:rPr>
    </w:lvl>
    <w:lvl w:ilvl="1" w:tplc="DCA6855C">
      <w:numFmt w:val="bullet"/>
      <w:lvlText w:val="•"/>
      <w:lvlJc w:val="left"/>
      <w:pPr>
        <w:ind w:left="1164" w:hanging="360"/>
      </w:pPr>
      <w:rPr>
        <w:rFonts w:hint="default"/>
        <w:lang w:val="es-ES" w:eastAsia="en-US" w:bidi="ar-SA"/>
      </w:rPr>
    </w:lvl>
    <w:lvl w:ilvl="2" w:tplc="952E96BA">
      <w:numFmt w:val="bullet"/>
      <w:lvlText w:val="•"/>
      <w:lvlJc w:val="left"/>
      <w:pPr>
        <w:ind w:left="1888" w:hanging="360"/>
      </w:pPr>
      <w:rPr>
        <w:rFonts w:hint="default"/>
        <w:lang w:val="es-ES" w:eastAsia="en-US" w:bidi="ar-SA"/>
      </w:rPr>
    </w:lvl>
    <w:lvl w:ilvl="3" w:tplc="F528A010">
      <w:numFmt w:val="bullet"/>
      <w:lvlText w:val="•"/>
      <w:lvlJc w:val="left"/>
      <w:pPr>
        <w:ind w:left="2612" w:hanging="360"/>
      </w:pPr>
      <w:rPr>
        <w:rFonts w:hint="default"/>
        <w:lang w:val="es-ES" w:eastAsia="en-US" w:bidi="ar-SA"/>
      </w:rPr>
    </w:lvl>
    <w:lvl w:ilvl="4" w:tplc="F560F6EA">
      <w:numFmt w:val="bullet"/>
      <w:lvlText w:val="•"/>
      <w:lvlJc w:val="left"/>
      <w:pPr>
        <w:ind w:left="3336" w:hanging="360"/>
      </w:pPr>
      <w:rPr>
        <w:rFonts w:hint="default"/>
        <w:lang w:val="es-ES" w:eastAsia="en-US" w:bidi="ar-SA"/>
      </w:rPr>
    </w:lvl>
    <w:lvl w:ilvl="5" w:tplc="313C3274">
      <w:numFmt w:val="bullet"/>
      <w:lvlText w:val="•"/>
      <w:lvlJc w:val="left"/>
      <w:pPr>
        <w:ind w:left="4060" w:hanging="360"/>
      </w:pPr>
      <w:rPr>
        <w:rFonts w:hint="default"/>
        <w:lang w:val="es-ES" w:eastAsia="en-US" w:bidi="ar-SA"/>
      </w:rPr>
    </w:lvl>
    <w:lvl w:ilvl="6" w:tplc="EC2624EC">
      <w:numFmt w:val="bullet"/>
      <w:lvlText w:val="•"/>
      <w:lvlJc w:val="left"/>
      <w:pPr>
        <w:ind w:left="4784" w:hanging="360"/>
      </w:pPr>
      <w:rPr>
        <w:rFonts w:hint="default"/>
        <w:lang w:val="es-ES" w:eastAsia="en-US" w:bidi="ar-SA"/>
      </w:rPr>
    </w:lvl>
    <w:lvl w:ilvl="7" w:tplc="FBF6ACA4">
      <w:numFmt w:val="bullet"/>
      <w:lvlText w:val="•"/>
      <w:lvlJc w:val="left"/>
      <w:pPr>
        <w:ind w:left="5508" w:hanging="360"/>
      </w:pPr>
      <w:rPr>
        <w:rFonts w:hint="default"/>
        <w:lang w:val="es-ES" w:eastAsia="en-US" w:bidi="ar-SA"/>
      </w:rPr>
    </w:lvl>
    <w:lvl w:ilvl="8" w:tplc="8F16A010">
      <w:numFmt w:val="bullet"/>
      <w:lvlText w:val="•"/>
      <w:lvlJc w:val="left"/>
      <w:pPr>
        <w:ind w:left="6232" w:hanging="360"/>
      </w:pPr>
      <w:rPr>
        <w:rFonts w:hint="default"/>
        <w:lang w:val="es-ES" w:eastAsia="en-US" w:bidi="ar-SA"/>
      </w:rPr>
    </w:lvl>
  </w:abstractNum>
  <w:abstractNum w:abstractNumId="39" w15:restartNumberingAfterBreak="0">
    <w:nsid w:val="574944A6"/>
    <w:multiLevelType w:val="hybridMultilevel"/>
    <w:tmpl w:val="A6520496"/>
    <w:lvl w:ilvl="0" w:tplc="6A5A7F9E">
      <w:start w:val="1"/>
      <w:numFmt w:val="lowerLetter"/>
      <w:lvlText w:val="%1."/>
      <w:lvlJc w:val="left"/>
      <w:pPr>
        <w:ind w:left="1600" w:hanging="360"/>
        <w:jc w:val="left"/>
      </w:pPr>
      <w:rPr>
        <w:rFonts w:ascii="Arial" w:eastAsia="Arial" w:hAnsi="Arial" w:cs="Arial" w:hint="default"/>
        <w:spacing w:val="-14"/>
        <w:w w:val="100"/>
        <w:sz w:val="18"/>
        <w:szCs w:val="18"/>
        <w:lang w:val="es-ES" w:eastAsia="en-US" w:bidi="ar-SA"/>
      </w:rPr>
    </w:lvl>
    <w:lvl w:ilvl="1" w:tplc="67BC1CAA">
      <w:numFmt w:val="bullet"/>
      <w:lvlText w:val="•"/>
      <w:lvlJc w:val="left"/>
      <w:pPr>
        <w:ind w:left="2442" w:hanging="360"/>
      </w:pPr>
      <w:rPr>
        <w:rFonts w:hint="default"/>
        <w:lang w:val="es-ES" w:eastAsia="en-US" w:bidi="ar-SA"/>
      </w:rPr>
    </w:lvl>
    <w:lvl w:ilvl="2" w:tplc="EC8096BC">
      <w:numFmt w:val="bullet"/>
      <w:lvlText w:val="•"/>
      <w:lvlJc w:val="left"/>
      <w:pPr>
        <w:ind w:left="3284" w:hanging="360"/>
      </w:pPr>
      <w:rPr>
        <w:rFonts w:hint="default"/>
        <w:lang w:val="es-ES" w:eastAsia="en-US" w:bidi="ar-SA"/>
      </w:rPr>
    </w:lvl>
    <w:lvl w:ilvl="3" w:tplc="506EDA6E">
      <w:numFmt w:val="bullet"/>
      <w:lvlText w:val="•"/>
      <w:lvlJc w:val="left"/>
      <w:pPr>
        <w:ind w:left="4126" w:hanging="360"/>
      </w:pPr>
      <w:rPr>
        <w:rFonts w:hint="default"/>
        <w:lang w:val="es-ES" w:eastAsia="en-US" w:bidi="ar-SA"/>
      </w:rPr>
    </w:lvl>
    <w:lvl w:ilvl="4" w:tplc="6D84F832">
      <w:numFmt w:val="bullet"/>
      <w:lvlText w:val="•"/>
      <w:lvlJc w:val="left"/>
      <w:pPr>
        <w:ind w:left="4968" w:hanging="360"/>
      </w:pPr>
      <w:rPr>
        <w:rFonts w:hint="default"/>
        <w:lang w:val="es-ES" w:eastAsia="en-US" w:bidi="ar-SA"/>
      </w:rPr>
    </w:lvl>
    <w:lvl w:ilvl="5" w:tplc="409627DC">
      <w:numFmt w:val="bullet"/>
      <w:lvlText w:val="•"/>
      <w:lvlJc w:val="left"/>
      <w:pPr>
        <w:ind w:left="5810" w:hanging="360"/>
      </w:pPr>
      <w:rPr>
        <w:rFonts w:hint="default"/>
        <w:lang w:val="es-ES" w:eastAsia="en-US" w:bidi="ar-SA"/>
      </w:rPr>
    </w:lvl>
    <w:lvl w:ilvl="6" w:tplc="77BCD57A">
      <w:numFmt w:val="bullet"/>
      <w:lvlText w:val="•"/>
      <w:lvlJc w:val="left"/>
      <w:pPr>
        <w:ind w:left="6652" w:hanging="360"/>
      </w:pPr>
      <w:rPr>
        <w:rFonts w:hint="default"/>
        <w:lang w:val="es-ES" w:eastAsia="en-US" w:bidi="ar-SA"/>
      </w:rPr>
    </w:lvl>
    <w:lvl w:ilvl="7" w:tplc="594C35D0">
      <w:numFmt w:val="bullet"/>
      <w:lvlText w:val="•"/>
      <w:lvlJc w:val="left"/>
      <w:pPr>
        <w:ind w:left="7494" w:hanging="360"/>
      </w:pPr>
      <w:rPr>
        <w:rFonts w:hint="default"/>
        <w:lang w:val="es-ES" w:eastAsia="en-US" w:bidi="ar-SA"/>
      </w:rPr>
    </w:lvl>
    <w:lvl w:ilvl="8" w:tplc="BE626E92">
      <w:numFmt w:val="bullet"/>
      <w:lvlText w:val="•"/>
      <w:lvlJc w:val="left"/>
      <w:pPr>
        <w:ind w:left="8336" w:hanging="360"/>
      </w:pPr>
      <w:rPr>
        <w:rFonts w:hint="default"/>
        <w:lang w:val="es-ES" w:eastAsia="en-US" w:bidi="ar-SA"/>
      </w:rPr>
    </w:lvl>
  </w:abstractNum>
  <w:abstractNum w:abstractNumId="40" w15:restartNumberingAfterBreak="0">
    <w:nsid w:val="5B9113C8"/>
    <w:multiLevelType w:val="hybridMultilevel"/>
    <w:tmpl w:val="206AD014"/>
    <w:lvl w:ilvl="0" w:tplc="052CA1F8">
      <w:start w:val="2"/>
      <w:numFmt w:val="lowerLetter"/>
      <w:lvlText w:val="%1)"/>
      <w:lvlJc w:val="left"/>
      <w:pPr>
        <w:ind w:left="92" w:hanging="187"/>
        <w:jc w:val="left"/>
      </w:pPr>
      <w:rPr>
        <w:rFonts w:ascii="Arial" w:eastAsia="Arial" w:hAnsi="Arial" w:cs="Arial" w:hint="default"/>
        <w:spacing w:val="-12"/>
        <w:w w:val="100"/>
        <w:sz w:val="16"/>
        <w:szCs w:val="16"/>
        <w:lang w:val="es-ES" w:eastAsia="en-US" w:bidi="ar-SA"/>
      </w:rPr>
    </w:lvl>
    <w:lvl w:ilvl="1" w:tplc="145EDB62">
      <w:numFmt w:val="bullet"/>
      <w:lvlText w:val="•"/>
      <w:lvlJc w:val="left"/>
      <w:pPr>
        <w:ind w:left="287" w:hanging="187"/>
      </w:pPr>
      <w:rPr>
        <w:rFonts w:hint="default"/>
        <w:lang w:val="es-ES" w:eastAsia="en-US" w:bidi="ar-SA"/>
      </w:rPr>
    </w:lvl>
    <w:lvl w:ilvl="2" w:tplc="CD9456F6">
      <w:numFmt w:val="bullet"/>
      <w:lvlText w:val="•"/>
      <w:lvlJc w:val="left"/>
      <w:pPr>
        <w:ind w:left="475" w:hanging="187"/>
      </w:pPr>
      <w:rPr>
        <w:rFonts w:hint="default"/>
        <w:lang w:val="es-ES" w:eastAsia="en-US" w:bidi="ar-SA"/>
      </w:rPr>
    </w:lvl>
    <w:lvl w:ilvl="3" w:tplc="99E08CBE">
      <w:numFmt w:val="bullet"/>
      <w:lvlText w:val="•"/>
      <w:lvlJc w:val="left"/>
      <w:pPr>
        <w:ind w:left="662" w:hanging="187"/>
      </w:pPr>
      <w:rPr>
        <w:rFonts w:hint="default"/>
        <w:lang w:val="es-ES" w:eastAsia="en-US" w:bidi="ar-SA"/>
      </w:rPr>
    </w:lvl>
    <w:lvl w:ilvl="4" w:tplc="E19CD794">
      <w:numFmt w:val="bullet"/>
      <w:lvlText w:val="•"/>
      <w:lvlJc w:val="left"/>
      <w:pPr>
        <w:ind w:left="850" w:hanging="187"/>
      </w:pPr>
      <w:rPr>
        <w:rFonts w:hint="default"/>
        <w:lang w:val="es-ES" w:eastAsia="en-US" w:bidi="ar-SA"/>
      </w:rPr>
    </w:lvl>
    <w:lvl w:ilvl="5" w:tplc="057A67D2">
      <w:numFmt w:val="bullet"/>
      <w:lvlText w:val="•"/>
      <w:lvlJc w:val="left"/>
      <w:pPr>
        <w:ind w:left="1037" w:hanging="187"/>
      </w:pPr>
      <w:rPr>
        <w:rFonts w:hint="default"/>
        <w:lang w:val="es-ES" w:eastAsia="en-US" w:bidi="ar-SA"/>
      </w:rPr>
    </w:lvl>
    <w:lvl w:ilvl="6" w:tplc="4C6675D4">
      <w:numFmt w:val="bullet"/>
      <w:lvlText w:val="•"/>
      <w:lvlJc w:val="left"/>
      <w:pPr>
        <w:ind w:left="1225" w:hanging="187"/>
      </w:pPr>
      <w:rPr>
        <w:rFonts w:hint="default"/>
        <w:lang w:val="es-ES" w:eastAsia="en-US" w:bidi="ar-SA"/>
      </w:rPr>
    </w:lvl>
    <w:lvl w:ilvl="7" w:tplc="DD209012">
      <w:numFmt w:val="bullet"/>
      <w:lvlText w:val="•"/>
      <w:lvlJc w:val="left"/>
      <w:pPr>
        <w:ind w:left="1412" w:hanging="187"/>
      </w:pPr>
      <w:rPr>
        <w:rFonts w:hint="default"/>
        <w:lang w:val="es-ES" w:eastAsia="en-US" w:bidi="ar-SA"/>
      </w:rPr>
    </w:lvl>
    <w:lvl w:ilvl="8" w:tplc="7B4EF97E">
      <w:numFmt w:val="bullet"/>
      <w:lvlText w:val="•"/>
      <w:lvlJc w:val="left"/>
      <w:pPr>
        <w:ind w:left="1600" w:hanging="187"/>
      </w:pPr>
      <w:rPr>
        <w:rFonts w:hint="default"/>
        <w:lang w:val="es-ES" w:eastAsia="en-US" w:bidi="ar-SA"/>
      </w:rPr>
    </w:lvl>
  </w:abstractNum>
  <w:abstractNum w:abstractNumId="41" w15:restartNumberingAfterBreak="0">
    <w:nsid w:val="5CB60CB7"/>
    <w:multiLevelType w:val="hybridMultilevel"/>
    <w:tmpl w:val="115A024E"/>
    <w:lvl w:ilvl="0" w:tplc="EB022BC8">
      <w:numFmt w:val="bullet"/>
      <w:lvlText w:val=""/>
      <w:lvlJc w:val="left"/>
      <w:pPr>
        <w:ind w:left="438" w:hanging="360"/>
      </w:pPr>
      <w:rPr>
        <w:rFonts w:ascii="Symbol" w:eastAsia="Symbol" w:hAnsi="Symbol" w:cs="Symbol" w:hint="default"/>
        <w:w w:val="100"/>
        <w:position w:val="2"/>
        <w:sz w:val="16"/>
        <w:szCs w:val="16"/>
        <w:lang w:val="es-ES" w:eastAsia="en-US" w:bidi="ar-SA"/>
      </w:rPr>
    </w:lvl>
    <w:lvl w:ilvl="1" w:tplc="0360E42A">
      <w:numFmt w:val="bullet"/>
      <w:lvlText w:val="•"/>
      <w:lvlJc w:val="left"/>
      <w:pPr>
        <w:ind w:left="801" w:hanging="360"/>
      </w:pPr>
      <w:rPr>
        <w:rFonts w:hint="default"/>
        <w:lang w:val="es-ES" w:eastAsia="en-US" w:bidi="ar-SA"/>
      </w:rPr>
    </w:lvl>
    <w:lvl w:ilvl="2" w:tplc="D676110C">
      <w:numFmt w:val="bullet"/>
      <w:lvlText w:val="•"/>
      <w:lvlJc w:val="left"/>
      <w:pPr>
        <w:ind w:left="1163" w:hanging="360"/>
      </w:pPr>
      <w:rPr>
        <w:rFonts w:hint="default"/>
        <w:lang w:val="es-ES" w:eastAsia="en-US" w:bidi="ar-SA"/>
      </w:rPr>
    </w:lvl>
    <w:lvl w:ilvl="3" w:tplc="619E6A34">
      <w:numFmt w:val="bullet"/>
      <w:lvlText w:val="•"/>
      <w:lvlJc w:val="left"/>
      <w:pPr>
        <w:ind w:left="1525" w:hanging="360"/>
      </w:pPr>
      <w:rPr>
        <w:rFonts w:hint="default"/>
        <w:lang w:val="es-ES" w:eastAsia="en-US" w:bidi="ar-SA"/>
      </w:rPr>
    </w:lvl>
    <w:lvl w:ilvl="4" w:tplc="E7DC7376">
      <w:numFmt w:val="bullet"/>
      <w:lvlText w:val="•"/>
      <w:lvlJc w:val="left"/>
      <w:pPr>
        <w:ind w:left="1886" w:hanging="360"/>
      </w:pPr>
      <w:rPr>
        <w:rFonts w:hint="default"/>
        <w:lang w:val="es-ES" w:eastAsia="en-US" w:bidi="ar-SA"/>
      </w:rPr>
    </w:lvl>
    <w:lvl w:ilvl="5" w:tplc="0C14DA98">
      <w:numFmt w:val="bullet"/>
      <w:lvlText w:val="•"/>
      <w:lvlJc w:val="left"/>
      <w:pPr>
        <w:ind w:left="2248" w:hanging="360"/>
      </w:pPr>
      <w:rPr>
        <w:rFonts w:hint="default"/>
        <w:lang w:val="es-ES" w:eastAsia="en-US" w:bidi="ar-SA"/>
      </w:rPr>
    </w:lvl>
    <w:lvl w:ilvl="6" w:tplc="90D6D472">
      <w:numFmt w:val="bullet"/>
      <w:lvlText w:val="•"/>
      <w:lvlJc w:val="left"/>
      <w:pPr>
        <w:ind w:left="2610" w:hanging="360"/>
      </w:pPr>
      <w:rPr>
        <w:rFonts w:hint="default"/>
        <w:lang w:val="es-ES" w:eastAsia="en-US" w:bidi="ar-SA"/>
      </w:rPr>
    </w:lvl>
    <w:lvl w:ilvl="7" w:tplc="CC461D10">
      <w:numFmt w:val="bullet"/>
      <w:lvlText w:val="•"/>
      <w:lvlJc w:val="left"/>
      <w:pPr>
        <w:ind w:left="2971" w:hanging="360"/>
      </w:pPr>
      <w:rPr>
        <w:rFonts w:hint="default"/>
        <w:lang w:val="es-ES" w:eastAsia="en-US" w:bidi="ar-SA"/>
      </w:rPr>
    </w:lvl>
    <w:lvl w:ilvl="8" w:tplc="642A1B5C">
      <w:numFmt w:val="bullet"/>
      <w:lvlText w:val="•"/>
      <w:lvlJc w:val="left"/>
      <w:pPr>
        <w:ind w:left="3333" w:hanging="360"/>
      </w:pPr>
      <w:rPr>
        <w:rFonts w:hint="default"/>
        <w:lang w:val="es-ES" w:eastAsia="en-US" w:bidi="ar-SA"/>
      </w:rPr>
    </w:lvl>
  </w:abstractNum>
  <w:abstractNum w:abstractNumId="42" w15:restartNumberingAfterBreak="0">
    <w:nsid w:val="5F5228A7"/>
    <w:multiLevelType w:val="multilevel"/>
    <w:tmpl w:val="EC56342A"/>
    <w:lvl w:ilvl="0">
      <w:start w:val="1"/>
      <w:numFmt w:val="decimal"/>
      <w:lvlText w:val="%1."/>
      <w:lvlJc w:val="left"/>
      <w:pPr>
        <w:ind w:left="520" w:hanging="202"/>
        <w:jc w:val="left"/>
      </w:pPr>
      <w:rPr>
        <w:rFonts w:hint="default"/>
        <w:w w:val="100"/>
        <w:lang w:val="es-ES" w:eastAsia="en-US" w:bidi="ar-SA"/>
      </w:rPr>
    </w:lvl>
    <w:lvl w:ilvl="1">
      <w:start w:val="1"/>
      <w:numFmt w:val="decimal"/>
      <w:lvlText w:val="%1.%2"/>
      <w:lvlJc w:val="left"/>
      <w:pPr>
        <w:ind w:left="1100" w:hanging="301"/>
        <w:jc w:val="left"/>
      </w:pPr>
      <w:rPr>
        <w:rFonts w:ascii="Arial" w:eastAsia="Arial" w:hAnsi="Arial" w:cs="Arial" w:hint="default"/>
        <w:b/>
        <w:bCs/>
        <w:spacing w:val="-1"/>
        <w:w w:val="100"/>
        <w:sz w:val="18"/>
        <w:szCs w:val="18"/>
        <w:lang w:val="es-ES" w:eastAsia="en-US" w:bidi="ar-SA"/>
      </w:rPr>
    </w:lvl>
    <w:lvl w:ilvl="2">
      <w:start w:val="1"/>
      <w:numFmt w:val="lowerRoman"/>
      <w:lvlText w:val="%3."/>
      <w:lvlJc w:val="left"/>
      <w:pPr>
        <w:ind w:left="1240" w:hanging="170"/>
        <w:jc w:val="left"/>
      </w:pPr>
      <w:rPr>
        <w:rFonts w:ascii="Arial" w:eastAsia="Arial" w:hAnsi="Arial" w:cs="Arial" w:hint="default"/>
        <w:spacing w:val="-21"/>
        <w:w w:val="100"/>
        <w:sz w:val="18"/>
        <w:szCs w:val="18"/>
        <w:lang w:val="es-ES" w:eastAsia="en-US" w:bidi="ar-SA"/>
      </w:rPr>
    </w:lvl>
    <w:lvl w:ilvl="3">
      <w:numFmt w:val="bullet"/>
      <w:lvlText w:val="•"/>
      <w:lvlJc w:val="left"/>
      <w:pPr>
        <w:ind w:left="2337" w:hanging="170"/>
      </w:pPr>
      <w:rPr>
        <w:rFonts w:hint="default"/>
        <w:lang w:val="es-ES" w:eastAsia="en-US" w:bidi="ar-SA"/>
      </w:rPr>
    </w:lvl>
    <w:lvl w:ilvl="4">
      <w:numFmt w:val="bullet"/>
      <w:lvlText w:val="•"/>
      <w:lvlJc w:val="left"/>
      <w:pPr>
        <w:ind w:left="3435" w:hanging="170"/>
      </w:pPr>
      <w:rPr>
        <w:rFonts w:hint="default"/>
        <w:lang w:val="es-ES" w:eastAsia="en-US" w:bidi="ar-SA"/>
      </w:rPr>
    </w:lvl>
    <w:lvl w:ilvl="5">
      <w:numFmt w:val="bullet"/>
      <w:lvlText w:val="•"/>
      <w:lvlJc w:val="left"/>
      <w:pPr>
        <w:ind w:left="4532" w:hanging="170"/>
      </w:pPr>
      <w:rPr>
        <w:rFonts w:hint="default"/>
        <w:lang w:val="es-ES" w:eastAsia="en-US" w:bidi="ar-SA"/>
      </w:rPr>
    </w:lvl>
    <w:lvl w:ilvl="6">
      <w:numFmt w:val="bullet"/>
      <w:lvlText w:val="•"/>
      <w:lvlJc w:val="left"/>
      <w:pPr>
        <w:ind w:left="5630" w:hanging="170"/>
      </w:pPr>
      <w:rPr>
        <w:rFonts w:hint="default"/>
        <w:lang w:val="es-ES" w:eastAsia="en-US" w:bidi="ar-SA"/>
      </w:rPr>
    </w:lvl>
    <w:lvl w:ilvl="7">
      <w:numFmt w:val="bullet"/>
      <w:lvlText w:val="•"/>
      <w:lvlJc w:val="left"/>
      <w:pPr>
        <w:ind w:left="6727" w:hanging="170"/>
      </w:pPr>
      <w:rPr>
        <w:rFonts w:hint="default"/>
        <w:lang w:val="es-ES" w:eastAsia="en-US" w:bidi="ar-SA"/>
      </w:rPr>
    </w:lvl>
    <w:lvl w:ilvl="8">
      <w:numFmt w:val="bullet"/>
      <w:lvlText w:val="•"/>
      <w:lvlJc w:val="left"/>
      <w:pPr>
        <w:ind w:left="7825" w:hanging="170"/>
      </w:pPr>
      <w:rPr>
        <w:rFonts w:hint="default"/>
        <w:lang w:val="es-ES" w:eastAsia="en-US" w:bidi="ar-SA"/>
      </w:rPr>
    </w:lvl>
  </w:abstractNum>
  <w:abstractNum w:abstractNumId="43" w15:restartNumberingAfterBreak="0">
    <w:nsid w:val="60492AE2"/>
    <w:multiLevelType w:val="hybridMultilevel"/>
    <w:tmpl w:val="9BE4F266"/>
    <w:lvl w:ilvl="0" w:tplc="E4366AB6">
      <w:numFmt w:val="bullet"/>
      <w:lvlText w:val="•"/>
      <w:lvlJc w:val="left"/>
      <w:pPr>
        <w:ind w:left="1240" w:hanging="432"/>
      </w:pPr>
      <w:rPr>
        <w:rFonts w:ascii="Arial" w:eastAsia="Arial" w:hAnsi="Arial" w:cs="Arial" w:hint="default"/>
        <w:spacing w:val="-1"/>
        <w:w w:val="100"/>
        <w:sz w:val="18"/>
        <w:szCs w:val="18"/>
        <w:lang w:val="es-ES" w:eastAsia="en-US" w:bidi="ar-SA"/>
      </w:rPr>
    </w:lvl>
    <w:lvl w:ilvl="1" w:tplc="3D0A1668">
      <w:numFmt w:val="bullet"/>
      <w:lvlText w:val="o"/>
      <w:lvlJc w:val="left"/>
      <w:pPr>
        <w:ind w:left="1680" w:hanging="432"/>
      </w:pPr>
      <w:rPr>
        <w:rFonts w:ascii="Arial" w:eastAsia="Arial" w:hAnsi="Arial" w:cs="Arial" w:hint="default"/>
        <w:spacing w:val="-1"/>
        <w:w w:val="100"/>
        <w:sz w:val="18"/>
        <w:szCs w:val="18"/>
        <w:lang w:val="es-ES" w:eastAsia="en-US" w:bidi="ar-SA"/>
      </w:rPr>
    </w:lvl>
    <w:lvl w:ilvl="2" w:tplc="FA5EA102">
      <w:numFmt w:val="bullet"/>
      <w:lvlText w:val="•"/>
      <w:lvlJc w:val="left"/>
      <w:pPr>
        <w:ind w:left="2606" w:hanging="432"/>
      </w:pPr>
      <w:rPr>
        <w:rFonts w:hint="default"/>
        <w:lang w:val="es-ES" w:eastAsia="en-US" w:bidi="ar-SA"/>
      </w:rPr>
    </w:lvl>
    <w:lvl w:ilvl="3" w:tplc="447222DA">
      <w:numFmt w:val="bullet"/>
      <w:lvlText w:val="•"/>
      <w:lvlJc w:val="left"/>
      <w:pPr>
        <w:ind w:left="3533" w:hanging="432"/>
      </w:pPr>
      <w:rPr>
        <w:rFonts w:hint="default"/>
        <w:lang w:val="es-ES" w:eastAsia="en-US" w:bidi="ar-SA"/>
      </w:rPr>
    </w:lvl>
    <w:lvl w:ilvl="4" w:tplc="806C0C28">
      <w:numFmt w:val="bullet"/>
      <w:lvlText w:val="•"/>
      <w:lvlJc w:val="left"/>
      <w:pPr>
        <w:ind w:left="4460" w:hanging="432"/>
      </w:pPr>
      <w:rPr>
        <w:rFonts w:hint="default"/>
        <w:lang w:val="es-ES" w:eastAsia="en-US" w:bidi="ar-SA"/>
      </w:rPr>
    </w:lvl>
    <w:lvl w:ilvl="5" w:tplc="AE0220E0">
      <w:numFmt w:val="bullet"/>
      <w:lvlText w:val="•"/>
      <w:lvlJc w:val="left"/>
      <w:pPr>
        <w:ind w:left="5386" w:hanging="432"/>
      </w:pPr>
      <w:rPr>
        <w:rFonts w:hint="default"/>
        <w:lang w:val="es-ES" w:eastAsia="en-US" w:bidi="ar-SA"/>
      </w:rPr>
    </w:lvl>
    <w:lvl w:ilvl="6" w:tplc="901E7972">
      <w:numFmt w:val="bullet"/>
      <w:lvlText w:val="•"/>
      <w:lvlJc w:val="left"/>
      <w:pPr>
        <w:ind w:left="6313" w:hanging="432"/>
      </w:pPr>
      <w:rPr>
        <w:rFonts w:hint="default"/>
        <w:lang w:val="es-ES" w:eastAsia="en-US" w:bidi="ar-SA"/>
      </w:rPr>
    </w:lvl>
    <w:lvl w:ilvl="7" w:tplc="961AEE1C">
      <w:numFmt w:val="bullet"/>
      <w:lvlText w:val="•"/>
      <w:lvlJc w:val="left"/>
      <w:pPr>
        <w:ind w:left="7240" w:hanging="432"/>
      </w:pPr>
      <w:rPr>
        <w:rFonts w:hint="default"/>
        <w:lang w:val="es-ES" w:eastAsia="en-US" w:bidi="ar-SA"/>
      </w:rPr>
    </w:lvl>
    <w:lvl w:ilvl="8" w:tplc="25C202F4">
      <w:numFmt w:val="bullet"/>
      <w:lvlText w:val="•"/>
      <w:lvlJc w:val="left"/>
      <w:pPr>
        <w:ind w:left="8166" w:hanging="432"/>
      </w:pPr>
      <w:rPr>
        <w:rFonts w:hint="default"/>
        <w:lang w:val="es-ES" w:eastAsia="en-US" w:bidi="ar-SA"/>
      </w:rPr>
    </w:lvl>
  </w:abstractNum>
  <w:abstractNum w:abstractNumId="44" w15:restartNumberingAfterBreak="0">
    <w:nsid w:val="6193073D"/>
    <w:multiLevelType w:val="hybridMultilevel"/>
    <w:tmpl w:val="C3DEAA98"/>
    <w:lvl w:ilvl="0" w:tplc="3D7E5E16">
      <w:numFmt w:val="bullet"/>
      <w:lvlText w:val=""/>
      <w:lvlJc w:val="left"/>
      <w:pPr>
        <w:ind w:left="449" w:hanging="360"/>
      </w:pPr>
      <w:rPr>
        <w:rFonts w:ascii="Symbol" w:eastAsia="Symbol" w:hAnsi="Symbol" w:cs="Symbol" w:hint="default"/>
        <w:w w:val="100"/>
        <w:position w:val="2"/>
        <w:sz w:val="16"/>
        <w:szCs w:val="16"/>
        <w:lang w:val="es-ES" w:eastAsia="en-US" w:bidi="ar-SA"/>
      </w:rPr>
    </w:lvl>
    <w:lvl w:ilvl="1" w:tplc="EBB4D8EE">
      <w:numFmt w:val="bullet"/>
      <w:lvlText w:val="•"/>
      <w:lvlJc w:val="left"/>
      <w:pPr>
        <w:ind w:left="1164" w:hanging="360"/>
      </w:pPr>
      <w:rPr>
        <w:rFonts w:hint="default"/>
        <w:lang w:val="es-ES" w:eastAsia="en-US" w:bidi="ar-SA"/>
      </w:rPr>
    </w:lvl>
    <w:lvl w:ilvl="2" w:tplc="D90A02C8">
      <w:numFmt w:val="bullet"/>
      <w:lvlText w:val="•"/>
      <w:lvlJc w:val="left"/>
      <w:pPr>
        <w:ind w:left="1888" w:hanging="360"/>
      </w:pPr>
      <w:rPr>
        <w:rFonts w:hint="default"/>
        <w:lang w:val="es-ES" w:eastAsia="en-US" w:bidi="ar-SA"/>
      </w:rPr>
    </w:lvl>
    <w:lvl w:ilvl="3" w:tplc="2F4E3D1C">
      <w:numFmt w:val="bullet"/>
      <w:lvlText w:val="•"/>
      <w:lvlJc w:val="left"/>
      <w:pPr>
        <w:ind w:left="2612" w:hanging="360"/>
      </w:pPr>
      <w:rPr>
        <w:rFonts w:hint="default"/>
        <w:lang w:val="es-ES" w:eastAsia="en-US" w:bidi="ar-SA"/>
      </w:rPr>
    </w:lvl>
    <w:lvl w:ilvl="4" w:tplc="AC56E9EC">
      <w:numFmt w:val="bullet"/>
      <w:lvlText w:val="•"/>
      <w:lvlJc w:val="left"/>
      <w:pPr>
        <w:ind w:left="3336" w:hanging="360"/>
      </w:pPr>
      <w:rPr>
        <w:rFonts w:hint="default"/>
        <w:lang w:val="es-ES" w:eastAsia="en-US" w:bidi="ar-SA"/>
      </w:rPr>
    </w:lvl>
    <w:lvl w:ilvl="5" w:tplc="7FCADE0E">
      <w:numFmt w:val="bullet"/>
      <w:lvlText w:val="•"/>
      <w:lvlJc w:val="left"/>
      <w:pPr>
        <w:ind w:left="4060" w:hanging="360"/>
      </w:pPr>
      <w:rPr>
        <w:rFonts w:hint="default"/>
        <w:lang w:val="es-ES" w:eastAsia="en-US" w:bidi="ar-SA"/>
      </w:rPr>
    </w:lvl>
    <w:lvl w:ilvl="6" w:tplc="6D80229C">
      <w:numFmt w:val="bullet"/>
      <w:lvlText w:val="•"/>
      <w:lvlJc w:val="left"/>
      <w:pPr>
        <w:ind w:left="4784" w:hanging="360"/>
      </w:pPr>
      <w:rPr>
        <w:rFonts w:hint="default"/>
        <w:lang w:val="es-ES" w:eastAsia="en-US" w:bidi="ar-SA"/>
      </w:rPr>
    </w:lvl>
    <w:lvl w:ilvl="7" w:tplc="4378E5BA">
      <w:numFmt w:val="bullet"/>
      <w:lvlText w:val="•"/>
      <w:lvlJc w:val="left"/>
      <w:pPr>
        <w:ind w:left="5508" w:hanging="360"/>
      </w:pPr>
      <w:rPr>
        <w:rFonts w:hint="default"/>
        <w:lang w:val="es-ES" w:eastAsia="en-US" w:bidi="ar-SA"/>
      </w:rPr>
    </w:lvl>
    <w:lvl w:ilvl="8" w:tplc="92345896">
      <w:numFmt w:val="bullet"/>
      <w:lvlText w:val="•"/>
      <w:lvlJc w:val="left"/>
      <w:pPr>
        <w:ind w:left="6232" w:hanging="360"/>
      </w:pPr>
      <w:rPr>
        <w:rFonts w:hint="default"/>
        <w:lang w:val="es-ES" w:eastAsia="en-US" w:bidi="ar-SA"/>
      </w:rPr>
    </w:lvl>
  </w:abstractNum>
  <w:abstractNum w:abstractNumId="45" w15:restartNumberingAfterBreak="0">
    <w:nsid w:val="62A81F10"/>
    <w:multiLevelType w:val="multilevel"/>
    <w:tmpl w:val="8A463F36"/>
    <w:lvl w:ilvl="0">
      <w:start w:val="4"/>
      <w:numFmt w:val="decimal"/>
      <w:lvlText w:val="%1"/>
      <w:lvlJc w:val="left"/>
      <w:pPr>
        <w:ind w:left="1100" w:hanging="301"/>
        <w:jc w:val="left"/>
      </w:pPr>
      <w:rPr>
        <w:rFonts w:hint="default"/>
        <w:lang w:val="es-ES" w:eastAsia="en-US" w:bidi="ar-SA"/>
      </w:rPr>
    </w:lvl>
    <w:lvl w:ilvl="1">
      <w:start w:val="5"/>
      <w:numFmt w:val="decimal"/>
      <w:lvlText w:val="%1.%2"/>
      <w:lvlJc w:val="left"/>
      <w:pPr>
        <w:ind w:left="1100" w:hanging="301"/>
        <w:jc w:val="left"/>
      </w:pPr>
      <w:rPr>
        <w:rFonts w:ascii="Arial" w:eastAsia="Arial" w:hAnsi="Arial" w:cs="Arial" w:hint="default"/>
        <w:b/>
        <w:bCs/>
        <w:spacing w:val="-1"/>
        <w:w w:val="100"/>
        <w:sz w:val="18"/>
        <w:szCs w:val="18"/>
        <w:lang w:val="es-ES" w:eastAsia="en-US" w:bidi="ar-SA"/>
      </w:rPr>
    </w:lvl>
    <w:lvl w:ilvl="2">
      <w:numFmt w:val="bullet"/>
      <w:lvlText w:val="•"/>
      <w:lvlJc w:val="left"/>
      <w:pPr>
        <w:ind w:left="2884" w:hanging="301"/>
      </w:pPr>
      <w:rPr>
        <w:rFonts w:hint="default"/>
        <w:lang w:val="es-ES" w:eastAsia="en-US" w:bidi="ar-SA"/>
      </w:rPr>
    </w:lvl>
    <w:lvl w:ilvl="3">
      <w:numFmt w:val="bullet"/>
      <w:lvlText w:val="•"/>
      <w:lvlJc w:val="left"/>
      <w:pPr>
        <w:ind w:left="3776" w:hanging="301"/>
      </w:pPr>
      <w:rPr>
        <w:rFonts w:hint="default"/>
        <w:lang w:val="es-ES" w:eastAsia="en-US" w:bidi="ar-SA"/>
      </w:rPr>
    </w:lvl>
    <w:lvl w:ilvl="4">
      <w:numFmt w:val="bullet"/>
      <w:lvlText w:val="•"/>
      <w:lvlJc w:val="left"/>
      <w:pPr>
        <w:ind w:left="4668" w:hanging="301"/>
      </w:pPr>
      <w:rPr>
        <w:rFonts w:hint="default"/>
        <w:lang w:val="es-ES" w:eastAsia="en-US" w:bidi="ar-SA"/>
      </w:rPr>
    </w:lvl>
    <w:lvl w:ilvl="5">
      <w:numFmt w:val="bullet"/>
      <w:lvlText w:val="•"/>
      <w:lvlJc w:val="left"/>
      <w:pPr>
        <w:ind w:left="5560" w:hanging="301"/>
      </w:pPr>
      <w:rPr>
        <w:rFonts w:hint="default"/>
        <w:lang w:val="es-ES" w:eastAsia="en-US" w:bidi="ar-SA"/>
      </w:rPr>
    </w:lvl>
    <w:lvl w:ilvl="6">
      <w:numFmt w:val="bullet"/>
      <w:lvlText w:val="•"/>
      <w:lvlJc w:val="left"/>
      <w:pPr>
        <w:ind w:left="6452" w:hanging="301"/>
      </w:pPr>
      <w:rPr>
        <w:rFonts w:hint="default"/>
        <w:lang w:val="es-ES" w:eastAsia="en-US" w:bidi="ar-SA"/>
      </w:rPr>
    </w:lvl>
    <w:lvl w:ilvl="7">
      <w:numFmt w:val="bullet"/>
      <w:lvlText w:val="•"/>
      <w:lvlJc w:val="left"/>
      <w:pPr>
        <w:ind w:left="7344" w:hanging="301"/>
      </w:pPr>
      <w:rPr>
        <w:rFonts w:hint="default"/>
        <w:lang w:val="es-ES" w:eastAsia="en-US" w:bidi="ar-SA"/>
      </w:rPr>
    </w:lvl>
    <w:lvl w:ilvl="8">
      <w:numFmt w:val="bullet"/>
      <w:lvlText w:val="•"/>
      <w:lvlJc w:val="left"/>
      <w:pPr>
        <w:ind w:left="8236" w:hanging="301"/>
      </w:pPr>
      <w:rPr>
        <w:rFonts w:hint="default"/>
        <w:lang w:val="es-ES" w:eastAsia="en-US" w:bidi="ar-SA"/>
      </w:rPr>
    </w:lvl>
  </w:abstractNum>
  <w:abstractNum w:abstractNumId="46" w15:restartNumberingAfterBreak="0">
    <w:nsid w:val="68B23E7F"/>
    <w:multiLevelType w:val="hybridMultilevel"/>
    <w:tmpl w:val="A94089B2"/>
    <w:lvl w:ilvl="0" w:tplc="0436F402">
      <w:numFmt w:val="bullet"/>
      <w:lvlText w:val=""/>
      <w:lvlJc w:val="left"/>
      <w:pPr>
        <w:ind w:left="449" w:hanging="360"/>
      </w:pPr>
      <w:rPr>
        <w:rFonts w:ascii="Symbol" w:eastAsia="Symbol" w:hAnsi="Symbol" w:cs="Symbol" w:hint="default"/>
        <w:w w:val="100"/>
        <w:position w:val="2"/>
        <w:sz w:val="16"/>
        <w:szCs w:val="16"/>
        <w:lang w:val="es-ES" w:eastAsia="en-US" w:bidi="ar-SA"/>
      </w:rPr>
    </w:lvl>
    <w:lvl w:ilvl="1" w:tplc="7F5A1A0A">
      <w:numFmt w:val="bullet"/>
      <w:lvlText w:val="•"/>
      <w:lvlJc w:val="left"/>
      <w:pPr>
        <w:ind w:left="1164" w:hanging="360"/>
      </w:pPr>
      <w:rPr>
        <w:rFonts w:hint="default"/>
        <w:lang w:val="es-ES" w:eastAsia="en-US" w:bidi="ar-SA"/>
      </w:rPr>
    </w:lvl>
    <w:lvl w:ilvl="2" w:tplc="778238FA">
      <w:numFmt w:val="bullet"/>
      <w:lvlText w:val="•"/>
      <w:lvlJc w:val="left"/>
      <w:pPr>
        <w:ind w:left="1888" w:hanging="360"/>
      </w:pPr>
      <w:rPr>
        <w:rFonts w:hint="default"/>
        <w:lang w:val="es-ES" w:eastAsia="en-US" w:bidi="ar-SA"/>
      </w:rPr>
    </w:lvl>
    <w:lvl w:ilvl="3" w:tplc="5B424A1C">
      <w:numFmt w:val="bullet"/>
      <w:lvlText w:val="•"/>
      <w:lvlJc w:val="left"/>
      <w:pPr>
        <w:ind w:left="2612" w:hanging="360"/>
      </w:pPr>
      <w:rPr>
        <w:rFonts w:hint="default"/>
        <w:lang w:val="es-ES" w:eastAsia="en-US" w:bidi="ar-SA"/>
      </w:rPr>
    </w:lvl>
    <w:lvl w:ilvl="4" w:tplc="988E2FF2">
      <w:numFmt w:val="bullet"/>
      <w:lvlText w:val="•"/>
      <w:lvlJc w:val="left"/>
      <w:pPr>
        <w:ind w:left="3336" w:hanging="360"/>
      </w:pPr>
      <w:rPr>
        <w:rFonts w:hint="default"/>
        <w:lang w:val="es-ES" w:eastAsia="en-US" w:bidi="ar-SA"/>
      </w:rPr>
    </w:lvl>
    <w:lvl w:ilvl="5" w:tplc="A14EB46C">
      <w:numFmt w:val="bullet"/>
      <w:lvlText w:val="•"/>
      <w:lvlJc w:val="left"/>
      <w:pPr>
        <w:ind w:left="4060" w:hanging="360"/>
      </w:pPr>
      <w:rPr>
        <w:rFonts w:hint="default"/>
        <w:lang w:val="es-ES" w:eastAsia="en-US" w:bidi="ar-SA"/>
      </w:rPr>
    </w:lvl>
    <w:lvl w:ilvl="6" w:tplc="16869258">
      <w:numFmt w:val="bullet"/>
      <w:lvlText w:val="•"/>
      <w:lvlJc w:val="left"/>
      <w:pPr>
        <w:ind w:left="4784" w:hanging="360"/>
      </w:pPr>
      <w:rPr>
        <w:rFonts w:hint="default"/>
        <w:lang w:val="es-ES" w:eastAsia="en-US" w:bidi="ar-SA"/>
      </w:rPr>
    </w:lvl>
    <w:lvl w:ilvl="7" w:tplc="E3142390">
      <w:numFmt w:val="bullet"/>
      <w:lvlText w:val="•"/>
      <w:lvlJc w:val="left"/>
      <w:pPr>
        <w:ind w:left="5508" w:hanging="360"/>
      </w:pPr>
      <w:rPr>
        <w:rFonts w:hint="default"/>
        <w:lang w:val="es-ES" w:eastAsia="en-US" w:bidi="ar-SA"/>
      </w:rPr>
    </w:lvl>
    <w:lvl w:ilvl="8" w:tplc="B588B30A">
      <w:numFmt w:val="bullet"/>
      <w:lvlText w:val="•"/>
      <w:lvlJc w:val="left"/>
      <w:pPr>
        <w:ind w:left="6232" w:hanging="360"/>
      </w:pPr>
      <w:rPr>
        <w:rFonts w:hint="default"/>
        <w:lang w:val="es-ES" w:eastAsia="en-US" w:bidi="ar-SA"/>
      </w:rPr>
    </w:lvl>
  </w:abstractNum>
  <w:abstractNum w:abstractNumId="47" w15:restartNumberingAfterBreak="0">
    <w:nsid w:val="69BF05E7"/>
    <w:multiLevelType w:val="hybridMultilevel"/>
    <w:tmpl w:val="44BC3442"/>
    <w:lvl w:ilvl="0" w:tplc="37901728">
      <w:numFmt w:val="bullet"/>
      <w:lvlText w:val=""/>
      <w:lvlJc w:val="left"/>
      <w:pPr>
        <w:ind w:left="438" w:hanging="360"/>
      </w:pPr>
      <w:rPr>
        <w:rFonts w:ascii="Symbol" w:eastAsia="Symbol" w:hAnsi="Symbol" w:cs="Symbol" w:hint="default"/>
        <w:w w:val="100"/>
        <w:position w:val="4"/>
        <w:sz w:val="16"/>
        <w:szCs w:val="16"/>
        <w:lang w:val="es-ES" w:eastAsia="en-US" w:bidi="ar-SA"/>
      </w:rPr>
    </w:lvl>
    <w:lvl w:ilvl="1" w:tplc="DE4C8CC0">
      <w:numFmt w:val="bullet"/>
      <w:lvlText w:val="•"/>
      <w:lvlJc w:val="left"/>
      <w:pPr>
        <w:ind w:left="801" w:hanging="360"/>
      </w:pPr>
      <w:rPr>
        <w:rFonts w:hint="default"/>
        <w:lang w:val="es-ES" w:eastAsia="en-US" w:bidi="ar-SA"/>
      </w:rPr>
    </w:lvl>
    <w:lvl w:ilvl="2" w:tplc="0E2AB252">
      <w:numFmt w:val="bullet"/>
      <w:lvlText w:val="•"/>
      <w:lvlJc w:val="left"/>
      <w:pPr>
        <w:ind w:left="1163" w:hanging="360"/>
      </w:pPr>
      <w:rPr>
        <w:rFonts w:hint="default"/>
        <w:lang w:val="es-ES" w:eastAsia="en-US" w:bidi="ar-SA"/>
      </w:rPr>
    </w:lvl>
    <w:lvl w:ilvl="3" w:tplc="94480BF6">
      <w:numFmt w:val="bullet"/>
      <w:lvlText w:val="•"/>
      <w:lvlJc w:val="left"/>
      <w:pPr>
        <w:ind w:left="1525" w:hanging="360"/>
      </w:pPr>
      <w:rPr>
        <w:rFonts w:hint="default"/>
        <w:lang w:val="es-ES" w:eastAsia="en-US" w:bidi="ar-SA"/>
      </w:rPr>
    </w:lvl>
    <w:lvl w:ilvl="4" w:tplc="43FEF890">
      <w:numFmt w:val="bullet"/>
      <w:lvlText w:val="•"/>
      <w:lvlJc w:val="left"/>
      <w:pPr>
        <w:ind w:left="1886" w:hanging="360"/>
      </w:pPr>
      <w:rPr>
        <w:rFonts w:hint="default"/>
        <w:lang w:val="es-ES" w:eastAsia="en-US" w:bidi="ar-SA"/>
      </w:rPr>
    </w:lvl>
    <w:lvl w:ilvl="5" w:tplc="53BCCC3C">
      <w:numFmt w:val="bullet"/>
      <w:lvlText w:val="•"/>
      <w:lvlJc w:val="left"/>
      <w:pPr>
        <w:ind w:left="2248" w:hanging="360"/>
      </w:pPr>
      <w:rPr>
        <w:rFonts w:hint="default"/>
        <w:lang w:val="es-ES" w:eastAsia="en-US" w:bidi="ar-SA"/>
      </w:rPr>
    </w:lvl>
    <w:lvl w:ilvl="6" w:tplc="B3703E14">
      <w:numFmt w:val="bullet"/>
      <w:lvlText w:val="•"/>
      <w:lvlJc w:val="left"/>
      <w:pPr>
        <w:ind w:left="2610" w:hanging="360"/>
      </w:pPr>
      <w:rPr>
        <w:rFonts w:hint="default"/>
        <w:lang w:val="es-ES" w:eastAsia="en-US" w:bidi="ar-SA"/>
      </w:rPr>
    </w:lvl>
    <w:lvl w:ilvl="7" w:tplc="D38C3996">
      <w:numFmt w:val="bullet"/>
      <w:lvlText w:val="•"/>
      <w:lvlJc w:val="left"/>
      <w:pPr>
        <w:ind w:left="2971" w:hanging="360"/>
      </w:pPr>
      <w:rPr>
        <w:rFonts w:hint="default"/>
        <w:lang w:val="es-ES" w:eastAsia="en-US" w:bidi="ar-SA"/>
      </w:rPr>
    </w:lvl>
    <w:lvl w:ilvl="8" w:tplc="B8EA8E6C">
      <w:numFmt w:val="bullet"/>
      <w:lvlText w:val="•"/>
      <w:lvlJc w:val="left"/>
      <w:pPr>
        <w:ind w:left="3333" w:hanging="360"/>
      </w:pPr>
      <w:rPr>
        <w:rFonts w:hint="default"/>
        <w:lang w:val="es-ES" w:eastAsia="en-US" w:bidi="ar-SA"/>
      </w:rPr>
    </w:lvl>
  </w:abstractNum>
  <w:abstractNum w:abstractNumId="48" w15:restartNumberingAfterBreak="0">
    <w:nsid w:val="6CD02993"/>
    <w:multiLevelType w:val="hybridMultilevel"/>
    <w:tmpl w:val="535EB354"/>
    <w:lvl w:ilvl="0" w:tplc="3562474E">
      <w:numFmt w:val="bullet"/>
      <w:lvlText w:val=""/>
      <w:lvlJc w:val="left"/>
      <w:pPr>
        <w:ind w:left="449" w:hanging="360"/>
      </w:pPr>
      <w:rPr>
        <w:rFonts w:ascii="Symbol" w:eastAsia="Symbol" w:hAnsi="Symbol" w:cs="Symbol" w:hint="default"/>
        <w:w w:val="100"/>
        <w:position w:val="2"/>
        <w:sz w:val="16"/>
        <w:szCs w:val="16"/>
        <w:lang w:val="es-ES" w:eastAsia="en-US" w:bidi="ar-SA"/>
      </w:rPr>
    </w:lvl>
    <w:lvl w:ilvl="1" w:tplc="D9A2C56A">
      <w:numFmt w:val="bullet"/>
      <w:lvlText w:val="•"/>
      <w:lvlJc w:val="left"/>
      <w:pPr>
        <w:ind w:left="1164" w:hanging="360"/>
      </w:pPr>
      <w:rPr>
        <w:rFonts w:hint="default"/>
        <w:lang w:val="es-ES" w:eastAsia="en-US" w:bidi="ar-SA"/>
      </w:rPr>
    </w:lvl>
    <w:lvl w:ilvl="2" w:tplc="0B0286A0">
      <w:numFmt w:val="bullet"/>
      <w:lvlText w:val="•"/>
      <w:lvlJc w:val="left"/>
      <w:pPr>
        <w:ind w:left="1888" w:hanging="360"/>
      </w:pPr>
      <w:rPr>
        <w:rFonts w:hint="default"/>
        <w:lang w:val="es-ES" w:eastAsia="en-US" w:bidi="ar-SA"/>
      </w:rPr>
    </w:lvl>
    <w:lvl w:ilvl="3" w:tplc="52EEEBE0">
      <w:numFmt w:val="bullet"/>
      <w:lvlText w:val="•"/>
      <w:lvlJc w:val="left"/>
      <w:pPr>
        <w:ind w:left="2612" w:hanging="360"/>
      </w:pPr>
      <w:rPr>
        <w:rFonts w:hint="default"/>
        <w:lang w:val="es-ES" w:eastAsia="en-US" w:bidi="ar-SA"/>
      </w:rPr>
    </w:lvl>
    <w:lvl w:ilvl="4" w:tplc="71508B9C">
      <w:numFmt w:val="bullet"/>
      <w:lvlText w:val="•"/>
      <w:lvlJc w:val="left"/>
      <w:pPr>
        <w:ind w:left="3336" w:hanging="360"/>
      </w:pPr>
      <w:rPr>
        <w:rFonts w:hint="default"/>
        <w:lang w:val="es-ES" w:eastAsia="en-US" w:bidi="ar-SA"/>
      </w:rPr>
    </w:lvl>
    <w:lvl w:ilvl="5" w:tplc="6AAE0614">
      <w:numFmt w:val="bullet"/>
      <w:lvlText w:val="•"/>
      <w:lvlJc w:val="left"/>
      <w:pPr>
        <w:ind w:left="4060" w:hanging="360"/>
      </w:pPr>
      <w:rPr>
        <w:rFonts w:hint="default"/>
        <w:lang w:val="es-ES" w:eastAsia="en-US" w:bidi="ar-SA"/>
      </w:rPr>
    </w:lvl>
    <w:lvl w:ilvl="6" w:tplc="A0A43A0C">
      <w:numFmt w:val="bullet"/>
      <w:lvlText w:val="•"/>
      <w:lvlJc w:val="left"/>
      <w:pPr>
        <w:ind w:left="4784" w:hanging="360"/>
      </w:pPr>
      <w:rPr>
        <w:rFonts w:hint="default"/>
        <w:lang w:val="es-ES" w:eastAsia="en-US" w:bidi="ar-SA"/>
      </w:rPr>
    </w:lvl>
    <w:lvl w:ilvl="7" w:tplc="706A078A">
      <w:numFmt w:val="bullet"/>
      <w:lvlText w:val="•"/>
      <w:lvlJc w:val="left"/>
      <w:pPr>
        <w:ind w:left="5508" w:hanging="360"/>
      </w:pPr>
      <w:rPr>
        <w:rFonts w:hint="default"/>
        <w:lang w:val="es-ES" w:eastAsia="en-US" w:bidi="ar-SA"/>
      </w:rPr>
    </w:lvl>
    <w:lvl w:ilvl="8" w:tplc="BA96AE06">
      <w:numFmt w:val="bullet"/>
      <w:lvlText w:val="•"/>
      <w:lvlJc w:val="left"/>
      <w:pPr>
        <w:ind w:left="6232" w:hanging="360"/>
      </w:pPr>
      <w:rPr>
        <w:rFonts w:hint="default"/>
        <w:lang w:val="es-ES" w:eastAsia="en-US" w:bidi="ar-SA"/>
      </w:rPr>
    </w:lvl>
  </w:abstractNum>
  <w:abstractNum w:abstractNumId="49" w15:restartNumberingAfterBreak="0">
    <w:nsid w:val="6F5027CE"/>
    <w:multiLevelType w:val="hybridMultilevel"/>
    <w:tmpl w:val="65920758"/>
    <w:lvl w:ilvl="0" w:tplc="1F14971C">
      <w:start w:val="1"/>
      <w:numFmt w:val="lowerLetter"/>
      <w:lvlText w:val="%1)"/>
      <w:lvlJc w:val="left"/>
      <w:pPr>
        <w:ind w:left="1218" w:hanging="419"/>
        <w:jc w:val="left"/>
      </w:pPr>
      <w:rPr>
        <w:rFonts w:ascii="Arial" w:eastAsia="Arial" w:hAnsi="Arial" w:cs="Arial" w:hint="default"/>
        <w:b/>
        <w:bCs/>
        <w:spacing w:val="-1"/>
        <w:w w:val="100"/>
        <w:sz w:val="18"/>
        <w:szCs w:val="18"/>
        <w:lang w:val="es-ES" w:eastAsia="en-US" w:bidi="ar-SA"/>
      </w:rPr>
    </w:lvl>
    <w:lvl w:ilvl="1" w:tplc="7F7A085E">
      <w:start w:val="1"/>
      <w:numFmt w:val="lowerRoman"/>
      <w:lvlText w:val="%2."/>
      <w:lvlJc w:val="left"/>
      <w:pPr>
        <w:ind w:left="1232" w:hanging="91"/>
        <w:jc w:val="left"/>
      </w:pPr>
      <w:rPr>
        <w:rFonts w:ascii="Arial" w:eastAsia="Arial" w:hAnsi="Arial" w:cs="Arial" w:hint="default"/>
        <w:w w:val="100"/>
        <w:sz w:val="16"/>
        <w:szCs w:val="16"/>
        <w:lang w:val="es-ES" w:eastAsia="en-US" w:bidi="ar-SA"/>
      </w:rPr>
    </w:lvl>
    <w:lvl w:ilvl="2" w:tplc="6FDEF0C2">
      <w:numFmt w:val="bullet"/>
      <w:lvlText w:val="•"/>
      <w:lvlJc w:val="left"/>
      <w:pPr>
        <w:ind w:left="2215" w:hanging="91"/>
      </w:pPr>
      <w:rPr>
        <w:rFonts w:hint="default"/>
        <w:lang w:val="es-ES" w:eastAsia="en-US" w:bidi="ar-SA"/>
      </w:rPr>
    </w:lvl>
    <w:lvl w:ilvl="3" w:tplc="EC08817E">
      <w:numFmt w:val="bullet"/>
      <w:lvlText w:val="•"/>
      <w:lvlJc w:val="left"/>
      <w:pPr>
        <w:ind w:left="3191" w:hanging="91"/>
      </w:pPr>
      <w:rPr>
        <w:rFonts w:hint="default"/>
        <w:lang w:val="es-ES" w:eastAsia="en-US" w:bidi="ar-SA"/>
      </w:rPr>
    </w:lvl>
    <w:lvl w:ilvl="4" w:tplc="56988E58">
      <w:numFmt w:val="bullet"/>
      <w:lvlText w:val="•"/>
      <w:lvlJc w:val="left"/>
      <w:pPr>
        <w:ind w:left="4166" w:hanging="91"/>
      </w:pPr>
      <w:rPr>
        <w:rFonts w:hint="default"/>
        <w:lang w:val="es-ES" w:eastAsia="en-US" w:bidi="ar-SA"/>
      </w:rPr>
    </w:lvl>
    <w:lvl w:ilvl="5" w:tplc="6ED0A4B6">
      <w:numFmt w:val="bullet"/>
      <w:lvlText w:val="•"/>
      <w:lvlJc w:val="left"/>
      <w:pPr>
        <w:ind w:left="5142" w:hanging="91"/>
      </w:pPr>
      <w:rPr>
        <w:rFonts w:hint="default"/>
        <w:lang w:val="es-ES" w:eastAsia="en-US" w:bidi="ar-SA"/>
      </w:rPr>
    </w:lvl>
    <w:lvl w:ilvl="6" w:tplc="7E68F142">
      <w:numFmt w:val="bullet"/>
      <w:lvlText w:val="•"/>
      <w:lvlJc w:val="left"/>
      <w:pPr>
        <w:ind w:left="6117" w:hanging="91"/>
      </w:pPr>
      <w:rPr>
        <w:rFonts w:hint="default"/>
        <w:lang w:val="es-ES" w:eastAsia="en-US" w:bidi="ar-SA"/>
      </w:rPr>
    </w:lvl>
    <w:lvl w:ilvl="7" w:tplc="F60A87A0">
      <w:numFmt w:val="bullet"/>
      <w:lvlText w:val="•"/>
      <w:lvlJc w:val="left"/>
      <w:pPr>
        <w:ind w:left="7093" w:hanging="91"/>
      </w:pPr>
      <w:rPr>
        <w:rFonts w:hint="default"/>
        <w:lang w:val="es-ES" w:eastAsia="en-US" w:bidi="ar-SA"/>
      </w:rPr>
    </w:lvl>
    <w:lvl w:ilvl="8" w:tplc="9140EE72">
      <w:numFmt w:val="bullet"/>
      <w:lvlText w:val="•"/>
      <w:lvlJc w:val="left"/>
      <w:pPr>
        <w:ind w:left="8068" w:hanging="91"/>
      </w:pPr>
      <w:rPr>
        <w:rFonts w:hint="default"/>
        <w:lang w:val="es-ES" w:eastAsia="en-US" w:bidi="ar-SA"/>
      </w:rPr>
    </w:lvl>
  </w:abstractNum>
  <w:abstractNum w:abstractNumId="50" w15:restartNumberingAfterBreak="0">
    <w:nsid w:val="6FDC27F8"/>
    <w:multiLevelType w:val="hybridMultilevel"/>
    <w:tmpl w:val="09F67DA8"/>
    <w:lvl w:ilvl="0" w:tplc="313045F0">
      <w:numFmt w:val="bullet"/>
      <w:lvlText w:val=""/>
      <w:lvlJc w:val="left"/>
      <w:pPr>
        <w:ind w:left="449" w:hanging="360"/>
      </w:pPr>
      <w:rPr>
        <w:rFonts w:ascii="Symbol" w:eastAsia="Symbol" w:hAnsi="Symbol" w:cs="Symbol" w:hint="default"/>
        <w:w w:val="100"/>
        <w:position w:val="2"/>
        <w:sz w:val="16"/>
        <w:szCs w:val="16"/>
        <w:lang w:val="es-ES" w:eastAsia="en-US" w:bidi="ar-SA"/>
      </w:rPr>
    </w:lvl>
    <w:lvl w:ilvl="1" w:tplc="9C08686E">
      <w:numFmt w:val="bullet"/>
      <w:lvlText w:val="•"/>
      <w:lvlJc w:val="left"/>
      <w:pPr>
        <w:ind w:left="1164" w:hanging="360"/>
      </w:pPr>
      <w:rPr>
        <w:rFonts w:hint="default"/>
        <w:lang w:val="es-ES" w:eastAsia="en-US" w:bidi="ar-SA"/>
      </w:rPr>
    </w:lvl>
    <w:lvl w:ilvl="2" w:tplc="C8304D18">
      <w:numFmt w:val="bullet"/>
      <w:lvlText w:val="•"/>
      <w:lvlJc w:val="left"/>
      <w:pPr>
        <w:ind w:left="1888" w:hanging="360"/>
      </w:pPr>
      <w:rPr>
        <w:rFonts w:hint="default"/>
        <w:lang w:val="es-ES" w:eastAsia="en-US" w:bidi="ar-SA"/>
      </w:rPr>
    </w:lvl>
    <w:lvl w:ilvl="3" w:tplc="F016227A">
      <w:numFmt w:val="bullet"/>
      <w:lvlText w:val="•"/>
      <w:lvlJc w:val="left"/>
      <w:pPr>
        <w:ind w:left="2612" w:hanging="360"/>
      </w:pPr>
      <w:rPr>
        <w:rFonts w:hint="default"/>
        <w:lang w:val="es-ES" w:eastAsia="en-US" w:bidi="ar-SA"/>
      </w:rPr>
    </w:lvl>
    <w:lvl w:ilvl="4" w:tplc="EFCE4958">
      <w:numFmt w:val="bullet"/>
      <w:lvlText w:val="•"/>
      <w:lvlJc w:val="left"/>
      <w:pPr>
        <w:ind w:left="3336" w:hanging="360"/>
      </w:pPr>
      <w:rPr>
        <w:rFonts w:hint="default"/>
        <w:lang w:val="es-ES" w:eastAsia="en-US" w:bidi="ar-SA"/>
      </w:rPr>
    </w:lvl>
    <w:lvl w:ilvl="5" w:tplc="39246516">
      <w:numFmt w:val="bullet"/>
      <w:lvlText w:val="•"/>
      <w:lvlJc w:val="left"/>
      <w:pPr>
        <w:ind w:left="4060" w:hanging="360"/>
      </w:pPr>
      <w:rPr>
        <w:rFonts w:hint="default"/>
        <w:lang w:val="es-ES" w:eastAsia="en-US" w:bidi="ar-SA"/>
      </w:rPr>
    </w:lvl>
    <w:lvl w:ilvl="6" w:tplc="949E09BC">
      <w:numFmt w:val="bullet"/>
      <w:lvlText w:val="•"/>
      <w:lvlJc w:val="left"/>
      <w:pPr>
        <w:ind w:left="4784" w:hanging="360"/>
      </w:pPr>
      <w:rPr>
        <w:rFonts w:hint="default"/>
        <w:lang w:val="es-ES" w:eastAsia="en-US" w:bidi="ar-SA"/>
      </w:rPr>
    </w:lvl>
    <w:lvl w:ilvl="7" w:tplc="D1DA3738">
      <w:numFmt w:val="bullet"/>
      <w:lvlText w:val="•"/>
      <w:lvlJc w:val="left"/>
      <w:pPr>
        <w:ind w:left="5508" w:hanging="360"/>
      </w:pPr>
      <w:rPr>
        <w:rFonts w:hint="default"/>
        <w:lang w:val="es-ES" w:eastAsia="en-US" w:bidi="ar-SA"/>
      </w:rPr>
    </w:lvl>
    <w:lvl w:ilvl="8" w:tplc="CAAE187E">
      <w:numFmt w:val="bullet"/>
      <w:lvlText w:val="•"/>
      <w:lvlJc w:val="left"/>
      <w:pPr>
        <w:ind w:left="6232" w:hanging="360"/>
      </w:pPr>
      <w:rPr>
        <w:rFonts w:hint="default"/>
        <w:lang w:val="es-ES" w:eastAsia="en-US" w:bidi="ar-SA"/>
      </w:rPr>
    </w:lvl>
  </w:abstractNum>
  <w:abstractNum w:abstractNumId="51" w15:restartNumberingAfterBreak="0">
    <w:nsid w:val="73BB25DC"/>
    <w:multiLevelType w:val="hybridMultilevel"/>
    <w:tmpl w:val="244E4408"/>
    <w:lvl w:ilvl="0" w:tplc="5DC603A4">
      <w:numFmt w:val="bullet"/>
      <w:lvlText w:val=""/>
      <w:lvlJc w:val="left"/>
      <w:pPr>
        <w:ind w:left="449" w:hanging="360"/>
      </w:pPr>
      <w:rPr>
        <w:rFonts w:ascii="Symbol" w:eastAsia="Symbol" w:hAnsi="Symbol" w:cs="Symbol" w:hint="default"/>
        <w:w w:val="100"/>
        <w:position w:val="2"/>
        <w:sz w:val="16"/>
        <w:szCs w:val="16"/>
        <w:lang w:val="es-ES" w:eastAsia="en-US" w:bidi="ar-SA"/>
      </w:rPr>
    </w:lvl>
    <w:lvl w:ilvl="1" w:tplc="E9C02A8C">
      <w:numFmt w:val="bullet"/>
      <w:lvlText w:val="•"/>
      <w:lvlJc w:val="left"/>
      <w:pPr>
        <w:ind w:left="1164" w:hanging="360"/>
      </w:pPr>
      <w:rPr>
        <w:rFonts w:hint="default"/>
        <w:lang w:val="es-ES" w:eastAsia="en-US" w:bidi="ar-SA"/>
      </w:rPr>
    </w:lvl>
    <w:lvl w:ilvl="2" w:tplc="907A07B2">
      <w:numFmt w:val="bullet"/>
      <w:lvlText w:val="•"/>
      <w:lvlJc w:val="left"/>
      <w:pPr>
        <w:ind w:left="1888" w:hanging="360"/>
      </w:pPr>
      <w:rPr>
        <w:rFonts w:hint="default"/>
        <w:lang w:val="es-ES" w:eastAsia="en-US" w:bidi="ar-SA"/>
      </w:rPr>
    </w:lvl>
    <w:lvl w:ilvl="3" w:tplc="953474C4">
      <w:numFmt w:val="bullet"/>
      <w:lvlText w:val="•"/>
      <w:lvlJc w:val="left"/>
      <w:pPr>
        <w:ind w:left="2612" w:hanging="360"/>
      </w:pPr>
      <w:rPr>
        <w:rFonts w:hint="default"/>
        <w:lang w:val="es-ES" w:eastAsia="en-US" w:bidi="ar-SA"/>
      </w:rPr>
    </w:lvl>
    <w:lvl w:ilvl="4" w:tplc="ED301252">
      <w:numFmt w:val="bullet"/>
      <w:lvlText w:val="•"/>
      <w:lvlJc w:val="left"/>
      <w:pPr>
        <w:ind w:left="3336" w:hanging="360"/>
      </w:pPr>
      <w:rPr>
        <w:rFonts w:hint="default"/>
        <w:lang w:val="es-ES" w:eastAsia="en-US" w:bidi="ar-SA"/>
      </w:rPr>
    </w:lvl>
    <w:lvl w:ilvl="5" w:tplc="3022FC3E">
      <w:numFmt w:val="bullet"/>
      <w:lvlText w:val="•"/>
      <w:lvlJc w:val="left"/>
      <w:pPr>
        <w:ind w:left="4060" w:hanging="360"/>
      </w:pPr>
      <w:rPr>
        <w:rFonts w:hint="default"/>
        <w:lang w:val="es-ES" w:eastAsia="en-US" w:bidi="ar-SA"/>
      </w:rPr>
    </w:lvl>
    <w:lvl w:ilvl="6" w:tplc="7DD6EDC2">
      <w:numFmt w:val="bullet"/>
      <w:lvlText w:val="•"/>
      <w:lvlJc w:val="left"/>
      <w:pPr>
        <w:ind w:left="4784" w:hanging="360"/>
      </w:pPr>
      <w:rPr>
        <w:rFonts w:hint="default"/>
        <w:lang w:val="es-ES" w:eastAsia="en-US" w:bidi="ar-SA"/>
      </w:rPr>
    </w:lvl>
    <w:lvl w:ilvl="7" w:tplc="DBE8FE68">
      <w:numFmt w:val="bullet"/>
      <w:lvlText w:val="•"/>
      <w:lvlJc w:val="left"/>
      <w:pPr>
        <w:ind w:left="5508" w:hanging="360"/>
      </w:pPr>
      <w:rPr>
        <w:rFonts w:hint="default"/>
        <w:lang w:val="es-ES" w:eastAsia="en-US" w:bidi="ar-SA"/>
      </w:rPr>
    </w:lvl>
    <w:lvl w:ilvl="8" w:tplc="6F86DCE6">
      <w:numFmt w:val="bullet"/>
      <w:lvlText w:val="•"/>
      <w:lvlJc w:val="left"/>
      <w:pPr>
        <w:ind w:left="6232" w:hanging="360"/>
      </w:pPr>
      <w:rPr>
        <w:rFonts w:hint="default"/>
        <w:lang w:val="es-ES" w:eastAsia="en-US" w:bidi="ar-SA"/>
      </w:rPr>
    </w:lvl>
  </w:abstractNum>
  <w:abstractNum w:abstractNumId="52" w15:restartNumberingAfterBreak="0">
    <w:nsid w:val="755E6AA7"/>
    <w:multiLevelType w:val="hybridMultilevel"/>
    <w:tmpl w:val="D0BE873E"/>
    <w:lvl w:ilvl="0" w:tplc="BB66E140">
      <w:start w:val="1"/>
      <w:numFmt w:val="upperRoman"/>
      <w:lvlText w:val="%1."/>
      <w:lvlJc w:val="left"/>
      <w:pPr>
        <w:ind w:left="1240" w:hanging="432"/>
        <w:jc w:val="left"/>
      </w:pPr>
      <w:rPr>
        <w:rFonts w:ascii="Arial" w:eastAsia="Arial" w:hAnsi="Arial" w:cs="Arial" w:hint="default"/>
        <w:spacing w:val="-19"/>
        <w:w w:val="100"/>
        <w:sz w:val="18"/>
        <w:szCs w:val="18"/>
        <w:lang w:val="es-ES" w:eastAsia="en-US" w:bidi="ar-SA"/>
      </w:rPr>
    </w:lvl>
    <w:lvl w:ilvl="1" w:tplc="EF0657A0">
      <w:numFmt w:val="bullet"/>
      <w:lvlText w:val="•"/>
      <w:lvlJc w:val="left"/>
      <w:pPr>
        <w:ind w:left="2118" w:hanging="432"/>
      </w:pPr>
      <w:rPr>
        <w:rFonts w:hint="default"/>
        <w:lang w:val="es-ES" w:eastAsia="en-US" w:bidi="ar-SA"/>
      </w:rPr>
    </w:lvl>
    <w:lvl w:ilvl="2" w:tplc="F880D8C0">
      <w:numFmt w:val="bullet"/>
      <w:lvlText w:val="•"/>
      <w:lvlJc w:val="left"/>
      <w:pPr>
        <w:ind w:left="2996" w:hanging="432"/>
      </w:pPr>
      <w:rPr>
        <w:rFonts w:hint="default"/>
        <w:lang w:val="es-ES" w:eastAsia="en-US" w:bidi="ar-SA"/>
      </w:rPr>
    </w:lvl>
    <w:lvl w:ilvl="3" w:tplc="B8AADA60">
      <w:numFmt w:val="bullet"/>
      <w:lvlText w:val="•"/>
      <w:lvlJc w:val="left"/>
      <w:pPr>
        <w:ind w:left="3874" w:hanging="432"/>
      </w:pPr>
      <w:rPr>
        <w:rFonts w:hint="default"/>
        <w:lang w:val="es-ES" w:eastAsia="en-US" w:bidi="ar-SA"/>
      </w:rPr>
    </w:lvl>
    <w:lvl w:ilvl="4" w:tplc="2646D5A6">
      <w:numFmt w:val="bullet"/>
      <w:lvlText w:val="•"/>
      <w:lvlJc w:val="left"/>
      <w:pPr>
        <w:ind w:left="4752" w:hanging="432"/>
      </w:pPr>
      <w:rPr>
        <w:rFonts w:hint="default"/>
        <w:lang w:val="es-ES" w:eastAsia="en-US" w:bidi="ar-SA"/>
      </w:rPr>
    </w:lvl>
    <w:lvl w:ilvl="5" w:tplc="B9C096CA">
      <w:numFmt w:val="bullet"/>
      <w:lvlText w:val="•"/>
      <w:lvlJc w:val="left"/>
      <w:pPr>
        <w:ind w:left="5630" w:hanging="432"/>
      </w:pPr>
      <w:rPr>
        <w:rFonts w:hint="default"/>
        <w:lang w:val="es-ES" w:eastAsia="en-US" w:bidi="ar-SA"/>
      </w:rPr>
    </w:lvl>
    <w:lvl w:ilvl="6" w:tplc="36526756">
      <w:numFmt w:val="bullet"/>
      <w:lvlText w:val="•"/>
      <w:lvlJc w:val="left"/>
      <w:pPr>
        <w:ind w:left="6508" w:hanging="432"/>
      </w:pPr>
      <w:rPr>
        <w:rFonts w:hint="default"/>
        <w:lang w:val="es-ES" w:eastAsia="en-US" w:bidi="ar-SA"/>
      </w:rPr>
    </w:lvl>
    <w:lvl w:ilvl="7" w:tplc="BEA68D1E">
      <w:numFmt w:val="bullet"/>
      <w:lvlText w:val="•"/>
      <w:lvlJc w:val="left"/>
      <w:pPr>
        <w:ind w:left="7386" w:hanging="432"/>
      </w:pPr>
      <w:rPr>
        <w:rFonts w:hint="default"/>
        <w:lang w:val="es-ES" w:eastAsia="en-US" w:bidi="ar-SA"/>
      </w:rPr>
    </w:lvl>
    <w:lvl w:ilvl="8" w:tplc="2F2857F2">
      <w:numFmt w:val="bullet"/>
      <w:lvlText w:val="•"/>
      <w:lvlJc w:val="left"/>
      <w:pPr>
        <w:ind w:left="8264" w:hanging="432"/>
      </w:pPr>
      <w:rPr>
        <w:rFonts w:hint="default"/>
        <w:lang w:val="es-ES" w:eastAsia="en-US" w:bidi="ar-SA"/>
      </w:rPr>
    </w:lvl>
  </w:abstractNum>
  <w:abstractNum w:abstractNumId="53" w15:restartNumberingAfterBreak="0">
    <w:nsid w:val="78262852"/>
    <w:multiLevelType w:val="hybridMultilevel"/>
    <w:tmpl w:val="F88CC5E0"/>
    <w:lvl w:ilvl="0" w:tplc="9D289DDA">
      <w:start w:val="1"/>
      <w:numFmt w:val="upperRoman"/>
      <w:lvlText w:val="%1."/>
      <w:lvlJc w:val="left"/>
      <w:pPr>
        <w:ind w:left="1240" w:hanging="432"/>
        <w:jc w:val="left"/>
      </w:pPr>
      <w:rPr>
        <w:rFonts w:ascii="Arial" w:eastAsia="Arial" w:hAnsi="Arial" w:cs="Arial" w:hint="default"/>
        <w:spacing w:val="-19"/>
        <w:w w:val="100"/>
        <w:sz w:val="18"/>
        <w:szCs w:val="18"/>
        <w:lang w:val="es-ES" w:eastAsia="en-US" w:bidi="ar-SA"/>
      </w:rPr>
    </w:lvl>
    <w:lvl w:ilvl="1" w:tplc="4828978E">
      <w:numFmt w:val="bullet"/>
      <w:lvlText w:val="•"/>
      <w:lvlJc w:val="left"/>
      <w:pPr>
        <w:ind w:left="2118" w:hanging="432"/>
      </w:pPr>
      <w:rPr>
        <w:rFonts w:hint="default"/>
        <w:lang w:val="es-ES" w:eastAsia="en-US" w:bidi="ar-SA"/>
      </w:rPr>
    </w:lvl>
    <w:lvl w:ilvl="2" w:tplc="A0009D36">
      <w:numFmt w:val="bullet"/>
      <w:lvlText w:val="•"/>
      <w:lvlJc w:val="left"/>
      <w:pPr>
        <w:ind w:left="2996" w:hanging="432"/>
      </w:pPr>
      <w:rPr>
        <w:rFonts w:hint="default"/>
        <w:lang w:val="es-ES" w:eastAsia="en-US" w:bidi="ar-SA"/>
      </w:rPr>
    </w:lvl>
    <w:lvl w:ilvl="3" w:tplc="86E44066">
      <w:numFmt w:val="bullet"/>
      <w:lvlText w:val="•"/>
      <w:lvlJc w:val="left"/>
      <w:pPr>
        <w:ind w:left="3874" w:hanging="432"/>
      </w:pPr>
      <w:rPr>
        <w:rFonts w:hint="default"/>
        <w:lang w:val="es-ES" w:eastAsia="en-US" w:bidi="ar-SA"/>
      </w:rPr>
    </w:lvl>
    <w:lvl w:ilvl="4" w:tplc="D352760C">
      <w:numFmt w:val="bullet"/>
      <w:lvlText w:val="•"/>
      <w:lvlJc w:val="left"/>
      <w:pPr>
        <w:ind w:left="4752" w:hanging="432"/>
      </w:pPr>
      <w:rPr>
        <w:rFonts w:hint="default"/>
        <w:lang w:val="es-ES" w:eastAsia="en-US" w:bidi="ar-SA"/>
      </w:rPr>
    </w:lvl>
    <w:lvl w:ilvl="5" w:tplc="301C0B06">
      <w:numFmt w:val="bullet"/>
      <w:lvlText w:val="•"/>
      <w:lvlJc w:val="left"/>
      <w:pPr>
        <w:ind w:left="5630" w:hanging="432"/>
      </w:pPr>
      <w:rPr>
        <w:rFonts w:hint="default"/>
        <w:lang w:val="es-ES" w:eastAsia="en-US" w:bidi="ar-SA"/>
      </w:rPr>
    </w:lvl>
    <w:lvl w:ilvl="6" w:tplc="50E6F496">
      <w:numFmt w:val="bullet"/>
      <w:lvlText w:val="•"/>
      <w:lvlJc w:val="left"/>
      <w:pPr>
        <w:ind w:left="6508" w:hanging="432"/>
      </w:pPr>
      <w:rPr>
        <w:rFonts w:hint="default"/>
        <w:lang w:val="es-ES" w:eastAsia="en-US" w:bidi="ar-SA"/>
      </w:rPr>
    </w:lvl>
    <w:lvl w:ilvl="7" w:tplc="BDCA6966">
      <w:numFmt w:val="bullet"/>
      <w:lvlText w:val="•"/>
      <w:lvlJc w:val="left"/>
      <w:pPr>
        <w:ind w:left="7386" w:hanging="432"/>
      </w:pPr>
      <w:rPr>
        <w:rFonts w:hint="default"/>
        <w:lang w:val="es-ES" w:eastAsia="en-US" w:bidi="ar-SA"/>
      </w:rPr>
    </w:lvl>
    <w:lvl w:ilvl="8" w:tplc="E072F85E">
      <w:numFmt w:val="bullet"/>
      <w:lvlText w:val="•"/>
      <w:lvlJc w:val="left"/>
      <w:pPr>
        <w:ind w:left="8264" w:hanging="432"/>
      </w:pPr>
      <w:rPr>
        <w:rFonts w:hint="default"/>
        <w:lang w:val="es-ES" w:eastAsia="en-US" w:bidi="ar-SA"/>
      </w:rPr>
    </w:lvl>
  </w:abstractNum>
  <w:abstractNum w:abstractNumId="54" w15:restartNumberingAfterBreak="0">
    <w:nsid w:val="796F601F"/>
    <w:multiLevelType w:val="hybridMultilevel"/>
    <w:tmpl w:val="C05AC7D8"/>
    <w:lvl w:ilvl="0" w:tplc="4B240ABC">
      <w:start w:val="1"/>
      <w:numFmt w:val="lowerLetter"/>
      <w:lvlText w:val="%1."/>
      <w:lvlJc w:val="left"/>
      <w:pPr>
        <w:ind w:left="1600" w:hanging="360"/>
        <w:jc w:val="left"/>
      </w:pPr>
      <w:rPr>
        <w:rFonts w:ascii="Arial" w:eastAsia="Arial" w:hAnsi="Arial" w:cs="Arial" w:hint="default"/>
        <w:spacing w:val="-14"/>
        <w:w w:val="100"/>
        <w:sz w:val="18"/>
        <w:szCs w:val="18"/>
        <w:lang w:val="es-ES" w:eastAsia="en-US" w:bidi="ar-SA"/>
      </w:rPr>
    </w:lvl>
    <w:lvl w:ilvl="1" w:tplc="5442F4CC">
      <w:numFmt w:val="bullet"/>
      <w:lvlText w:val="•"/>
      <w:lvlJc w:val="left"/>
      <w:pPr>
        <w:ind w:left="2442" w:hanging="360"/>
      </w:pPr>
      <w:rPr>
        <w:rFonts w:hint="default"/>
        <w:lang w:val="es-ES" w:eastAsia="en-US" w:bidi="ar-SA"/>
      </w:rPr>
    </w:lvl>
    <w:lvl w:ilvl="2" w:tplc="BBD4556C">
      <w:numFmt w:val="bullet"/>
      <w:lvlText w:val="•"/>
      <w:lvlJc w:val="left"/>
      <w:pPr>
        <w:ind w:left="3284" w:hanging="360"/>
      </w:pPr>
      <w:rPr>
        <w:rFonts w:hint="default"/>
        <w:lang w:val="es-ES" w:eastAsia="en-US" w:bidi="ar-SA"/>
      </w:rPr>
    </w:lvl>
    <w:lvl w:ilvl="3" w:tplc="86144D7A">
      <w:numFmt w:val="bullet"/>
      <w:lvlText w:val="•"/>
      <w:lvlJc w:val="left"/>
      <w:pPr>
        <w:ind w:left="4126" w:hanging="360"/>
      </w:pPr>
      <w:rPr>
        <w:rFonts w:hint="default"/>
        <w:lang w:val="es-ES" w:eastAsia="en-US" w:bidi="ar-SA"/>
      </w:rPr>
    </w:lvl>
    <w:lvl w:ilvl="4" w:tplc="D3DC4D14">
      <w:numFmt w:val="bullet"/>
      <w:lvlText w:val="•"/>
      <w:lvlJc w:val="left"/>
      <w:pPr>
        <w:ind w:left="4968" w:hanging="360"/>
      </w:pPr>
      <w:rPr>
        <w:rFonts w:hint="default"/>
        <w:lang w:val="es-ES" w:eastAsia="en-US" w:bidi="ar-SA"/>
      </w:rPr>
    </w:lvl>
    <w:lvl w:ilvl="5" w:tplc="7FBA6B80">
      <w:numFmt w:val="bullet"/>
      <w:lvlText w:val="•"/>
      <w:lvlJc w:val="left"/>
      <w:pPr>
        <w:ind w:left="5810" w:hanging="360"/>
      </w:pPr>
      <w:rPr>
        <w:rFonts w:hint="default"/>
        <w:lang w:val="es-ES" w:eastAsia="en-US" w:bidi="ar-SA"/>
      </w:rPr>
    </w:lvl>
    <w:lvl w:ilvl="6" w:tplc="8336266A">
      <w:numFmt w:val="bullet"/>
      <w:lvlText w:val="•"/>
      <w:lvlJc w:val="left"/>
      <w:pPr>
        <w:ind w:left="6652" w:hanging="360"/>
      </w:pPr>
      <w:rPr>
        <w:rFonts w:hint="default"/>
        <w:lang w:val="es-ES" w:eastAsia="en-US" w:bidi="ar-SA"/>
      </w:rPr>
    </w:lvl>
    <w:lvl w:ilvl="7" w:tplc="1CC86DE8">
      <w:numFmt w:val="bullet"/>
      <w:lvlText w:val="•"/>
      <w:lvlJc w:val="left"/>
      <w:pPr>
        <w:ind w:left="7494" w:hanging="360"/>
      </w:pPr>
      <w:rPr>
        <w:rFonts w:hint="default"/>
        <w:lang w:val="es-ES" w:eastAsia="en-US" w:bidi="ar-SA"/>
      </w:rPr>
    </w:lvl>
    <w:lvl w:ilvl="8" w:tplc="BA2A52B8">
      <w:numFmt w:val="bullet"/>
      <w:lvlText w:val="•"/>
      <w:lvlJc w:val="left"/>
      <w:pPr>
        <w:ind w:left="8336" w:hanging="360"/>
      </w:pPr>
      <w:rPr>
        <w:rFonts w:hint="default"/>
        <w:lang w:val="es-ES" w:eastAsia="en-US" w:bidi="ar-SA"/>
      </w:rPr>
    </w:lvl>
  </w:abstractNum>
  <w:abstractNum w:abstractNumId="55" w15:restartNumberingAfterBreak="0">
    <w:nsid w:val="7A241A68"/>
    <w:multiLevelType w:val="hybridMultilevel"/>
    <w:tmpl w:val="56C2C112"/>
    <w:lvl w:ilvl="0" w:tplc="6AD85E3E">
      <w:numFmt w:val="bullet"/>
      <w:lvlText w:val=""/>
      <w:lvlJc w:val="left"/>
      <w:pPr>
        <w:ind w:left="449" w:hanging="360"/>
      </w:pPr>
      <w:rPr>
        <w:rFonts w:ascii="Symbol" w:eastAsia="Symbol" w:hAnsi="Symbol" w:cs="Symbol" w:hint="default"/>
        <w:w w:val="100"/>
        <w:position w:val="2"/>
        <w:sz w:val="16"/>
        <w:szCs w:val="16"/>
        <w:lang w:val="es-ES" w:eastAsia="en-US" w:bidi="ar-SA"/>
      </w:rPr>
    </w:lvl>
    <w:lvl w:ilvl="1" w:tplc="DCE0FF24">
      <w:numFmt w:val="bullet"/>
      <w:lvlText w:val="•"/>
      <w:lvlJc w:val="left"/>
      <w:pPr>
        <w:ind w:left="1164" w:hanging="360"/>
      </w:pPr>
      <w:rPr>
        <w:rFonts w:hint="default"/>
        <w:lang w:val="es-ES" w:eastAsia="en-US" w:bidi="ar-SA"/>
      </w:rPr>
    </w:lvl>
    <w:lvl w:ilvl="2" w:tplc="B8DC6328">
      <w:numFmt w:val="bullet"/>
      <w:lvlText w:val="•"/>
      <w:lvlJc w:val="left"/>
      <w:pPr>
        <w:ind w:left="1888" w:hanging="360"/>
      </w:pPr>
      <w:rPr>
        <w:rFonts w:hint="default"/>
        <w:lang w:val="es-ES" w:eastAsia="en-US" w:bidi="ar-SA"/>
      </w:rPr>
    </w:lvl>
    <w:lvl w:ilvl="3" w:tplc="62606FAC">
      <w:numFmt w:val="bullet"/>
      <w:lvlText w:val="•"/>
      <w:lvlJc w:val="left"/>
      <w:pPr>
        <w:ind w:left="2612" w:hanging="360"/>
      </w:pPr>
      <w:rPr>
        <w:rFonts w:hint="default"/>
        <w:lang w:val="es-ES" w:eastAsia="en-US" w:bidi="ar-SA"/>
      </w:rPr>
    </w:lvl>
    <w:lvl w:ilvl="4" w:tplc="8EBE79A2">
      <w:numFmt w:val="bullet"/>
      <w:lvlText w:val="•"/>
      <w:lvlJc w:val="left"/>
      <w:pPr>
        <w:ind w:left="3336" w:hanging="360"/>
      </w:pPr>
      <w:rPr>
        <w:rFonts w:hint="default"/>
        <w:lang w:val="es-ES" w:eastAsia="en-US" w:bidi="ar-SA"/>
      </w:rPr>
    </w:lvl>
    <w:lvl w:ilvl="5" w:tplc="B3F6778E">
      <w:numFmt w:val="bullet"/>
      <w:lvlText w:val="•"/>
      <w:lvlJc w:val="left"/>
      <w:pPr>
        <w:ind w:left="4060" w:hanging="360"/>
      </w:pPr>
      <w:rPr>
        <w:rFonts w:hint="default"/>
        <w:lang w:val="es-ES" w:eastAsia="en-US" w:bidi="ar-SA"/>
      </w:rPr>
    </w:lvl>
    <w:lvl w:ilvl="6" w:tplc="EF1A5A4C">
      <w:numFmt w:val="bullet"/>
      <w:lvlText w:val="•"/>
      <w:lvlJc w:val="left"/>
      <w:pPr>
        <w:ind w:left="4784" w:hanging="360"/>
      </w:pPr>
      <w:rPr>
        <w:rFonts w:hint="default"/>
        <w:lang w:val="es-ES" w:eastAsia="en-US" w:bidi="ar-SA"/>
      </w:rPr>
    </w:lvl>
    <w:lvl w:ilvl="7" w:tplc="7292BF64">
      <w:numFmt w:val="bullet"/>
      <w:lvlText w:val="•"/>
      <w:lvlJc w:val="left"/>
      <w:pPr>
        <w:ind w:left="5508" w:hanging="360"/>
      </w:pPr>
      <w:rPr>
        <w:rFonts w:hint="default"/>
        <w:lang w:val="es-ES" w:eastAsia="en-US" w:bidi="ar-SA"/>
      </w:rPr>
    </w:lvl>
    <w:lvl w:ilvl="8" w:tplc="111473AC">
      <w:numFmt w:val="bullet"/>
      <w:lvlText w:val="•"/>
      <w:lvlJc w:val="left"/>
      <w:pPr>
        <w:ind w:left="6232" w:hanging="360"/>
      </w:pPr>
      <w:rPr>
        <w:rFonts w:hint="default"/>
        <w:lang w:val="es-ES" w:eastAsia="en-US" w:bidi="ar-SA"/>
      </w:rPr>
    </w:lvl>
  </w:abstractNum>
  <w:abstractNum w:abstractNumId="56" w15:restartNumberingAfterBreak="0">
    <w:nsid w:val="7AA25D11"/>
    <w:multiLevelType w:val="hybridMultilevel"/>
    <w:tmpl w:val="4DC60A3C"/>
    <w:lvl w:ilvl="0" w:tplc="E5207A30">
      <w:numFmt w:val="bullet"/>
      <w:lvlText w:val=""/>
      <w:lvlJc w:val="left"/>
      <w:pPr>
        <w:ind w:left="438" w:hanging="360"/>
      </w:pPr>
      <w:rPr>
        <w:rFonts w:ascii="Symbol" w:eastAsia="Symbol" w:hAnsi="Symbol" w:cs="Symbol" w:hint="default"/>
        <w:w w:val="100"/>
        <w:position w:val="2"/>
        <w:sz w:val="16"/>
        <w:szCs w:val="16"/>
        <w:lang w:val="es-ES" w:eastAsia="en-US" w:bidi="ar-SA"/>
      </w:rPr>
    </w:lvl>
    <w:lvl w:ilvl="1" w:tplc="1C88F022">
      <w:numFmt w:val="bullet"/>
      <w:lvlText w:val="•"/>
      <w:lvlJc w:val="left"/>
      <w:pPr>
        <w:ind w:left="801" w:hanging="360"/>
      </w:pPr>
      <w:rPr>
        <w:rFonts w:hint="default"/>
        <w:lang w:val="es-ES" w:eastAsia="en-US" w:bidi="ar-SA"/>
      </w:rPr>
    </w:lvl>
    <w:lvl w:ilvl="2" w:tplc="F33AB28E">
      <w:numFmt w:val="bullet"/>
      <w:lvlText w:val="•"/>
      <w:lvlJc w:val="left"/>
      <w:pPr>
        <w:ind w:left="1163" w:hanging="360"/>
      </w:pPr>
      <w:rPr>
        <w:rFonts w:hint="default"/>
        <w:lang w:val="es-ES" w:eastAsia="en-US" w:bidi="ar-SA"/>
      </w:rPr>
    </w:lvl>
    <w:lvl w:ilvl="3" w:tplc="6F441AA4">
      <w:numFmt w:val="bullet"/>
      <w:lvlText w:val="•"/>
      <w:lvlJc w:val="left"/>
      <w:pPr>
        <w:ind w:left="1525" w:hanging="360"/>
      </w:pPr>
      <w:rPr>
        <w:rFonts w:hint="default"/>
        <w:lang w:val="es-ES" w:eastAsia="en-US" w:bidi="ar-SA"/>
      </w:rPr>
    </w:lvl>
    <w:lvl w:ilvl="4" w:tplc="6AE2F354">
      <w:numFmt w:val="bullet"/>
      <w:lvlText w:val="•"/>
      <w:lvlJc w:val="left"/>
      <w:pPr>
        <w:ind w:left="1886" w:hanging="360"/>
      </w:pPr>
      <w:rPr>
        <w:rFonts w:hint="default"/>
        <w:lang w:val="es-ES" w:eastAsia="en-US" w:bidi="ar-SA"/>
      </w:rPr>
    </w:lvl>
    <w:lvl w:ilvl="5" w:tplc="8AD811FC">
      <w:numFmt w:val="bullet"/>
      <w:lvlText w:val="•"/>
      <w:lvlJc w:val="left"/>
      <w:pPr>
        <w:ind w:left="2248" w:hanging="360"/>
      </w:pPr>
      <w:rPr>
        <w:rFonts w:hint="default"/>
        <w:lang w:val="es-ES" w:eastAsia="en-US" w:bidi="ar-SA"/>
      </w:rPr>
    </w:lvl>
    <w:lvl w:ilvl="6" w:tplc="44BC54E8">
      <w:numFmt w:val="bullet"/>
      <w:lvlText w:val="•"/>
      <w:lvlJc w:val="left"/>
      <w:pPr>
        <w:ind w:left="2610" w:hanging="360"/>
      </w:pPr>
      <w:rPr>
        <w:rFonts w:hint="default"/>
        <w:lang w:val="es-ES" w:eastAsia="en-US" w:bidi="ar-SA"/>
      </w:rPr>
    </w:lvl>
    <w:lvl w:ilvl="7" w:tplc="B9BCEAF2">
      <w:numFmt w:val="bullet"/>
      <w:lvlText w:val="•"/>
      <w:lvlJc w:val="left"/>
      <w:pPr>
        <w:ind w:left="2971" w:hanging="360"/>
      </w:pPr>
      <w:rPr>
        <w:rFonts w:hint="default"/>
        <w:lang w:val="es-ES" w:eastAsia="en-US" w:bidi="ar-SA"/>
      </w:rPr>
    </w:lvl>
    <w:lvl w:ilvl="8" w:tplc="ECEE11D8">
      <w:numFmt w:val="bullet"/>
      <w:lvlText w:val="•"/>
      <w:lvlJc w:val="left"/>
      <w:pPr>
        <w:ind w:left="3333" w:hanging="360"/>
      </w:pPr>
      <w:rPr>
        <w:rFonts w:hint="default"/>
        <w:lang w:val="es-ES" w:eastAsia="en-US" w:bidi="ar-SA"/>
      </w:rPr>
    </w:lvl>
  </w:abstractNum>
  <w:abstractNum w:abstractNumId="57" w15:restartNumberingAfterBreak="0">
    <w:nsid w:val="7C0B0E37"/>
    <w:multiLevelType w:val="hybridMultilevel"/>
    <w:tmpl w:val="FDC8A730"/>
    <w:lvl w:ilvl="0" w:tplc="669028F0">
      <w:numFmt w:val="bullet"/>
      <w:lvlText w:val=""/>
      <w:lvlJc w:val="left"/>
      <w:pPr>
        <w:ind w:left="438" w:hanging="360"/>
      </w:pPr>
      <w:rPr>
        <w:rFonts w:ascii="Symbol" w:eastAsia="Symbol" w:hAnsi="Symbol" w:cs="Symbol" w:hint="default"/>
        <w:w w:val="100"/>
        <w:position w:val="2"/>
        <w:sz w:val="16"/>
        <w:szCs w:val="16"/>
        <w:lang w:val="es-ES" w:eastAsia="en-US" w:bidi="ar-SA"/>
      </w:rPr>
    </w:lvl>
    <w:lvl w:ilvl="1" w:tplc="ECA87802">
      <w:numFmt w:val="bullet"/>
      <w:lvlText w:val="•"/>
      <w:lvlJc w:val="left"/>
      <w:pPr>
        <w:ind w:left="801" w:hanging="360"/>
      </w:pPr>
      <w:rPr>
        <w:rFonts w:hint="default"/>
        <w:lang w:val="es-ES" w:eastAsia="en-US" w:bidi="ar-SA"/>
      </w:rPr>
    </w:lvl>
    <w:lvl w:ilvl="2" w:tplc="798C6DA4">
      <w:numFmt w:val="bullet"/>
      <w:lvlText w:val="•"/>
      <w:lvlJc w:val="left"/>
      <w:pPr>
        <w:ind w:left="1163" w:hanging="360"/>
      </w:pPr>
      <w:rPr>
        <w:rFonts w:hint="default"/>
        <w:lang w:val="es-ES" w:eastAsia="en-US" w:bidi="ar-SA"/>
      </w:rPr>
    </w:lvl>
    <w:lvl w:ilvl="3" w:tplc="8B942110">
      <w:numFmt w:val="bullet"/>
      <w:lvlText w:val="•"/>
      <w:lvlJc w:val="left"/>
      <w:pPr>
        <w:ind w:left="1525" w:hanging="360"/>
      </w:pPr>
      <w:rPr>
        <w:rFonts w:hint="default"/>
        <w:lang w:val="es-ES" w:eastAsia="en-US" w:bidi="ar-SA"/>
      </w:rPr>
    </w:lvl>
    <w:lvl w:ilvl="4" w:tplc="DC4851CC">
      <w:numFmt w:val="bullet"/>
      <w:lvlText w:val="•"/>
      <w:lvlJc w:val="left"/>
      <w:pPr>
        <w:ind w:left="1886" w:hanging="360"/>
      </w:pPr>
      <w:rPr>
        <w:rFonts w:hint="default"/>
        <w:lang w:val="es-ES" w:eastAsia="en-US" w:bidi="ar-SA"/>
      </w:rPr>
    </w:lvl>
    <w:lvl w:ilvl="5" w:tplc="8760D438">
      <w:numFmt w:val="bullet"/>
      <w:lvlText w:val="•"/>
      <w:lvlJc w:val="left"/>
      <w:pPr>
        <w:ind w:left="2248" w:hanging="360"/>
      </w:pPr>
      <w:rPr>
        <w:rFonts w:hint="default"/>
        <w:lang w:val="es-ES" w:eastAsia="en-US" w:bidi="ar-SA"/>
      </w:rPr>
    </w:lvl>
    <w:lvl w:ilvl="6" w:tplc="238885F6">
      <w:numFmt w:val="bullet"/>
      <w:lvlText w:val="•"/>
      <w:lvlJc w:val="left"/>
      <w:pPr>
        <w:ind w:left="2610" w:hanging="360"/>
      </w:pPr>
      <w:rPr>
        <w:rFonts w:hint="default"/>
        <w:lang w:val="es-ES" w:eastAsia="en-US" w:bidi="ar-SA"/>
      </w:rPr>
    </w:lvl>
    <w:lvl w:ilvl="7" w:tplc="C70EF2D0">
      <w:numFmt w:val="bullet"/>
      <w:lvlText w:val="•"/>
      <w:lvlJc w:val="left"/>
      <w:pPr>
        <w:ind w:left="2971" w:hanging="360"/>
      </w:pPr>
      <w:rPr>
        <w:rFonts w:hint="default"/>
        <w:lang w:val="es-ES" w:eastAsia="en-US" w:bidi="ar-SA"/>
      </w:rPr>
    </w:lvl>
    <w:lvl w:ilvl="8" w:tplc="AE2EB6E6">
      <w:numFmt w:val="bullet"/>
      <w:lvlText w:val="•"/>
      <w:lvlJc w:val="left"/>
      <w:pPr>
        <w:ind w:left="3333" w:hanging="360"/>
      </w:pPr>
      <w:rPr>
        <w:rFonts w:hint="default"/>
        <w:lang w:val="es-ES" w:eastAsia="en-US" w:bidi="ar-SA"/>
      </w:rPr>
    </w:lvl>
  </w:abstractNum>
  <w:abstractNum w:abstractNumId="58" w15:restartNumberingAfterBreak="0">
    <w:nsid w:val="7DD24624"/>
    <w:multiLevelType w:val="hybridMultilevel"/>
    <w:tmpl w:val="1FDA79AE"/>
    <w:lvl w:ilvl="0" w:tplc="950C5416">
      <w:start w:val="1"/>
      <w:numFmt w:val="lowerLetter"/>
      <w:lvlText w:val="%1)"/>
      <w:lvlJc w:val="left"/>
      <w:pPr>
        <w:ind w:left="1218" w:hanging="419"/>
        <w:jc w:val="left"/>
      </w:pPr>
      <w:rPr>
        <w:rFonts w:ascii="Arial" w:eastAsia="Arial" w:hAnsi="Arial" w:cs="Arial" w:hint="default"/>
        <w:b/>
        <w:bCs/>
        <w:i/>
        <w:spacing w:val="-7"/>
        <w:w w:val="100"/>
        <w:sz w:val="18"/>
        <w:szCs w:val="18"/>
        <w:lang w:val="es-ES" w:eastAsia="en-US" w:bidi="ar-SA"/>
      </w:rPr>
    </w:lvl>
    <w:lvl w:ilvl="1" w:tplc="5444084C">
      <w:numFmt w:val="bullet"/>
      <w:lvlText w:val="•"/>
      <w:lvlJc w:val="left"/>
      <w:pPr>
        <w:ind w:left="2100" w:hanging="419"/>
      </w:pPr>
      <w:rPr>
        <w:rFonts w:hint="default"/>
        <w:lang w:val="es-ES" w:eastAsia="en-US" w:bidi="ar-SA"/>
      </w:rPr>
    </w:lvl>
    <w:lvl w:ilvl="2" w:tplc="C600894E">
      <w:numFmt w:val="bullet"/>
      <w:lvlText w:val="•"/>
      <w:lvlJc w:val="left"/>
      <w:pPr>
        <w:ind w:left="2980" w:hanging="419"/>
      </w:pPr>
      <w:rPr>
        <w:rFonts w:hint="default"/>
        <w:lang w:val="es-ES" w:eastAsia="en-US" w:bidi="ar-SA"/>
      </w:rPr>
    </w:lvl>
    <w:lvl w:ilvl="3" w:tplc="17B251A6">
      <w:numFmt w:val="bullet"/>
      <w:lvlText w:val="•"/>
      <w:lvlJc w:val="left"/>
      <w:pPr>
        <w:ind w:left="3860" w:hanging="419"/>
      </w:pPr>
      <w:rPr>
        <w:rFonts w:hint="default"/>
        <w:lang w:val="es-ES" w:eastAsia="en-US" w:bidi="ar-SA"/>
      </w:rPr>
    </w:lvl>
    <w:lvl w:ilvl="4" w:tplc="C0A86C28">
      <w:numFmt w:val="bullet"/>
      <w:lvlText w:val="•"/>
      <w:lvlJc w:val="left"/>
      <w:pPr>
        <w:ind w:left="4740" w:hanging="419"/>
      </w:pPr>
      <w:rPr>
        <w:rFonts w:hint="default"/>
        <w:lang w:val="es-ES" w:eastAsia="en-US" w:bidi="ar-SA"/>
      </w:rPr>
    </w:lvl>
    <w:lvl w:ilvl="5" w:tplc="A3CAE8DA">
      <w:numFmt w:val="bullet"/>
      <w:lvlText w:val="•"/>
      <w:lvlJc w:val="left"/>
      <w:pPr>
        <w:ind w:left="5620" w:hanging="419"/>
      </w:pPr>
      <w:rPr>
        <w:rFonts w:hint="default"/>
        <w:lang w:val="es-ES" w:eastAsia="en-US" w:bidi="ar-SA"/>
      </w:rPr>
    </w:lvl>
    <w:lvl w:ilvl="6" w:tplc="B51A341C">
      <w:numFmt w:val="bullet"/>
      <w:lvlText w:val="•"/>
      <w:lvlJc w:val="left"/>
      <w:pPr>
        <w:ind w:left="6500" w:hanging="419"/>
      </w:pPr>
      <w:rPr>
        <w:rFonts w:hint="default"/>
        <w:lang w:val="es-ES" w:eastAsia="en-US" w:bidi="ar-SA"/>
      </w:rPr>
    </w:lvl>
    <w:lvl w:ilvl="7" w:tplc="95B27744">
      <w:numFmt w:val="bullet"/>
      <w:lvlText w:val="•"/>
      <w:lvlJc w:val="left"/>
      <w:pPr>
        <w:ind w:left="7380" w:hanging="419"/>
      </w:pPr>
      <w:rPr>
        <w:rFonts w:hint="default"/>
        <w:lang w:val="es-ES" w:eastAsia="en-US" w:bidi="ar-SA"/>
      </w:rPr>
    </w:lvl>
    <w:lvl w:ilvl="8" w:tplc="00982C8E">
      <w:numFmt w:val="bullet"/>
      <w:lvlText w:val="•"/>
      <w:lvlJc w:val="left"/>
      <w:pPr>
        <w:ind w:left="8260" w:hanging="419"/>
      </w:pPr>
      <w:rPr>
        <w:rFonts w:hint="default"/>
        <w:lang w:val="es-ES" w:eastAsia="en-US" w:bidi="ar-SA"/>
      </w:rPr>
    </w:lvl>
  </w:abstractNum>
  <w:abstractNum w:abstractNumId="59" w15:restartNumberingAfterBreak="0">
    <w:nsid w:val="7F966A7E"/>
    <w:multiLevelType w:val="hybridMultilevel"/>
    <w:tmpl w:val="66845516"/>
    <w:lvl w:ilvl="0" w:tplc="8472A9A2">
      <w:start w:val="1"/>
      <w:numFmt w:val="lowerRoman"/>
      <w:lvlText w:val="%1."/>
      <w:lvlJc w:val="left"/>
      <w:pPr>
        <w:ind w:left="1240" w:hanging="91"/>
        <w:jc w:val="left"/>
      </w:pPr>
      <w:rPr>
        <w:rFonts w:ascii="Arial" w:eastAsia="Arial" w:hAnsi="Arial" w:cs="Arial" w:hint="default"/>
        <w:spacing w:val="-19"/>
        <w:w w:val="100"/>
        <w:sz w:val="16"/>
        <w:szCs w:val="16"/>
        <w:lang w:val="es-ES" w:eastAsia="en-US" w:bidi="ar-SA"/>
      </w:rPr>
    </w:lvl>
    <w:lvl w:ilvl="1" w:tplc="3E223208">
      <w:numFmt w:val="bullet"/>
      <w:lvlText w:val="•"/>
      <w:lvlJc w:val="left"/>
      <w:pPr>
        <w:ind w:left="2118" w:hanging="91"/>
      </w:pPr>
      <w:rPr>
        <w:rFonts w:hint="default"/>
        <w:lang w:val="es-ES" w:eastAsia="en-US" w:bidi="ar-SA"/>
      </w:rPr>
    </w:lvl>
    <w:lvl w:ilvl="2" w:tplc="B8844328">
      <w:numFmt w:val="bullet"/>
      <w:lvlText w:val="•"/>
      <w:lvlJc w:val="left"/>
      <w:pPr>
        <w:ind w:left="2996" w:hanging="91"/>
      </w:pPr>
      <w:rPr>
        <w:rFonts w:hint="default"/>
        <w:lang w:val="es-ES" w:eastAsia="en-US" w:bidi="ar-SA"/>
      </w:rPr>
    </w:lvl>
    <w:lvl w:ilvl="3" w:tplc="AAB42C20">
      <w:numFmt w:val="bullet"/>
      <w:lvlText w:val="•"/>
      <w:lvlJc w:val="left"/>
      <w:pPr>
        <w:ind w:left="3874" w:hanging="91"/>
      </w:pPr>
      <w:rPr>
        <w:rFonts w:hint="default"/>
        <w:lang w:val="es-ES" w:eastAsia="en-US" w:bidi="ar-SA"/>
      </w:rPr>
    </w:lvl>
    <w:lvl w:ilvl="4" w:tplc="24E48906">
      <w:numFmt w:val="bullet"/>
      <w:lvlText w:val="•"/>
      <w:lvlJc w:val="left"/>
      <w:pPr>
        <w:ind w:left="4752" w:hanging="91"/>
      </w:pPr>
      <w:rPr>
        <w:rFonts w:hint="default"/>
        <w:lang w:val="es-ES" w:eastAsia="en-US" w:bidi="ar-SA"/>
      </w:rPr>
    </w:lvl>
    <w:lvl w:ilvl="5" w:tplc="2DB6FC3A">
      <w:numFmt w:val="bullet"/>
      <w:lvlText w:val="•"/>
      <w:lvlJc w:val="left"/>
      <w:pPr>
        <w:ind w:left="5630" w:hanging="91"/>
      </w:pPr>
      <w:rPr>
        <w:rFonts w:hint="default"/>
        <w:lang w:val="es-ES" w:eastAsia="en-US" w:bidi="ar-SA"/>
      </w:rPr>
    </w:lvl>
    <w:lvl w:ilvl="6" w:tplc="D8ACC5E4">
      <w:numFmt w:val="bullet"/>
      <w:lvlText w:val="•"/>
      <w:lvlJc w:val="left"/>
      <w:pPr>
        <w:ind w:left="6508" w:hanging="91"/>
      </w:pPr>
      <w:rPr>
        <w:rFonts w:hint="default"/>
        <w:lang w:val="es-ES" w:eastAsia="en-US" w:bidi="ar-SA"/>
      </w:rPr>
    </w:lvl>
    <w:lvl w:ilvl="7" w:tplc="5D8E9412">
      <w:numFmt w:val="bullet"/>
      <w:lvlText w:val="•"/>
      <w:lvlJc w:val="left"/>
      <w:pPr>
        <w:ind w:left="7386" w:hanging="91"/>
      </w:pPr>
      <w:rPr>
        <w:rFonts w:hint="default"/>
        <w:lang w:val="es-ES" w:eastAsia="en-US" w:bidi="ar-SA"/>
      </w:rPr>
    </w:lvl>
    <w:lvl w:ilvl="8" w:tplc="112E80C6">
      <w:numFmt w:val="bullet"/>
      <w:lvlText w:val="•"/>
      <w:lvlJc w:val="left"/>
      <w:pPr>
        <w:ind w:left="8264" w:hanging="91"/>
      </w:pPr>
      <w:rPr>
        <w:rFonts w:hint="default"/>
        <w:lang w:val="es-ES" w:eastAsia="en-US" w:bidi="ar-SA"/>
      </w:rPr>
    </w:lvl>
  </w:abstractNum>
  <w:num w:numId="1">
    <w:abstractNumId w:val="48"/>
  </w:num>
  <w:num w:numId="2">
    <w:abstractNumId w:val="44"/>
  </w:num>
  <w:num w:numId="3">
    <w:abstractNumId w:val="51"/>
  </w:num>
  <w:num w:numId="4">
    <w:abstractNumId w:val="50"/>
  </w:num>
  <w:num w:numId="5">
    <w:abstractNumId w:val="55"/>
  </w:num>
  <w:num w:numId="6">
    <w:abstractNumId w:val="7"/>
  </w:num>
  <w:num w:numId="7">
    <w:abstractNumId w:val="1"/>
  </w:num>
  <w:num w:numId="8">
    <w:abstractNumId w:val="24"/>
  </w:num>
  <w:num w:numId="9">
    <w:abstractNumId w:val="46"/>
  </w:num>
  <w:num w:numId="10">
    <w:abstractNumId w:val="6"/>
  </w:num>
  <w:num w:numId="11">
    <w:abstractNumId w:val="31"/>
  </w:num>
  <w:num w:numId="12">
    <w:abstractNumId w:val="38"/>
  </w:num>
  <w:num w:numId="13">
    <w:abstractNumId w:val="4"/>
  </w:num>
  <w:num w:numId="14">
    <w:abstractNumId w:val="0"/>
  </w:num>
  <w:num w:numId="15">
    <w:abstractNumId w:val="32"/>
  </w:num>
  <w:num w:numId="16">
    <w:abstractNumId w:val="37"/>
  </w:num>
  <w:num w:numId="17">
    <w:abstractNumId w:val="23"/>
  </w:num>
  <w:num w:numId="18">
    <w:abstractNumId w:val="57"/>
  </w:num>
  <w:num w:numId="19">
    <w:abstractNumId w:val="9"/>
  </w:num>
  <w:num w:numId="20">
    <w:abstractNumId w:val="41"/>
  </w:num>
  <w:num w:numId="21">
    <w:abstractNumId w:val="56"/>
  </w:num>
  <w:num w:numId="22">
    <w:abstractNumId w:val="2"/>
  </w:num>
  <w:num w:numId="23">
    <w:abstractNumId w:val="47"/>
  </w:num>
  <w:num w:numId="24">
    <w:abstractNumId w:val="13"/>
  </w:num>
  <w:num w:numId="25">
    <w:abstractNumId w:val="20"/>
  </w:num>
  <w:num w:numId="26">
    <w:abstractNumId w:val="26"/>
  </w:num>
  <w:num w:numId="27">
    <w:abstractNumId w:val="15"/>
  </w:num>
  <w:num w:numId="28">
    <w:abstractNumId w:val="33"/>
  </w:num>
  <w:num w:numId="29">
    <w:abstractNumId w:val="12"/>
  </w:num>
  <w:num w:numId="30">
    <w:abstractNumId w:val="18"/>
  </w:num>
  <w:num w:numId="31">
    <w:abstractNumId w:val="53"/>
  </w:num>
  <w:num w:numId="32">
    <w:abstractNumId w:val="52"/>
  </w:num>
  <w:num w:numId="33">
    <w:abstractNumId w:val="22"/>
  </w:num>
  <w:num w:numId="34">
    <w:abstractNumId w:val="34"/>
  </w:num>
  <w:num w:numId="35">
    <w:abstractNumId w:val="16"/>
  </w:num>
  <w:num w:numId="36">
    <w:abstractNumId w:val="45"/>
  </w:num>
  <w:num w:numId="37">
    <w:abstractNumId w:val="59"/>
  </w:num>
  <w:num w:numId="38">
    <w:abstractNumId w:val="39"/>
  </w:num>
  <w:num w:numId="39">
    <w:abstractNumId w:val="11"/>
  </w:num>
  <w:num w:numId="40">
    <w:abstractNumId w:val="21"/>
  </w:num>
  <w:num w:numId="41">
    <w:abstractNumId w:val="49"/>
  </w:num>
  <w:num w:numId="42">
    <w:abstractNumId w:val="17"/>
  </w:num>
  <w:num w:numId="43">
    <w:abstractNumId w:val="54"/>
  </w:num>
  <w:num w:numId="44">
    <w:abstractNumId w:val="40"/>
  </w:num>
  <w:num w:numId="45">
    <w:abstractNumId w:val="58"/>
  </w:num>
  <w:num w:numId="46">
    <w:abstractNumId w:val="43"/>
  </w:num>
  <w:num w:numId="47">
    <w:abstractNumId w:val="35"/>
  </w:num>
  <w:num w:numId="48">
    <w:abstractNumId w:val="28"/>
  </w:num>
  <w:num w:numId="49">
    <w:abstractNumId w:val="10"/>
  </w:num>
  <w:num w:numId="50">
    <w:abstractNumId w:val="5"/>
  </w:num>
  <w:num w:numId="51">
    <w:abstractNumId w:val="30"/>
  </w:num>
  <w:num w:numId="52">
    <w:abstractNumId w:val="27"/>
  </w:num>
  <w:num w:numId="53">
    <w:abstractNumId w:val="29"/>
  </w:num>
  <w:num w:numId="54">
    <w:abstractNumId w:val="8"/>
  </w:num>
  <w:num w:numId="55">
    <w:abstractNumId w:val="3"/>
  </w:num>
  <w:num w:numId="56">
    <w:abstractNumId w:val="14"/>
  </w:num>
  <w:num w:numId="57">
    <w:abstractNumId w:val="42"/>
  </w:num>
  <w:num w:numId="58">
    <w:abstractNumId w:val="36"/>
  </w:num>
  <w:num w:numId="59">
    <w:abstractNumId w:val="19"/>
  </w:num>
  <w:num w:numId="60">
    <w:abstractNumId w:val="25"/>
  </w:num>
  <w:numIdMacAtCleanup w:val="60"/>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defaultTabStop w:val="720"/>
  <w:hyphenationZone w:val="425"/>
  <w:evenAndOddHeaders/>
  <w:drawingGridHorizontalSpacing w:val="110"/>
  <w:displayHorizontalDrawingGridEvery w:val="2"/>
  <w:characterSpacingControl w:val="doNotCompress"/>
  <w:hdrShapeDefaults>
    <o:shapedefaults v:ext="edit" spidmax="2049"/>
  </w:hdrShapeDefaults>
  <w:footnotePr>
    <w:footnote w:id="-1"/>
    <w:footnote w:id="0"/>
  </w:footnotePr>
  <w:endnotePr>
    <w:endnote w:id="-1"/>
    <w:endnote w:id="0"/>
  </w:endnotePr>
  <w:compat>
    <w:ulTrailSpace/>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63476"/>
    <w:rsid w:val="00A63476"/>
    <w:rsid w:val="00C931AF"/>
    <w:rsid w:val="00D22874"/>
    <w:rsid w:val="00FF0FB3"/>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41C11F16"/>
  <w15:docId w15:val="{799E7556-43F2-44E7-BB07-03A89929957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rFonts w:ascii="Arial" w:eastAsia="Arial" w:hAnsi="Arial" w:cs="Arial"/>
      <w:lang w:val="es-ES"/>
    </w:rPr>
  </w:style>
  <w:style w:type="paragraph" w:styleId="Ttulo1">
    <w:name w:val="heading 1"/>
    <w:basedOn w:val="Normal"/>
    <w:uiPriority w:val="9"/>
    <w:qFormat/>
    <w:pPr>
      <w:spacing w:before="82"/>
      <w:ind w:left="1100"/>
      <w:jc w:val="both"/>
      <w:outlineLvl w:val="0"/>
    </w:pPr>
    <w:rPr>
      <w:b/>
      <w:bCs/>
      <w:sz w:val="18"/>
      <w:szCs w:val="18"/>
    </w:rPr>
  </w:style>
  <w:style w:type="paragraph" w:styleId="Ttulo2">
    <w:name w:val="heading 2"/>
    <w:basedOn w:val="Normal"/>
    <w:uiPriority w:val="9"/>
    <w:unhideWhenUsed/>
    <w:qFormat/>
    <w:pPr>
      <w:spacing w:before="105"/>
      <w:ind w:left="1218" w:hanging="419"/>
      <w:jc w:val="both"/>
      <w:outlineLvl w:val="1"/>
    </w:pPr>
    <w:rPr>
      <w:b/>
      <w:bCs/>
      <w:i/>
      <w:sz w:val="18"/>
      <w:szCs w:val="18"/>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table" w:customStyle="1" w:styleId="TableNormal">
    <w:name w:val="Table Normal"/>
    <w:uiPriority w:val="2"/>
    <w:semiHidden/>
    <w:unhideWhenUsed/>
    <w:qFormat/>
    <w:tblPr>
      <w:tblInd w:w="0" w:type="dxa"/>
      <w:tblCellMar>
        <w:top w:w="0" w:type="dxa"/>
        <w:left w:w="0" w:type="dxa"/>
        <w:bottom w:w="0" w:type="dxa"/>
        <w:right w:w="0" w:type="dxa"/>
      </w:tblCellMar>
    </w:tblPr>
  </w:style>
  <w:style w:type="paragraph" w:styleId="Textoindependiente">
    <w:name w:val="Body Text"/>
    <w:basedOn w:val="Normal"/>
    <w:uiPriority w:val="1"/>
    <w:qFormat/>
    <w:pPr>
      <w:ind w:left="520" w:right="655" w:firstLine="280"/>
      <w:jc w:val="both"/>
    </w:pPr>
    <w:rPr>
      <w:sz w:val="18"/>
      <w:szCs w:val="18"/>
    </w:rPr>
  </w:style>
  <w:style w:type="paragraph" w:styleId="Ttulo">
    <w:name w:val="Title"/>
    <w:basedOn w:val="Normal"/>
    <w:uiPriority w:val="10"/>
    <w:qFormat/>
    <w:pPr>
      <w:ind w:left="884" w:right="1002"/>
      <w:jc w:val="center"/>
    </w:pPr>
    <w:rPr>
      <w:rFonts w:ascii="Times New Roman" w:eastAsia="Times New Roman" w:hAnsi="Times New Roman" w:cs="Times New Roman"/>
      <w:b/>
      <w:bCs/>
      <w:sz w:val="28"/>
      <w:szCs w:val="28"/>
    </w:rPr>
  </w:style>
  <w:style w:type="paragraph" w:styleId="Prrafodelista">
    <w:name w:val="List Paragraph"/>
    <w:basedOn w:val="Normal"/>
    <w:uiPriority w:val="1"/>
    <w:qFormat/>
    <w:pPr>
      <w:spacing w:before="101"/>
      <w:ind w:left="1240" w:hanging="440"/>
      <w:jc w:val="both"/>
    </w:pPr>
  </w:style>
  <w:style w:type="paragraph" w:customStyle="1" w:styleId="TableParagraph">
    <w:name w:val="Table Paragraph"/>
    <w:basedOn w:val="Normal"/>
    <w:uiPriority w:val="1"/>
    <w:qFormat/>
  </w:style>
  <w:style w:type="paragraph" w:styleId="Piedepgina">
    <w:name w:val="footer"/>
    <w:basedOn w:val="Normal"/>
    <w:link w:val="PiedepginaCar"/>
    <w:uiPriority w:val="99"/>
    <w:unhideWhenUsed/>
    <w:rsid w:val="00C931AF"/>
    <w:pPr>
      <w:tabs>
        <w:tab w:val="center" w:pos="4419"/>
        <w:tab w:val="right" w:pos="8838"/>
      </w:tabs>
    </w:pPr>
  </w:style>
  <w:style w:type="character" w:customStyle="1" w:styleId="PiedepginaCar">
    <w:name w:val="Pie de página Car"/>
    <w:basedOn w:val="Fuentedeprrafopredeter"/>
    <w:link w:val="Piedepgina"/>
    <w:uiPriority w:val="99"/>
    <w:rsid w:val="00C931AF"/>
    <w:rPr>
      <w:rFonts w:ascii="Arial" w:eastAsia="Arial" w:hAnsi="Arial" w:cs="Arial"/>
      <w:lang w:val="es-ES"/>
    </w:rPr>
  </w:style>
  <w:style w:type="paragraph" w:styleId="Encabezado">
    <w:name w:val="header"/>
    <w:basedOn w:val="Normal"/>
    <w:link w:val="EncabezadoCar"/>
    <w:uiPriority w:val="99"/>
    <w:unhideWhenUsed/>
    <w:rsid w:val="00C931AF"/>
    <w:pPr>
      <w:tabs>
        <w:tab w:val="center" w:pos="4419"/>
        <w:tab w:val="right" w:pos="8838"/>
      </w:tabs>
    </w:pPr>
  </w:style>
  <w:style w:type="character" w:customStyle="1" w:styleId="EncabezadoCar">
    <w:name w:val="Encabezado Car"/>
    <w:basedOn w:val="Fuentedeprrafopredeter"/>
    <w:link w:val="Encabezado"/>
    <w:uiPriority w:val="99"/>
    <w:rsid w:val="00C931AF"/>
    <w:rPr>
      <w:rFonts w:ascii="Arial" w:eastAsia="Arial" w:hAnsi="Arial" w:cs="Arial"/>
      <w:lang w:val="es-E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file>

<file path=word/_rels/document.xml.rels><?xml version="1.0" encoding="UTF-8" standalone="yes"?>
<Relationships xmlns="http://schemas.openxmlformats.org/package/2006/relationships"><Relationship Id="rId13" Type="http://schemas.openxmlformats.org/officeDocument/2006/relationships/hyperlink" Target="http://www.diputados.gob.mx/LeyesBiblio/pdf/" TargetMode="External"/><Relationship Id="rId18" Type="http://schemas.openxmlformats.org/officeDocument/2006/relationships/hyperlink" Target="http://www.gob.mx/conavi" TargetMode="External"/><Relationship Id="rId26" Type="http://schemas.openxmlformats.org/officeDocument/2006/relationships/hyperlink" Target="http://www.gob.mx/conavi" TargetMode="External"/><Relationship Id="rId39" Type="http://schemas.openxmlformats.org/officeDocument/2006/relationships/hyperlink" Target="http://www.gob.mx/conavi" TargetMode="External"/><Relationship Id="rId3" Type="http://schemas.openxmlformats.org/officeDocument/2006/relationships/settings" Target="settings.xml"/><Relationship Id="rId21" Type="http://schemas.openxmlformats.org/officeDocument/2006/relationships/hyperlink" Target="http://www.gob.mx/conavi" TargetMode="External"/><Relationship Id="rId34" Type="http://schemas.openxmlformats.org/officeDocument/2006/relationships/hyperlink" Target="http://www.gob.mx/conavi" TargetMode="External"/><Relationship Id="rId42" Type="http://schemas.openxmlformats.org/officeDocument/2006/relationships/hyperlink" Target="mailto:atenci&#243;nciudadana@conavi.gob.mx" TargetMode="External"/><Relationship Id="rId47" Type="http://schemas.openxmlformats.org/officeDocument/2006/relationships/image" Target="media/image3.jpeg"/><Relationship Id="rId50" Type="http://schemas.openxmlformats.org/officeDocument/2006/relationships/image" Target="media/image5.png"/><Relationship Id="rId7" Type="http://schemas.openxmlformats.org/officeDocument/2006/relationships/header" Target="header1.xml"/><Relationship Id="rId12" Type="http://schemas.openxmlformats.org/officeDocument/2006/relationships/hyperlink" Target="http://www.gob.mx/conavi" TargetMode="External"/><Relationship Id="rId17" Type="http://schemas.openxmlformats.org/officeDocument/2006/relationships/hyperlink" Target="http://www.inegi.org.mx/temas/uma/" TargetMode="External"/><Relationship Id="rId25" Type="http://schemas.openxmlformats.org/officeDocument/2006/relationships/hyperlink" Target="http://www.gob.mx/conavi" TargetMode="External"/><Relationship Id="rId33" Type="http://schemas.openxmlformats.org/officeDocument/2006/relationships/hyperlink" Target="http://www.gob.mx/conavi" TargetMode="External"/><Relationship Id="rId38" Type="http://schemas.openxmlformats.org/officeDocument/2006/relationships/hyperlink" Target="http://www.coneval.gob.mx/" TargetMode="External"/><Relationship Id="rId46" Type="http://schemas.openxmlformats.org/officeDocument/2006/relationships/image" Target="media/image2.jpeg"/><Relationship Id="rId2" Type="http://schemas.openxmlformats.org/officeDocument/2006/relationships/styles" Target="styles.xml"/><Relationship Id="rId16" Type="http://schemas.openxmlformats.org/officeDocument/2006/relationships/hyperlink" Target="http://www.diputados.gob.mx/LeyesBiblio/pdf/" TargetMode="External"/><Relationship Id="rId20" Type="http://schemas.openxmlformats.org/officeDocument/2006/relationships/hyperlink" Target="http://www.gob.mx/conavi" TargetMode="External"/><Relationship Id="rId29" Type="http://schemas.openxmlformats.org/officeDocument/2006/relationships/hyperlink" Target="http://www.gob.mx/conavi" TargetMode="External"/><Relationship Id="rId41" Type="http://schemas.openxmlformats.org/officeDocument/2006/relationships/hyperlink" Target="mailto:contacto@conavi.gob.mx" TargetMode="External"/><Relationship Id="rId54"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www.gob.mx/conavi" TargetMode="External"/><Relationship Id="rId24" Type="http://schemas.openxmlformats.org/officeDocument/2006/relationships/hyperlink" Target="http://www.gob.mx/conavi" TargetMode="External"/><Relationship Id="rId32" Type="http://schemas.openxmlformats.org/officeDocument/2006/relationships/hyperlink" Target="http://www.gob.mx/conavi" TargetMode="External"/><Relationship Id="rId37" Type="http://schemas.openxmlformats.org/officeDocument/2006/relationships/hyperlink" Target="http://www.gob.mx/conavi" TargetMode="External"/><Relationship Id="rId40" Type="http://schemas.openxmlformats.org/officeDocument/2006/relationships/hyperlink" Target="http://www.gob.mx/conavi" TargetMode="External"/><Relationship Id="rId45" Type="http://schemas.openxmlformats.org/officeDocument/2006/relationships/header" Target="header4.xml"/><Relationship Id="rId53" Type="http://schemas.openxmlformats.org/officeDocument/2006/relationships/fontTable" Target="fontTable.xml"/><Relationship Id="rId5" Type="http://schemas.openxmlformats.org/officeDocument/2006/relationships/footnotes" Target="footnotes.xml"/><Relationship Id="rId15" Type="http://schemas.openxmlformats.org/officeDocument/2006/relationships/hyperlink" Target="http://www.gob.mx/conavi" TargetMode="External"/><Relationship Id="rId23" Type="http://schemas.openxmlformats.org/officeDocument/2006/relationships/hyperlink" Target="http://www.gob.mx/conavi" TargetMode="External"/><Relationship Id="rId28" Type="http://schemas.openxmlformats.org/officeDocument/2006/relationships/hyperlink" Target="http://www.gob.mx/conavi" TargetMode="External"/><Relationship Id="rId36" Type="http://schemas.openxmlformats.org/officeDocument/2006/relationships/hyperlink" Target="http://www.gob.mx/conavi" TargetMode="External"/><Relationship Id="rId49" Type="http://schemas.openxmlformats.org/officeDocument/2006/relationships/image" Target="media/image4.png"/><Relationship Id="rId10" Type="http://schemas.openxmlformats.org/officeDocument/2006/relationships/hyperlink" Target="http://www.diputados.gob.mx/LeyesBiblio/pdf/LViv_230617.pdf" TargetMode="External"/><Relationship Id="rId19" Type="http://schemas.openxmlformats.org/officeDocument/2006/relationships/hyperlink" Target="http://www.gob.mx/conavi" TargetMode="External"/><Relationship Id="rId31" Type="http://schemas.openxmlformats.org/officeDocument/2006/relationships/hyperlink" Target="http://www.coneval.org.mx/" TargetMode="External"/><Relationship Id="rId44" Type="http://schemas.openxmlformats.org/officeDocument/2006/relationships/header" Target="header3.xml"/><Relationship Id="rId52" Type="http://schemas.openxmlformats.org/officeDocument/2006/relationships/image" Target="media/image7.jpeg"/><Relationship Id="rId4" Type="http://schemas.openxmlformats.org/officeDocument/2006/relationships/webSettings" Target="webSettings.xml"/><Relationship Id="rId9" Type="http://schemas.openxmlformats.org/officeDocument/2006/relationships/hyperlink" Target="http://www.coneval.org.mc/" TargetMode="External"/><Relationship Id="rId14" Type="http://schemas.openxmlformats.org/officeDocument/2006/relationships/hyperlink" Target="http://www.diputados.gob.mx/LeyesBiblio/pdf/LGAHOTDU_281116.pdf" TargetMode="External"/><Relationship Id="rId22" Type="http://schemas.openxmlformats.org/officeDocument/2006/relationships/hyperlink" Target="http://www.gob.mx/conavi" TargetMode="External"/><Relationship Id="rId27" Type="http://schemas.openxmlformats.org/officeDocument/2006/relationships/hyperlink" Target="http://www.gob.mx/conavi" TargetMode="External"/><Relationship Id="rId30" Type="http://schemas.openxmlformats.org/officeDocument/2006/relationships/hyperlink" Target="http://www.gob.mx/conavi" TargetMode="External"/><Relationship Id="rId35" Type="http://schemas.openxmlformats.org/officeDocument/2006/relationships/hyperlink" Target="http://www.gob.mx/conavi" TargetMode="External"/><Relationship Id="rId43" Type="http://schemas.openxmlformats.org/officeDocument/2006/relationships/image" Target="media/image1.jpeg"/><Relationship Id="rId48" Type="http://schemas.openxmlformats.org/officeDocument/2006/relationships/hyperlink" Target="http://conavi.gob.mx/subsidios-conavi" TargetMode="External"/><Relationship Id="rId8" Type="http://schemas.openxmlformats.org/officeDocument/2006/relationships/header" Target="header2.xml"/><Relationship Id="rId51" Type="http://schemas.openxmlformats.org/officeDocument/2006/relationships/image" Target="media/image6.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TotalTime>
  <Pages>70</Pages>
  <Words>33067</Words>
  <Characters>181874</Characters>
  <Application>Microsoft Office Word</Application>
  <DocSecurity>0</DocSecurity>
  <Lines>1515</Lines>
  <Paragraphs>429</Paragraphs>
  <ScaleCrop>false</ScaleCrop>
  <HeadingPairs>
    <vt:vector size="2" baseType="variant">
      <vt:variant>
        <vt:lpstr>Título</vt:lpstr>
      </vt:variant>
      <vt:variant>
        <vt:i4>1</vt:i4>
      </vt:variant>
    </vt:vector>
  </HeadingPairs>
  <TitlesOfParts>
    <vt:vector size="1" baseType="lpstr">
      <vt:lpstr>2019_03_15_ROP_CONAVI</vt:lpstr>
    </vt:vector>
  </TitlesOfParts>
  <Company/>
  <LinksUpToDate>false</LinksUpToDate>
  <CharactersWithSpaces>214512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2019_03_15_ROP_CONAVI</dc:title>
  <dc:creator>Eduardo Nieto Rodríguez</dc:creator>
  <cp:lastModifiedBy>Eduardo Nieto Rodríguez</cp:lastModifiedBy>
  <cp:revision>3</cp:revision>
  <dcterms:created xsi:type="dcterms:W3CDTF">2020-01-07T20:36:00Z</dcterms:created>
  <dcterms:modified xsi:type="dcterms:W3CDTF">2020-01-07T20:37:00Z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2019-03-15T00:00:00Z</vt:filetime>
  </property>
  <property fmtid="{D5CDD505-2E9C-101B-9397-08002B2CF9AE}" pid="3" name="Creator">
    <vt:lpwstr>Pages</vt:lpwstr>
  </property>
  <property fmtid="{D5CDD505-2E9C-101B-9397-08002B2CF9AE}" pid="4" name="LastSaved">
    <vt:filetime>2020-01-07T00:00:00Z</vt:filetime>
  </property>
</Properties>
</file>