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4CFF" w:rsidRPr="008E0659" w:rsidRDefault="00464CFF" w:rsidP="00A85499">
      <w:pPr>
        <w:spacing w:after="0"/>
        <w:ind w:left="2552"/>
        <w:jc w:val="right"/>
        <w:rPr>
          <w:rFonts w:ascii="Arial" w:hAnsi="Arial" w:cs="Arial"/>
          <w:b/>
          <w:color w:val="2E74B5" w:themeColor="accent1" w:themeShade="BF"/>
          <w:sz w:val="24"/>
          <w:szCs w:val="24"/>
        </w:rPr>
      </w:pPr>
      <w:r w:rsidRPr="008E0659">
        <w:rPr>
          <w:rFonts w:ascii="Arial" w:hAnsi="Arial" w:cs="Arial"/>
          <w:b/>
          <w:color w:val="2E74B5" w:themeColor="accent1" w:themeShade="BF"/>
          <w:sz w:val="24"/>
          <w:szCs w:val="24"/>
        </w:rPr>
        <w:t xml:space="preserve">RECURSO DE REVISIÓN </w:t>
      </w:r>
      <w:r w:rsidR="008E4CFB">
        <w:rPr>
          <w:rFonts w:ascii="Arial" w:hAnsi="Arial" w:cs="Arial"/>
          <w:b/>
          <w:color w:val="2E74B5" w:themeColor="accent1" w:themeShade="BF"/>
          <w:sz w:val="24"/>
          <w:szCs w:val="24"/>
        </w:rPr>
        <w:t>2</w:t>
      </w:r>
      <w:r w:rsidR="000D3167">
        <w:rPr>
          <w:rFonts w:ascii="Arial" w:hAnsi="Arial" w:cs="Arial"/>
          <w:b/>
          <w:color w:val="2E74B5" w:themeColor="accent1" w:themeShade="BF"/>
          <w:sz w:val="24"/>
          <w:szCs w:val="24"/>
        </w:rPr>
        <w:t>329</w:t>
      </w:r>
      <w:r w:rsidR="005409D2">
        <w:rPr>
          <w:rFonts w:ascii="Arial" w:hAnsi="Arial" w:cs="Arial"/>
          <w:b/>
          <w:color w:val="2E74B5" w:themeColor="accent1" w:themeShade="BF"/>
          <w:sz w:val="24"/>
          <w:szCs w:val="24"/>
        </w:rPr>
        <w:t>/2019-2 SICOM</w:t>
      </w:r>
      <w:r w:rsidRPr="008E0659">
        <w:rPr>
          <w:rFonts w:ascii="Arial" w:hAnsi="Arial" w:cs="Arial"/>
          <w:b/>
          <w:color w:val="2E74B5" w:themeColor="accent1" w:themeShade="BF"/>
          <w:sz w:val="24"/>
          <w:szCs w:val="24"/>
        </w:rPr>
        <w:t>.</w:t>
      </w:r>
    </w:p>
    <w:p w:rsidR="00464CFF" w:rsidRPr="008E0659" w:rsidRDefault="00464CFF" w:rsidP="00A85499">
      <w:pPr>
        <w:spacing w:after="0"/>
        <w:ind w:left="2552"/>
        <w:jc w:val="right"/>
        <w:rPr>
          <w:rFonts w:ascii="Arial" w:hAnsi="Arial" w:cs="Arial"/>
          <w:b/>
          <w:color w:val="2E74B5" w:themeColor="accent1" w:themeShade="BF"/>
          <w:sz w:val="24"/>
          <w:szCs w:val="24"/>
        </w:rPr>
      </w:pPr>
    </w:p>
    <w:p w:rsidR="00464CFF" w:rsidRPr="008E0659" w:rsidRDefault="00464CFF" w:rsidP="00A85499">
      <w:pPr>
        <w:spacing w:after="0"/>
        <w:ind w:left="2552"/>
        <w:jc w:val="right"/>
        <w:rPr>
          <w:rFonts w:ascii="Arial" w:eastAsia="Times New Roman" w:hAnsi="Arial" w:cs="Arial"/>
          <w:b/>
          <w:caps/>
          <w:color w:val="2E74B5" w:themeColor="accent1" w:themeShade="BF"/>
          <w:sz w:val="24"/>
          <w:szCs w:val="24"/>
          <w:lang w:eastAsia="es-MX"/>
        </w:rPr>
      </w:pP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 xml:space="preserve">COMISIONADO PONENTE: </w:t>
      </w: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pAULINA SÁNCHEZ PÉREZ DEL POZO</w:t>
      </w: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MATERIA:</w:t>
      </w: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ACCESO A LA INFORMACIÓN PÚBLICA</w:t>
      </w:r>
    </w:p>
    <w:p w:rsidR="00464CFF" w:rsidRPr="008E0659" w:rsidRDefault="005409D2" w:rsidP="00A85499">
      <w:pPr>
        <w:tabs>
          <w:tab w:val="left" w:pos="7110"/>
        </w:tabs>
        <w:spacing w:after="0"/>
        <w:rPr>
          <w:rFonts w:ascii="Arial" w:eastAsia="Times New Roman" w:hAnsi="Arial" w:cs="Arial"/>
          <w:b/>
          <w:caps/>
          <w:color w:val="2E74B5" w:themeColor="accent1" w:themeShade="BF"/>
          <w:sz w:val="24"/>
          <w:szCs w:val="24"/>
          <w:lang w:eastAsia="es-MX"/>
        </w:rPr>
      </w:pPr>
      <w:r>
        <w:rPr>
          <w:rFonts w:ascii="Arial" w:eastAsia="Times New Roman" w:hAnsi="Arial" w:cs="Arial"/>
          <w:b/>
          <w:caps/>
          <w:color w:val="2E74B5" w:themeColor="accent1" w:themeShade="BF"/>
          <w:sz w:val="24"/>
          <w:szCs w:val="24"/>
          <w:lang w:eastAsia="es-MX"/>
        </w:rPr>
        <w:tab/>
      </w: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SUJETO OBLIGADO:</w:t>
      </w:r>
    </w:p>
    <w:p w:rsidR="00464CFF" w:rsidRPr="008E0659" w:rsidRDefault="00464CFF" w:rsidP="00A85499">
      <w:pPr>
        <w:spacing w:after="0"/>
        <w:jc w:val="right"/>
        <w:rPr>
          <w:rFonts w:ascii="Arial" w:hAnsi="Arial" w:cs="Arial"/>
          <w:b/>
          <w:color w:val="2E74B5" w:themeColor="accent1" w:themeShade="BF"/>
          <w:sz w:val="24"/>
          <w:szCs w:val="24"/>
        </w:rPr>
      </w:pPr>
      <w:r w:rsidRPr="008E0659">
        <w:rPr>
          <w:rFonts w:ascii="Arial" w:eastAsia="Times New Roman" w:hAnsi="Arial" w:cs="Arial"/>
          <w:b/>
          <w:color w:val="2E74B5" w:themeColor="accent1" w:themeShade="BF"/>
          <w:sz w:val="24"/>
          <w:szCs w:val="24"/>
          <w:lang w:eastAsia="es-MX"/>
        </w:rPr>
        <w:t>H. AYUNTAMIENTO</w:t>
      </w:r>
      <w:r w:rsidR="007A3D2F" w:rsidRPr="008E0659">
        <w:rPr>
          <w:rFonts w:ascii="Arial" w:eastAsia="Times New Roman" w:hAnsi="Arial" w:cs="Arial"/>
          <w:b/>
          <w:color w:val="2E74B5" w:themeColor="accent1" w:themeShade="BF"/>
          <w:sz w:val="24"/>
          <w:szCs w:val="24"/>
          <w:lang w:eastAsia="es-MX"/>
        </w:rPr>
        <w:t xml:space="preserve"> SOLEDAD DE GRACIANO SÁNCHEZ,</w:t>
      </w:r>
      <w:r w:rsidRPr="008E0659">
        <w:rPr>
          <w:rFonts w:ascii="Arial" w:eastAsia="Times New Roman" w:hAnsi="Arial" w:cs="Arial"/>
          <w:b/>
          <w:color w:val="2E74B5" w:themeColor="accent1" w:themeShade="BF"/>
          <w:sz w:val="24"/>
          <w:szCs w:val="24"/>
          <w:lang w:eastAsia="es-MX"/>
        </w:rPr>
        <w:t xml:space="preserve"> </w:t>
      </w:r>
      <w:r w:rsidRPr="008E0659">
        <w:rPr>
          <w:rFonts w:ascii="Arial" w:hAnsi="Arial" w:cs="Arial"/>
          <w:b/>
          <w:color w:val="2E74B5" w:themeColor="accent1" w:themeShade="BF"/>
          <w:sz w:val="24"/>
          <w:szCs w:val="24"/>
        </w:rPr>
        <w:t>SAN LUIS POTOSÍ.</w:t>
      </w:r>
    </w:p>
    <w:p w:rsidR="00464CFF" w:rsidRPr="008E0659" w:rsidRDefault="00464CFF" w:rsidP="00A85499">
      <w:pPr>
        <w:pStyle w:val="corte2ponente"/>
        <w:spacing w:line="276" w:lineRule="auto"/>
        <w:jc w:val="right"/>
        <w:rPr>
          <w:rFonts w:cs="Arial"/>
          <w:color w:val="2E74B5" w:themeColor="accent1" w:themeShade="BF"/>
          <w:sz w:val="24"/>
          <w:szCs w:val="24"/>
        </w:rPr>
      </w:pPr>
    </w:p>
    <w:p w:rsidR="00464CFF" w:rsidRPr="008E0659" w:rsidRDefault="00464CFF" w:rsidP="00A85499">
      <w:pPr>
        <w:pStyle w:val="corte2ponente"/>
        <w:tabs>
          <w:tab w:val="left" w:pos="7680"/>
        </w:tabs>
        <w:spacing w:line="276" w:lineRule="auto"/>
        <w:rPr>
          <w:rFonts w:cs="Arial"/>
          <w:color w:val="2E74B5" w:themeColor="accent1" w:themeShade="BF"/>
          <w:sz w:val="24"/>
          <w:szCs w:val="24"/>
        </w:rPr>
      </w:pPr>
    </w:p>
    <w:p w:rsidR="00464CFF" w:rsidRPr="008E0659" w:rsidRDefault="00464CFF" w:rsidP="00A85499">
      <w:pPr>
        <w:pStyle w:val="corte2ponente"/>
        <w:spacing w:line="276" w:lineRule="auto"/>
        <w:rPr>
          <w:rFonts w:cs="Arial"/>
          <w:color w:val="2E74B5" w:themeColor="accent1" w:themeShade="BF"/>
          <w:sz w:val="24"/>
          <w:szCs w:val="24"/>
        </w:rPr>
      </w:pPr>
    </w:p>
    <w:p w:rsidR="00464CFF" w:rsidRPr="008E0659" w:rsidRDefault="00464CFF" w:rsidP="00A85499">
      <w:pPr>
        <w:spacing w:after="0"/>
        <w:jc w:val="both"/>
        <w:rPr>
          <w:rFonts w:ascii="Arial" w:eastAsia="Times New Roman" w:hAnsi="Arial" w:cs="Arial"/>
          <w:b/>
          <w:color w:val="2E74B5" w:themeColor="accent1" w:themeShade="BF"/>
          <w:sz w:val="24"/>
          <w:szCs w:val="24"/>
          <w:vertAlign w:val="subscript"/>
          <w:lang w:eastAsia="es-MX"/>
        </w:rPr>
      </w:pPr>
      <w:r w:rsidRPr="008E0659">
        <w:rPr>
          <w:rFonts w:ascii="Arial" w:hAnsi="Arial" w:cs="Arial"/>
          <w:color w:val="2E74B5" w:themeColor="accent1" w:themeShade="BF"/>
          <w:sz w:val="24"/>
          <w:szCs w:val="24"/>
        </w:rPr>
        <w:tab/>
      </w:r>
      <w:r w:rsidRPr="008E0659">
        <w:rPr>
          <w:rFonts w:ascii="Arial" w:eastAsia="Times New Roman" w:hAnsi="Arial" w:cs="Arial"/>
          <w:color w:val="2E74B5" w:themeColor="accent1" w:themeShade="BF"/>
          <w:sz w:val="24"/>
          <w:szCs w:val="24"/>
          <w:lang w:eastAsia="es-MX"/>
        </w:rPr>
        <w:t>San Luis Potosí, San Luis Potosí. Acuerdo del Pleno de la Comisión Estatal de Garantía de Acceso a la Información</w:t>
      </w:r>
      <w:r w:rsidR="00CE192D" w:rsidRPr="008E0659">
        <w:rPr>
          <w:rFonts w:ascii="Arial" w:eastAsia="Times New Roman" w:hAnsi="Arial" w:cs="Arial"/>
          <w:color w:val="2E74B5" w:themeColor="accent1" w:themeShade="BF"/>
          <w:sz w:val="24"/>
          <w:szCs w:val="24"/>
          <w:lang w:eastAsia="es-MX"/>
        </w:rPr>
        <w:t xml:space="preserve"> Pública, correspondiente a la S</w:t>
      </w:r>
      <w:r w:rsidRPr="008E0659">
        <w:rPr>
          <w:rFonts w:ascii="Arial" w:eastAsia="Times New Roman" w:hAnsi="Arial" w:cs="Arial"/>
          <w:color w:val="2E74B5" w:themeColor="accent1" w:themeShade="BF"/>
          <w:sz w:val="24"/>
          <w:szCs w:val="24"/>
          <w:lang w:eastAsia="es-MX"/>
        </w:rPr>
        <w:t>esión</w:t>
      </w:r>
      <w:r w:rsidR="00CE192D" w:rsidRPr="008E0659">
        <w:rPr>
          <w:rFonts w:ascii="Arial" w:eastAsia="Times New Roman" w:hAnsi="Arial" w:cs="Arial"/>
          <w:color w:val="2E74B5" w:themeColor="accent1" w:themeShade="BF"/>
          <w:sz w:val="24"/>
          <w:szCs w:val="24"/>
          <w:lang w:eastAsia="es-MX"/>
        </w:rPr>
        <w:t xml:space="preserve"> </w:t>
      </w:r>
      <w:r w:rsidR="00E93482">
        <w:rPr>
          <w:rFonts w:ascii="Arial" w:eastAsia="Times New Roman" w:hAnsi="Arial" w:cs="Arial"/>
          <w:color w:val="2E74B5" w:themeColor="accent1" w:themeShade="BF"/>
          <w:sz w:val="24"/>
          <w:szCs w:val="24"/>
          <w:lang w:eastAsia="es-MX"/>
        </w:rPr>
        <w:t xml:space="preserve">Extraordinaria 19 diecinueve de febrero </w:t>
      </w:r>
      <w:r w:rsidR="007A3D2F" w:rsidRPr="008E0659">
        <w:rPr>
          <w:rFonts w:ascii="Arial" w:eastAsia="Times New Roman" w:hAnsi="Arial" w:cs="Arial"/>
          <w:color w:val="2E74B5" w:themeColor="accent1" w:themeShade="BF"/>
          <w:sz w:val="24"/>
          <w:szCs w:val="24"/>
          <w:lang w:eastAsia="es-MX"/>
        </w:rPr>
        <w:t>de 2020 dos mil veinte.</w:t>
      </w:r>
      <w:r w:rsidR="007A3D2F" w:rsidRPr="008E0659">
        <w:rPr>
          <w:rFonts w:ascii="Arial" w:eastAsia="Times New Roman" w:hAnsi="Arial" w:cs="Arial"/>
          <w:b/>
          <w:color w:val="2E74B5" w:themeColor="accent1" w:themeShade="BF"/>
          <w:sz w:val="24"/>
          <w:szCs w:val="24"/>
          <w:vertAlign w:val="subscript"/>
          <w:lang w:eastAsia="es-MX"/>
        </w:rPr>
        <w:t xml:space="preserve"> </w:t>
      </w:r>
    </w:p>
    <w:p w:rsidR="00464CFF" w:rsidRPr="008E0659" w:rsidRDefault="00464CFF" w:rsidP="00A85499">
      <w:pPr>
        <w:spacing w:after="0"/>
        <w:jc w:val="both"/>
        <w:rPr>
          <w:rFonts w:ascii="Arial" w:eastAsia="Times New Roman" w:hAnsi="Arial" w:cs="Arial"/>
          <w:b/>
          <w:color w:val="2E74B5" w:themeColor="accent1" w:themeShade="BF"/>
          <w:sz w:val="24"/>
          <w:szCs w:val="24"/>
          <w:lang w:eastAsia="es-MX"/>
        </w:rPr>
      </w:pPr>
    </w:p>
    <w:p w:rsidR="00464CFF" w:rsidRPr="008E0659" w:rsidRDefault="00464CFF" w:rsidP="00A85499">
      <w:pPr>
        <w:pStyle w:val="corte4fondo"/>
        <w:spacing w:line="276" w:lineRule="auto"/>
        <w:ind w:firstLine="0"/>
        <w:rPr>
          <w:rFonts w:cs="Arial"/>
          <w:b/>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VISTOS</w:t>
      </w:r>
      <w:r w:rsidRPr="008E0659">
        <w:rPr>
          <w:rFonts w:cs="Arial"/>
          <w:color w:val="2E74B5" w:themeColor="accent1" w:themeShade="BF"/>
          <w:sz w:val="24"/>
          <w:szCs w:val="24"/>
        </w:rPr>
        <w:t>, para resolver, los autos del recurso de revisión identificado al rubro; y</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jc w:val="center"/>
        <w:rPr>
          <w:rFonts w:cs="Arial"/>
          <w:color w:val="2E74B5" w:themeColor="accent1" w:themeShade="BF"/>
          <w:sz w:val="24"/>
          <w:szCs w:val="24"/>
        </w:rPr>
      </w:pPr>
      <w:r w:rsidRPr="008E0659">
        <w:rPr>
          <w:rFonts w:cs="Arial"/>
          <w:b/>
          <w:color w:val="2E74B5" w:themeColor="accent1" w:themeShade="BF"/>
          <w:sz w:val="24"/>
          <w:szCs w:val="24"/>
        </w:rPr>
        <w:t>RESULTANDO</w:t>
      </w:r>
      <w:r w:rsidRPr="008E0659">
        <w:rPr>
          <w:rFonts w:cs="Arial"/>
          <w:color w:val="2E74B5" w:themeColor="accent1" w:themeShade="BF"/>
          <w:sz w:val="24"/>
          <w:szCs w:val="24"/>
        </w:rPr>
        <w:t>:</w:t>
      </w:r>
    </w:p>
    <w:p w:rsidR="00464CFF" w:rsidRPr="008E0659" w:rsidRDefault="00464CFF" w:rsidP="00A85499">
      <w:pPr>
        <w:pStyle w:val="corte4fondo"/>
        <w:spacing w:line="276" w:lineRule="auto"/>
        <w:jc w:val="center"/>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PRIMERO. Solicitud de acceso a la información pública. </w:t>
      </w:r>
      <w:r w:rsidRPr="008E0659">
        <w:rPr>
          <w:rFonts w:cs="Arial"/>
          <w:color w:val="2E74B5" w:themeColor="accent1" w:themeShade="BF"/>
          <w:sz w:val="24"/>
          <w:szCs w:val="24"/>
        </w:rPr>
        <w:t xml:space="preserve">Según consta en la Plataforma Nacional de Transparencia en el folio </w:t>
      </w:r>
      <w:r w:rsidR="000D3167">
        <w:rPr>
          <w:rFonts w:cs="Arial"/>
          <w:b/>
          <w:color w:val="2E74B5" w:themeColor="accent1" w:themeShade="BF"/>
          <w:sz w:val="24"/>
          <w:szCs w:val="24"/>
        </w:rPr>
        <w:t>01329919</w:t>
      </w:r>
      <w:r w:rsidR="00CF5457" w:rsidRPr="008E0659">
        <w:rPr>
          <w:rFonts w:cs="Arial"/>
          <w:b/>
          <w:color w:val="2E74B5" w:themeColor="accent1" w:themeShade="BF"/>
          <w:sz w:val="24"/>
          <w:szCs w:val="24"/>
        </w:rPr>
        <w:t>,</w:t>
      </w:r>
      <w:r w:rsidRPr="008E0659">
        <w:rPr>
          <w:rFonts w:cs="Arial"/>
          <w:b/>
          <w:color w:val="2E74B5" w:themeColor="accent1" w:themeShade="BF"/>
          <w:sz w:val="24"/>
          <w:szCs w:val="24"/>
        </w:rPr>
        <w:t xml:space="preserve"> </w:t>
      </w:r>
      <w:r w:rsidRPr="008E0659">
        <w:rPr>
          <w:rFonts w:cs="Arial"/>
          <w:color w:val="2E74B5" w:themeColor="accent1" w:themeShade="BF"/>
          <w:sz w:val="24"/>
          <w:szCs w:val="24"/>
        </w:rPr>
        <w:t xml:space="preserve">el </w:t>
      </w:r>
      <w:r w:rsidR="003A505C">
        <w:rPr>
          <w:rFonts w:cs="Arial"/>
          <w:color w:val="2E74B5" w:themeColor="accent1" w:themeShade="BF"/>
          <w:sz w:val="24"/>
          <w:szCs w:val="24"/>
        </w:rPr>
        <w:t xml:space="preserve">17 diecisiete </w:t>
      </w:r>
      <w:r w:rsidR="007A3D2F" w:rsidRPr="008E0659">
        <w:rPr>
          <w:rFonts w:cs="Arial"/>
          <w:color w:val="2E74B5" w:themeColor="accent1" w:themeShade="BF"/>
          <w:sz w:val="24"/>
          <w:szCs w:val="24"/>
        </w:rPr>
        <w:t xml:space="preserve">de </w:t>
      </w:r>
      <w:r w:rsidR="008E4CFB">
        <w:rPr>
          <w:rFonts w:cs="Arial"/>
          <w:color w:val="2E74B5" w:themeColor="accent1" w:themeShade="BF"/>
          <w:sz w:val="24"/>
          <w:szCs w:val="24"/>
        </w:rPr>
        <w:t xml:space="preserve">septiembre </w:t>
      </w:r>
      <w:r w:rsidR="007A3D2F" w:rsidRPr="008E0659">
        <w:rPr>
          <w:rFonts w:cs="Arial"/>
          <w:color w:val="2E74B5" w:themeColor="accent1" w:themeShade="BF"/>
          <w:sz w:val="24"/>
          <w:szCs w:val="24"/>
        </w:rPr>
        <w:t xml:space="preserve">de 2019 </w:t>
      </w:r>
      <w:r w:rsidR="000C0B35" w:rsidRPr="008E0659">
        <w:rPr>
          <w:rFonts w:cs="Arial"/>
          <w:color w:val="2E74B5" w:themeColor="accent1" w:themeShade="BF"/>
          <w:sz w:val="24"/>
          <w:szCs w:val="24"/>
        </w:rPr>
        <w:t xml:space="preserve">dos mil diecinueve </w:t>
      </w:r>
      <w:r w:rsidR="000C0B35" w:rsidRPr="008E0659">
        <w:rPr>
          <w:rFonts w:cs="Arial"/>
          <w:b/>
          <w:color w:val="2E74B5" w:themeColor="accent1" w:themeShade="BF"/>
          <w:sz w:val="24"/>
          <w:szCs w:val="24"/>
        </w:rPr>
        <w:t xml:space="preserve">el Municipio de </w:t>
      </w:r>
      <w:r w:rsidR="005409D2">
        <w:rPr>
          <w:rFonts w:cs="Arial"/>
          <w:b/>
          <w:color w:val="2E74B5" w:themeColor="accent1" w:themeShade="BF"/>
          <w:sz w:val="24"/>
          <w:szCs w:val="24"/>
        </w:rPr>
        <w:t xml:space="preserve">Soledad de Graciano Sánchez </w:t>
      </w:r>
      <w:r w:rsidRPr="008E0659">
        <w:rPr>
          <w:rFonts w:cs="Arial"/>
          <w:color w:val="2E74B5" w:themeColor="accent1" w:themeShade="BF"/>
          <w:sz w:val="24"/>
          <w:szCs w:val="24"/>
        </w:rPr>
        <w:t>recibió una solicitud de acceso a la información pública en donde se le pidió la información siguiente</w:t>
      </w:r>
      <w:r w:rsidRPr="008E0659">
        <w:rPr>
          <w:rStyle w:val="Refdenotaalpie"/>
          <w:rFonts w:cs="Arial"/>
          <w:color w:val="2E74B5" w:themeColor="accent1" w:themeShade="BF"/>
          <w:sz w:val="24"/>
          <w:szCs w:val="24"/>
        </w:rPr>
        <w:footnoteReference w:id="1"/>
      </w:r>
      <w:r w:rsidRPr="008E0659">
        <w:rPr>
          <w:rFonts w:cs="Arial"/>
          <w:color w:val="2E74B5" w:themeColor="accent1" w:themeShade="BF"/>
          <w:sz w:val="24"/>
          <w:szCs w:val="24"/>
        </w:rPr>
        <w:t>:</w:t>
      </w:r>
    </w:p>
    <w:p w:rsidR="000C0B35" w:rsidRDefault="000C0B35" w:rsidP="00A85499">
      <w:pPr>
        <w:pStyle w:val="corte4fondo"/>
        <w:spacing w:line="276" w:lineRule="auto"/>
        <w:ind w:firstLine="0"/>
        <w:rPr>
          <w:rFonts w:cs="Arial"/>
          <w:color w:val="2E74B5" w:themeColor="accent1" w:themeShade="BF"/>
          <w:sz w:val="24"/>
          <w:szCs w:val="24"/>
        </w:rPr>
      </w:pPr>
    </w:p>
    <w:p w:rsidR="00A10C09" w:rsidRPr="008E0659" w:rsidRDefault="000D3167" w:rsidP="00A85499">
      <w:pPr>
        <w:pStyle w:val="corte4fondo"/>
        <w:spacing w:line="276" w:lineRule="auto"/>
        <w:ind w:firstLine="0"/>
        <w:rPr>
          <w:rFonts w:cs="Arial"/>
          <w:color w:val="2E74B5" w:themeColor="accent1" w:themeShade="BF"/>
          <w:sz w:val="24"/>
          <w:szCs w:val="24"/>
        </w:rPr>
      </w:pPr>
      <w:r>
        <w:rPr>
          <w:rFonts w:cs="Arial"/>
          <w:noProof/>
          <w:color w:val="2E74B5" w:themeColor="accent1" w:themeShade="BF"/>
          <w:sz w:val="24"/>
          <w:szCs w:val="24"/>
        </w:rPr>
        <w:drawing>
          <wp:inline distT="0" distB="0" distL="0" distR="0">
            <wp:extent cx="5334000" cy="2186066"/>
            <wp:effectExtent l="0" t="0" r="0" b="508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40169" cy="2188594"/>
                    </a:xfrm>
                    <a:prstGeom prst="rect">
                      <a:avLst/>
                    </a:prstGeom>
                    <a:noFill/>
                    <a:ln>
                      <a:noFill/>
                    </a:ln>
                  </pic:spPr>
                </pic:pic>
              </a:graphicData>
            </a:graphic>
          </wp:inline>
        </w:drawing>
      </w:r>
    </w:p>
    <w:p w:rsidR="00464CFF" w:rsidRDefault="00464CFF" w:rsidP="00A85499">
      <w:pPr>
        <w:spacing w:after="0"/>
        <w:ind w:firstLine="709"/>
        <w:jc w:val="both"/>
        <w:rPr>
          <w:rFonts w:ascii="Arial" w:hAnsi="Arial" w:cs="Arial"/>
          <w:i/>
          <w:color w:val="2E74B5" w:themeColor="accent1" w:themeShade="BF"/>
          <w:sz w:val="20"/>
          <w:szCs w:val="20"/>
        </w:rPr>
      </w:pPr>
      <w:r w:rsidRPr="008E0659">
        <w:rPr>
          <w:rFonts w:ascii="Arial" w:hAnsi="Arial" w:cs="Arial"/>
          <w:i/>
          <w:color w:val="2E74B5" w:themeColor="accent1" w:themeShade="BF"/>
          <w:sz w:val="20"/>
          <w:szCs w:val="20"/>
        </w:rPr>
        <w:t>“…</w:t>
      </w:r>
      <w:r w:rsidR="000D3167" w:rsidRPr="000D3167">
        <w:rPr>
          <w:rFonts w:ascii="Arial" w:hAnsi="Arial" w:cs="Arial"/>
          <w:i/>
          <w:color w:val="2E74B5" w:themeColor="accent1" w:themeShade="BF"/>
          <w:sz w:val="20"/>
          <w:szCs w:val="20"/>
        </w:rPr>
        <w:t>QUISIERA SABER EN ESTE 2019, CUANTO GASTAN PARA EQUIPO DE PAPELERIA, ASI COMO LAS FACTURAS DE TODA LA PAPELERIA QUE SE ADQUIERE, EN EL AREA DEL RECLUTAMIENTO</w:t>
      </w:r>
      <w:r w:rsidR="0016033C">
        <w:rPr>
          <w:rFonts w:ascii="Arial" w:hAnsi="Arial" w:cs="Arial"/>
          <w:i/>
          <w:color w:val="2E74B5" w:themeColor="accent1" w:themeShade="BF"/>
          <w:sz w:val="20"/>
          <w:szCs w:val="20"/>
        </w:rPr>
        <w:t>…</w:t>
      </w:r>
      <w:r w:rsidRPr="008E0659">
        <w:rPr>
          <w:rFonts w:ascii="Arial" w:hAnsi="Arial" w:cs="Arial"/>
          <w:i/>
          <w:color w:val="2E74B5" w:themeColor="accent1" w:themeShade="BF"/>
          <w:sz w:val="20"/>
          <w:szCs w:val="20"/>
        </w:rPr>
        <w:t>”</w:t>
      </w:r>
    </w:p>
    <w:p w:rsidR="0016033C" w:rsidRPr="008E0659" w:rsidRDefault="0016033C" w:rsidP="00A85499">
      <w:pPr>
        <w:spacing w:after="0"/>
        <w:ind w:firstLine="709"/>
        <w:jc w:val="both"/>
        <w:rPr>
          <w:rFonts w:ascii="Arial" w:hAnsi="Arial" w:cs="Arial"/>
          <w:i/>
          <w:color w:val="2E74B5" w:themeColor="accent1" w:themeShade="BF"/>
          <w:sz w:val="20"/>
          <w:szCs w:val="20"/>
        </w:rPr>
      </w:pPr>
    </w:p>
    <w:p w:rsidR="00464CFF" w:rsidRPr="008E0659" w:rsidRDefault="00464CFF" w:rsidP="00A85499">
      <w:pPr>
        <w:spacing w:after="0"/>
        <w:ind w:firstLine="709"/>
        <w:jc w:val="both"/>
        <w:rPr>
          <w:rFonts w:ascii="Arial" w:eastAsia="Times New Roman" w:hAnsi="Arial" w:cs="Arial"/>
          <w:color w:val="2E74B5" w:themeColor="accent1" w:themeShade="BF"/>
          <w:sz w:val="24"/>
          <w:szCs w:val="24"/>
          <w:lang w:eastAsia="es-MX"/>
        </w:rPr>
      </w:pPr>
      <w:r w:rsidRPr="00651886">
        <w:rPr>
          <w:rFonts w:ascii="Arial" w:hAnsi="Arial" w:cs="Arial"/>
          <w:b/>
          <w:color w:val="2E74B5" w:themeColor="accent1" w:themeShade="BF"/>
          <w:sz w:val="24"/>
          <w:szCs w:val="24"/>
        </w:rPr>
        <w:lastRenderedPageBreak/>
        <w:t>SEGUNDO.</w:t>
      </w:r>
      <w:r w:rsidRPr="00651886">
        <w:rPr>
          <w:rFonts w:ascii="Arial" w:eastAsia="Times New Roman" w:hAnsi="Arial" w:cs="Arial"/>
          <w:b/>
          <w:color w:val="2E74B5" w:themeColor="accent1" w:themeShade="BF"/>
          <w:sz w:val="24"/>
          <w:szCs w:val="24"/>
          <w:lang w:eastAsia="es-MX"/>
        </w:rPr>
        <w:t xml:space="preserve"> Respuesta</w:t>
      </w:r>
      <w:r w:rsidRPr="008E0659">
        <w:rPr>
          <w:rFonts w:ascii="Arial" w:eastAsia="Times New Roman" w:hAnsi="Arial" w:cs="Arial"/>
          <w:b/>
          <w:color w:val="2E74B5" w:themeColor="accent1" w:themeShade="BF"/>
          <w:sz w:val="24"/>
          <w:szCs w:val="24"/>
          <w:lang w:eastAsia="es-MX"/>
        </w:rPr>
        <w:t xml:space="preserve"> a la solicitud de acceso a la información pública. </w:t>
      </w:r>
      <w:r w:rsidRPr="008E0659">
        <w:rPr>
          <w:rFonts w:ascii="Arial" w:eastAsia="Times New Roman" w:hAnsi="Arial" w:cs="Arial"/>
          <w:color w:val="2E74B5" w:themeColor="accent1" w:themeShade="BF"/>
          <w:sz w:val="24"/>
          <w:szCs w:val="24"/>
          <w:lang w:eastAsia="es-MX"/>
        </w:rPr>
        <w:t xml:space="preserve">El </w:t>
      </w:r>
      <w:r w:rsidR="00651886">
        <w:rPr>
          <w:rFonts w:ascii="Arial" w:eastAsia="Times New Roman" w:hAnsi="Arial" w:cs="Arial"/>
          <w:color w:val="2E74B5" w:themeColor="accent1" w:themeShade="BF"/>
          <w:sz w:val="24"/>
          <w:szCs w:val="24"/>
          <w:lang w:eastAsia="es-MX"/>
        </w:rPr>
        <w:t xml:space="preserve">27 veintisiete </w:t>
      </w:r>
      <w:r w:rsidR="00CC6DA3" w:rsidRPr="008E0659">
        <w:rPr>
          <w:rFonts w:ascii="Arial" w:eastAsia="Times New Roman" w:hAnsi="Arial" w:cs="Arial"/>
          <w:color w:val="2E74B5" w:themeColor="accent1" w:themeShade="BF"/>
          <w:sz w:val="24"/>
          <w:szCs w:val="24"/>
          <w:lang w:eastAsia="es-MX"/>
        </w:rPr>
        <w:t xml:space="preserve">de septiembre </w:t>
      </w:r>
      <w:r w:rsidR="000C0B35" w:rsidRPr="008E0659">
        <w:rPr>
          <w:rFonts w:ascii="Arial" w:eastAsia="Times New Roman" w:hAnsi="Arial" w:cs="Arial"/>
          <w:color w:val="2E74B5" w:themeColor="accent1" w:themeShade="BF"/>
          <w:sz w:val="24"/>
          <w:szCs w:val="24"/>
          <w:lang w:eastAsia="es-MX"/>
        </w:rPr>
        <w:t xml:space="preserve">de 2019 dos mil diecinueve </w:t>
      </w:r>
      <w:r w:rsidRPr="008E0659">
        <w:rPr>
          <w:rFonts w:ascii="Arial" w:eastAsia="Times New Roman" w:hAnsi="Arial" w:cs="Arial"/>
          <w:color w:val="2E74B5" w:themeColor="accent1" w:themeShade="BF"/>
          <w:sz w:val="24"/>
          <w:szCs w:val="24"/>
          <w:lang w:eastAsia="es-MX"/>
        </w:rPr>
        <w:t>el sujeto obligado</w:t>
      </w:r>
      <w:r w:rsidRPr="008E0659">
        <w:rPr>
          <w:rFonts w:ascii="Arial" w:eastAsia="Times New Roman" w:hAnsi="Arial" w:cs="Arial"/>
          <w:b/>
          <w:color w:val="2E74B5" w:themeColor="accent1" w:themeShade="BF"/>
          <w:sz w:val="24"/>
          <w:szCs w:val="24"/>
          <w:lang w:eastAsia="es-MX"/>
        </w:rPr>
        <w:t xml:space="preserve"> </w:t>
      </w:r>
      <w:r w:rsidRPr="008E0659">
        <w:rPr>
          <w:rFonts w:ascii="Arial" w:eastAsia="Times New Roman" w:hAnsi="Arial" w:cs="Arial"/>
          <w:color w:val="2E74B5" w:themeColor="accent1" w:themeShade="BF"/>
          <w:sz w:val="24"/>
          <w:szCs w:val="24"/>
          <w:lang w:eastAsia="es-MX"/>
        </w:rPr>
        <w:t>notificó al solicitante, por el mismo medio electrónico, la respuesta a la solicitud de acceso a la información pública, misma que es como sigue</w:t>
      </w:r>
      <w:r w:rsidRPr="008E0659">
        <w:rPr>
          <w:rFonts w:ascii="Arial" w:eastAsia="Times New Roman" w:hAnsi="Arial" w:cs="Arial"/>
          <w:color w:val="2E74B5" w:themeColor="accent1" w:themeShade="BF"/>
          <w:sz w:val="24"/>
          <w:szCs w:val="24"/>
          <w:vertAlign w:val="superscript"/>
          <w:lang w:eastAsia="es-MX"/>
        </w:rPr>
        <w:footnoteReference w:id="2"/>
      </w:r>
      <w:r w:rsidRPr="008E0659">
        <w:rPr>
          <w:rFonts w:ascii="Arial" w:eastAsia="Times New Roman" w:hAnsi="Arial" w:cs="Arial"/>
          <w:color w:val="2E74B5" w:themeColor="accent1" w:themeShade="BF"/>
          <w:sz w:val="24"/>
          <w:szCs w:val="24"/>
          <w:lang w:eastAsia="es-MX"/>
        </w:rPr>
        <w:t>:</w:t>
      </w:r>
    </w:p>
    <w:p w:rsidR="00CC6DA3" w:rsidRPr="008E0659" w:rsidRDefault="000D3167" w:rsidP="00A85499">
      <w:pPr>
        <w:spacing w:after="0"/>
        <w:ind w:firstLine="709"/>
        <w:jc w:val="both"/>
        <w:rPr>
          <w:rFonts w:ascii="Arial" w:eastAsia="Times New Roman" w:hAnsi="Arial" w:cs="Arial"/>
          <w:color w:val="2E74B5" w:themeColor="accent1" w:themeShade="BF"/>
          <w:sz w:val="24"/>
          <w:szCs w:val="24"/>
          <w:lang w:eastAsia="es-MX"/>
        </w:rPr>
      </w:pPr>
      <w:r>
        <w:rPr>
          <w:rFonts w:ascii="Arial" w:eastAsia="Times New Roman" w:hAnsi="Arial" w:cs="Arial"/>
          <w:noProof/>
          <w:color w:val="2E74B5" w:themeColor="accent1" w:themeShade="BF"/>
          <w:sz w:val="24"/>
          <w:szCs w:val="24"/>
          <w:lang w:eastAsia="es-MX"/>
        </w:rPr>
        <w:drawing>
          <wp:inline distT="0" distB="0" distL="0" distR="0">
            <wp:extent cx="5610225" cy="2390775"/>
            <wp:effectExtent l="0" t="0" r="9525" b="952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0225" cy="2390775"/>
                    </a:xfrm>
                    <a:prstGeom prst="rect">
                      <a:avLst/>
                    </a:prstGeom>
                    <a:noFill/>
                    <a:ln>
                      <a:noFill/>
                    </a:ln>
                  </pic:spPr>
                </pic:pic>
              </a:graphicData>
            </a:graphic>
          </wp:inline>
        </w:drawing>
      </w:r>
    </w:p>
    <w:p w:rsidR="00464CFF" w:rsidRPr="008E0659" w:rsidRDefault="00464CFF" w:rsidP="00A85499">
      <w:pPr>
        <w:spacing w:after="0"/>
        <w:ind w:firstLine="284"/>
        <w:jc w:val="both"/>
        <w:rPr>
          <w:rFonts w:ascii="Arial" w:eastAsia="Times New Roman" w:hAnsi="Arial" w:cs="Arial"/>
          <w:color w:val="2E74B5" w:themeColor="accent1" w:themeShade="BF"/>
          <w:sz w:val="24"/>
          <w:szCs w:val="24"/>
          <w:lang w:eastAsia="es-MX"/>
        </w:rPr>
      </w:pPr>
    </w:p>
    <w:p w:rsidR="000D3167" w:rsidRPr="000D3167" w:rsidRDefault="000C0B35" w:rsidP="000D3167">
      <w:pPr>
        <w:pStyle w:val="corte4fondo"/>
        <w:rPr>
          <w:rFonts w:cs="Arial"/>
          <w:i/>
          <w:color w:val="2E74B5" w:themeColor="accent1" w:themeShade="BF"/>
          <w:sz w:val="20"/>
        </w:rPr>
      </w:pPr>
      <w:r w:rsidRPr="005409D2">
        <w:rPr>
          <w:rFonts w:cs="Arial"/>
          <w:i/>
          <w:color w:val="2E74B5" w:themeColor="accent1" w:themeShade="BF"/>
          <w:sz w:val="20"/>
        </w:rPr>
        <w:t>“…</w:t>
      </w:r>
      <w:r w:rsidR="005005BB" w:rsidRPr="005005BB">
        <w:rPr>
          <w:rFonts w:cs="Arial"/>
          <w:i/>
          <w:color w:val="2E74B5" w:themeColor="accent1" w:themeShade="BF"/>
          <w:sz w:val="20"/>
        </w:rPr>
        <w:t xml:space="preserve">           </w:t>
      </w:r>
      <w:r w:rsidR="000D3167" w:rsidRPr="000D3167">
        <w:rPr>
          <w:rFonts w:cs="Arial"/>
          <w:i/>
          <w:color w:val="2E74B5" w:themeColor="accent1" w:themeShade="BF"/>
          <w:sz w:val="20"/>
        </w:rPr>
        <w:t xml:space="preserve">  UT/1980/09/2019</w:t>
      </w: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ab/>
      </w:r>
      <w:r w:rsidRPr="000D3167">
        <w:rPr>
          <w:rFonts w:cs="Arial"/>
          <w:i/>
          <w:color w:val="2E74B5" w:themeColor="accent1" w:themeShade="BF"/>
          <w:sz w:val="20"/>
        </w:rPr>
        <w:tab/>
      </w:r>
    </w:p>
    <w:p w:rsidR="000D3167" w:rsidRPr="000D3167" w:rsidRDefault="000D3167" w:rsidP="000D3167">
      <w:pPr>
        <w:pStyle w:val="corte4fondo"/>
        <w:rPr>
          <w:rFonts w:cs="Arial"/>
          <w:i/>
          <w:color w:val="2E74B5" w:themeColor="accent1" w:themeShade="BF"/>
          <w:sz w:val="20"/>
        </w:rPr>
      </w:pP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 xml:space="preserve">C. </w:t>
      </w:r>
      <w:r>
        <w:rPr>
          <w:rFonts w:cs="Arial"/>
          <w:i/>
          <w:color w:val="2E74B5" w:themeColor="accent1" w:themeShade="BF"/>
          <w:sz w:val="20"/>
        </w:rPr>
        <w:t>XXXXXXXXXXXX</w:t>
      </w: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FOLIO  01329919</w:t>
      </w: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P R E S E N T E.-</w:t>
      </w:r>
    </w:p>
    <w:p w:rsidR="000D3167" w:rsidRPr="000D3167" w:rsidRDefault="000D3167" w:rsidP="000D3167">
      <w:pPr>
        <w:pStyle w:val="corte4fondo"/>
        <w:rPr>
          <w:rFonts w:cs="Arial"/>
          <w:i/>
          <w:color w:val="2E74B5" w:themeColor="accent1" w:themeShade="BF"/>
          <w:sz w:val="20"/>
        </w:rPr>
      </w:pP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DENTRO DE LOS AUTOS FORMADOS CON MOTIVO DE SU ESCRITO RECIBIDO EL DIA 17 DE SEPTIEMBRE DEL 2019, EN ESTA OFICINA DE LA UNIDAD DE TRANSPARENCIA, POR MEDIO DEL SISTEMA INFOMEX CON NO. DE FOLIO 01329919 A LA CUAL SE LE ASIGNO EL No. DE EXPEDIENTE UT/1980/09/2019, EN EL CUAL SOLICITA.</w:t>
      </w:r>
    </w:p>
    <w:p w:rsidR="000D3167" w:rsidRPr="000D3167" w:rsidRDefault="000D3167" w:rsidP="000D3167">
      <w:pPr>
        <w:pStyle w:val="corte4fondo"/>
        <w:rPr>
          <w:rFonts w:cs="Arial"/>
          <w:i/>
          <w:color w:val="2E74B5" w:themeColor="accent1" w:themeShade="BF"/>
          <w:sz w:val="20"/>
        </w:rPr>
      </w:pP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“QUISIERA SABER EN ESTE 2019, CUANTO GASTAN PARA EQUIPO DE PAPELERIA, ASI COMO LAS FACTURAS DE TODA LA PAPELERIA QUE SE ADQUIERE, EN EL AREA DEL RECLUTAMIENTO.”</w:t>
      </w:r>
    </w:p>
    <w:p w:rsidR="000D3167" w:rsidRPr="000D3167" w:rsidRDefault="000D3167" w:rsidP="000D3167">
      <w:pPr>
        <w:pStyle w:val="corte4fondo"/>
        <w:rPr>
          <w:rFonts w:cs="Arial"/>
          <w:i/>
          <w:color w:val="2E74B5" w:themeColor="accent1" w:themeShade="BF"/>
          <w:sz w:val="20"/>
        </w:rPr>
      </w:pP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POR LO ANTERIORMENTE EXPUESTO SE TIENE POR ENVIADO EL OFICIO DE NUMERO MSGS/UT/2131/09/2019 PARA OFICIALIA MAYOR, YA QUE CON FUNDAMENTO EN EL ARTICULO 153 DE LA LEY DE TRANSPARENCIA VIGENTE EN EL ESTADO DE SAN LUIS POTOSI, SON LAS AREAS LAS RESPONSABLES DE PROPORCIONAR LA INFORMACION QUE COMPETE DE ACUERDO A SUS FACULTADES COMPETENCIAS Y FUNCIONES.</w:t>
      </w:r>
    </w:p>
    <w:p w:rsidR="000D3167" w:rsidRPr="000D3167" w:rsidRDefault="000D3167" w:rsidP="000D3167">
      <w:pPr>
        <w:pStyle w:val="corte4fondo"/>
        <w:rPr>
          <w:rFonts w:cs="Arial"/>
          <w:i/>
          <w:color w:val="2E74B5" w:themeColor="accent1" w:themeShade="BF"/>
          <w:sz w:val="20"/>
        </w:rPr>
      </w:pP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DERIVADO DE LO ANTERIOR SE TIENE POR RECIBIDO EL OFICIO CON NO. MSGS/OM/488/2019 POR PARTE DE OFICIALÍA MAYOR EN EL CUAL SE INFORMA LO SIGUIENTE:</w:t>
      </w:r>
    </w:p>
    <w:p w:rsidR="000D3167" w:rsidRPr="000D3167" w:rsidRDefault="000D3167" w:rsidP="000D3167">
      <w:pPr>
        <w:pStyle w:val="corte4fondo"/>
        <w:rPr>
          <w:rFonts w:cs="Arial"/>
          <w:i/>
          <w:color w:val="2E74B5" w:themeColor="accent1" w:themeShade="BF"/>
          <w:sz w:val="20"/>
        </w:rPr>
      </w:pP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En respuesta hágasele saber que el Ayuntamiento no realiza las adquisiciones de papelería por área o por departamento, por lo que no es posible otorgarle la información en la forma que lo solicita.</w:t>
      </w:r>
    </w:p>
    <w:p w:rsidR="000D3167" w:rsidRPr="000D3167" w:rsidRDefault="000D3167" w:rsidP="000D3167">
      <w:pPr>
        <w:pStyle w:val="corte4fondo"/>
        <w:rPr>
          <w:rFonts w:cs="Arial"/>
          <w:i/>
          <w:color w:val="2E74B5" w:themeColor="accent1" w:themeShade="BF"/>
          <w:sz w:val="20"/>
        </w:rPr>
      </w:pP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Razón la anterior, por la que le solicito a esta Unidad de Transparencia, haga saber al solicitante que, la Cuenta Pública del primer y segundo trimestre, puede consultarlo en las siguientes ligas: http://www.municipiosoledad.gob.mx/transparencia/49 y http://www.municipiosoledad.gob.mx/transparencia/71</w:t>
      </w:r>
    </w:p>
    <w:p w:rsidR="000D3167" w:rsidRPr="000D3167" w:rsidRDefault="000D3167" w:rsidP="000D3167">
      <w:pPr>
        <w:pStyle w:val="corte4fondo"/>
        <w:rPr>
          <w:rFonts w:cs="Arial"/>
          <w:i/>
          <w:color w:val="2E74B5" w:themeColor="accent1" w:themeShade="BF"/>
          <w:sz w:val="20"/>
        </w:rPr>
      </w:pP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En el Reporte Estado Analítico del Ejercicio Presupuesto de Egresos, en la sección séptima de la Cuenta Pública; Nombrado con el concepto: “Materiales de administración, emisión de documentos, artículos de oficina “.</w:t>
      </w:r>
    </w:p>
    <w:p w:rsidR="000D3167" w:rsidRPr="000D3167" w:rsidRDefault="000D3167" w:rsidP="000D3167">
      <w:pPr>
        <w:pStyle w:val="corte4fondo"/>
        <w:rPr>
          <w:rFonts w:cs="Arial"/>
          <w:i/>
          <w:color w:val="2E74B5" w:themeColor="accent1" w:themeShade="BF"/>
          <w:sz w:val="20"/>
        </w:rPr>
      </w:pP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 xml:space="preserve">Lo anterior con fundamento en lo establecido por el numeral 59 de la Ley de Transparencia y Acceso a la Información Pública del Estado de San Luis Potosí, que textualmente dice: </w:t>
      </w:r>
    </w:p>
    <w:p w:rsidR="000D3167" w:rsidRPr="000D3167" w:rsidRDefault="000D3167" w:rsidP="000D3167">
      <w:pPr>
        <w:pStyle w:val="corte4fondo"/>
        <w:rPr>
          <w:rFonts w:cs="Arial"/>
          <w:i/>
          <w:color w:val="2E74B5" w:themeColor="accent1" w:themeShade="BF"/>
          <w:sz w:val="20"/>
        </w:rPr>
      </w:pP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“Los sujetos obligados deben proporcionar la información solicitada en la modalidad en que se encuentre. Cuando la información requerida se encuentre en dos o más tipos de formatos, el solicitante elegirá entre los formatos, para la entrega correspondiente.”</w:t>
      </w:r>
    </w:p>
    <w:p w:rsidR="000D3167" w:rsidRPr="000D3167" w:rsidRDefault="000D3167" w:rsidP="000D3167">
      <w:pPr>
        <w:pStyle w:val="corte4fondo"/>
        <w:rPr>
          <w:rFonts w:cs="Arial"/>
          <w:i/>
          <w:color w:val="2E74B5" w:themeColor="accent1" w:themeShade="BF"/>
          <w:sz w:val="20"/>
        </w:rPr>
      </w:pP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 xml:space="preserve">Así como lo establecido por el artículo 61 párrafo segundo de la misma ley, la cual establece: </w:t>
      </w:r>
    </w:p>
    <w:p w:rsidR="000D3167" w:rsidRPr="000D3167" w:rsidRDefault="000D3167" w:rsidP="000D3167">
      <w:pPr>
        <w:pStyle w:val="corte4fondo"/>
        <w:rPr>
          <w:rFonts w:cs="Arial"/>
          <w:i/>
          <w:color w:val="2E74B5" w:themeColor="accent1" w:themeShade="BF"/>
          <w:sz w:val="20"/>
        </w:rPr>
      </w:pP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“La obligación de los sujetos obligados de proporcionar información no comprende el procesamiento de la misma, ni el presentarla conforme al interés del solicitante.”</w:t>
      </w: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 xml:space="preserve">          </w:t>
      </w: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 xml:space="preserve"> Como conclusión le hago saber que se atendió a su solicitud de acceso a la información en razón que de conformidad con lo dispuesto en el artículo 3º fracciones XII, XIII y XIX, 147 y 154 de la Ley de Transparencia y Acceso a la Información Pública del Estado de San Luis Potosí.</w:t>
      </w: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w:t>
      </w: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 xml:space="preserve">POR LO ANTERIORMENTE EXPUESTO ESTA UNIDAD DE TRANSPARENCIA TIENE A BIEN ACORDAR. – NOTIFIQUESE AL C. </w:t>
      </w:r>
      <w:r>
        <w:rPr>
          <w:rFonts w:cs="Arial"/>
          <w:i/>
          <w:color w:val="2E74B5" w:themeColor="accent1" w:themeShade="BF"/>
          <w:sz w:val="20"/>
        </w:rPr>
        <w:t xml:space="preserve">XXXXXXXX </w:t>
      </w:r>
      <w:r w:rsidRPr="000D3167">
        <w:rPr>
          <w:rFonts w:cs="Arial"/>
          <w:i/>
          <w:color w:val="2E74B5" w:themeColor="accent1" w:themeShade="BF"/>
          <w:sz w:val="20"/>
        </w:rPr>
        <w:t>EL CONTENIDO DEL OFICIO AQUÍ CITADO, MISMO QUE SE PONE A SU DISPOSICIÓN PARA SU CONSULTA FISICA GRATUITA EN ESTAS OFICINAS QUE OCUPA LA UNIDAD DE TRANSPARENCIA UBICADA EN NEGRETE 106-A PLANTA ALTA CABECERA MUNICIPAL DE SOLEDAD DE GRACIANO SANCHEZ, S.L.P. EN UN HORARIO DE L-V de 8:00 a 15:00 PM</w:t>
      </w:r>
    </w:p>
    <w:p w:rsidR="000D3167" w:rsidRPr="000D3167" w:rsidRDefault="000D3167" w:rsidP="000D3167">
      <w:pPr>
        <w:pStyle w:val="corte4fondo"/>
        <w:rPr>
          <w:rFonts w:cs="Arial"/>
          <w:i/>
          <w:color w:val="2E74B5" w:themeColor="accent1" w:themeShade="BF"/>
          <w:sz w:val="20"/>
        </w:rPr>
      </w:pP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ASI LO ACORDO ESTA UNIDAD DE TRANSPARENCIA, DEL AYUNTAMIENTO DE SOLEDAD DE GRACIANO SANCHEZ</w:t>
      </w:r>
    </w:p>
    <w:p w:rsidR="000D3167" w:rsidRPr="000D3167" w:rsidRDefault="000D3167" w:rsidP="000D3167">
      <w:pPr>
        <w:pStyle w:val="corte4fondo"/>
        <w:rPr>
          <w:rFonts w:cs="Arial"/>
          <w:i/>
          <w:color w:val="2E74B5" w:themeColor="accent1" w:themeShade="BF"/>
          <w:sz w:val="20"/>
        </w:rPr>
      </w:pP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A T E N T A M E N TE</w:t>
      </w:r>
    </w:p>
    <w:p w:rsidR="000D3167" w:rsidRPr="000D3167" w:rsidRDefault="000D3167" w:rsidP="000D3167">
      <w:pPr>
        <w:pStyle w:val="corte4fondo"/>
        <w:rPr>
          <w:rFonts w:cs="Arial"/>
          <w:i/>
          <w:color w:val="2E74B5" w:themeColor="accent1" w:themeShade="BF"/>
          <w:sz w:val="20"/>
        </w:rPr>
      </w:pPr>
    </w:p>
    <w:p w:rsidR="000D3167" w:rsidRPr="000D3167" w:rsidRDefault="000D3167" w:rsidP="000D3167">
      <w:pPr>
        <w:pStyle w:val="corte4fondo"/>
        <w:rPr>
          <w:rFonts w:cs="Arial"/>
          <w:i/>
          <w:color w:val="2E74B5" w:themeColor="accent1" w:themeShade="BF"/>
          <w:sz w:val="20"/>
        </w:rPr>
      </w:pP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lastRenderedPageBreak/>
        <w:t>_______________________________________</w:t>
      </w: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L.B. JUAN DANIEL TORRES NOYOLA</w:t>
      </w:r>
    </w:p>
    <w:p w:rsidR="000D3167" w:rsidRPr="000D3167" w:rsidRDefault="000D3167" w:rsidP="000D3167">
      <w:pPr>
        <w:pStyle w:val="corte4fondo"/>
        <w:rPr>
          <w:rFonts w:cs="Arial"/>
          <w:i/>
          <w:color w:val="2E74B5" w:themeColor="accent1" w:themeShade="BF"/>
          <w:sz w:val="20"/>
        </w:rPr>
      </w:pPr>
      <w:r w:rsidRPr="000D3167">
        <w:rPr>
          <w:rFonts w:cs="Arial"/>
          <w:i/>
          <w:color w:val="2E74B5" w:themeColor="accent1" w:themeShade="BF"/>
          <w:sz w:val="20"/>
        </w:rPr>
        <w:t>COORDINADOR DE LA UNIDAD DE TRANSPARENCIA</w:t>
      </w:r>
    </w:p>
    <w:p w:rsidR="00464CFF" w:rsidRPr="008E0659" w:rsidRDefault="000D3167" w:rsidP="000D3167">
      <w:pPr>
        <w:pStyle w:val="corte4fondo"/>
        <w:rPr>
          <w:rFonts w:cs="Arial"/>
          <w:i/>
          <w:color w:val="2E74B5" w:themeColor="accent1" w:themeShade="BF"/>
          <w:sz w:val="20"/>
        </w:rPr>
      </w:pPr>
      <w:r w:rsidRPr="000D3167">
        <w:rPr>
          <w:rFonts w:cs="Arial"/>
          <w:i/>
          <w:color w:val="2E74B5" w:themeColor="accent1" w:themeShade="BF"/>
          <w:sz w:val="20"/>
        </w:rPr>
        <w:t>DEL AYUNTAMIENTO DE SOLEDAD DE GRACIANO SANCHEZ</w:t>
      </w:r>
      <w:r w:rsidR="005005BB" w:rsidRPr="005005BB">
        <w:rPr>
          <w:rFonts w:cs="Arial"/>
          <w:i/>
          <w:color w:val="2E74B5" w:themeColor="accent1" w:themeShade="BF"/>
          <w:sz w:val="20"/>
        </w:rPr>
        <w:t xml:space="preserve"> </w:t>
      </w:r>
      <w:r w:rsidR="005005BB">
        <w:rPr>
          <w:rFonts w:cs="Arial"/>
          <w:i/>
          <w:color w:val="2E74B5" w:themeColor="accent1" w:themeShade="BF"/>
          <w:sz w:val="20"/>
        </w:rPr>
        <w:t>…</w:t>
      </w:r>
      <w:r w:rsidR="000C0B35" w:rsidRPr="008E0659">
        <w:rPr>
          <w:rFonts w:cs="Arial"/>
          <w:i/>
          <w:color w:val="2E74B5" w:themeColor="accent1" w:themeShade="BF"/>
          <w:sz w:val="20"/>
        </w:rPr>
        <w:t>”</w:t>
      </w:r>
    </w:p>
    <w:p w:rsidR="000C0B35" w:rsidRPr="008E0659" w:rsidRDefault="000C0B35" w:rsidP="00A85499">
      <w:pPr>
        <w:pStyle w:val="corte4fondo"/>
        <w:spacing w:line="276" w:lineRule="auto"/>
        <w:ind w:firstLine="0"/>
        <w:rPr>
          <w:rFonts w:cs="Arial"/>
          <w:i/>
          <w:color w:val="2E74B5" w:themeColor="accent1" w:themeShade="BF"/>
          <w:sz w:val="24"/>
          <w:szCs w:val="24"/>
        </w:rPr>
      </w:pPr>
    </w:p>
    <w:p w:rsidR="007E46AF" w:rsidRDefault="00464CFF" w:rsidP="00A85499">
      <w:pPr>
        <w:pStyle w:val="corte4fondo"/>
        <w:spacing w:line="276" w:lineRule="auto"/>
        <w:ind w:firstLine="708"/>
        <w:rPr>
          <w:rFonts w:cs="Arial"/>
          <w:color w:val="2E74B5" w:themeColor="accent1" w:themeShade="BF"/>
          <w:sz w:val="24"/>
          <w:szCs w:val="24"/>
        </w:rPr>
      </w:pPr>
      <w:r w:rsidRPr="008E0659">
        <w:rPr>
          <w:rFonts w:cs="Arial"/>
          <w:b/>
          <w:color w:val="2E74B5" w:themeColor="accent1" w:themeShade="BF"/>
          <w:sz w:val="24"/>
          <w:szCs w:val="24"/>
        </w:rPr>
        <w:t xml:space="preserve">TERCERO. Interposición del recurso. </w:t>
      </w:r>
      <w:r w:rsidR="007E46AF" w:rsidRPr="008E0659">
        <w:rPr>
          <w:rFonts w:cs="Arial"/>
          <w:color w:val="2E74B5" w:themeColor="accent1" w:themeShade="BF"/>
          <w:sz w:val="24"/>
          <w:szCs w:val="24"/>
        </w:rPr>
        <w:t xml:space="preserve">El </w:t>
      </w:r>
      <w:r w:rsidR="005005BB">
        <w:rPr>
          <w:rFonts w:cs="Arial"/>
          <w:color w:val="2E74B5" w:themeColor="accent1" w:themeShade="BF"/>
          <w:sz w:val="24"/>
          <w:szCs w:val="24"/>
        </w:rPr>
        <w:t xml:space="preserve">03 tres </w:t>
      </w:r>
      <w:r w:rsidR="007B11D9">
        <w:rPr>
          <w:rFonts w:cs="Arial"/>
          <w:color w:val="2E74B5" w:themeColor="accent1" w:themeShade="BF"/>
          <w:sz w:val="24"/>
          <w:szCs w:val="24"/>
        </w:rPr>
        <w:t xml:space="preserve">de octubre </w:t>
      </w:r>
      <w:r w:rsidR="007E46AF" w:rsidRPr="008E0659">
        <w:rPr>
          <w:rFonts w:cs="Arial"/>
          <w:color w:val="2E74B5" w:themeColor="accent1" w:themeShade="BF"/>
          <w:sz w:val="24"/>
          <w:szCs w:val="24"/>
        </w:rPr>
        <w:t xml:space="preserve">de 2019 dos mil diecinueve, mediante registro </w:t>
      </w:r>
      <w:r w:rsidR="007E46AF">
        <w:rPr>
          <w:rFonts w:cs="Arial"/>
          <w:color w:val="2E74B5" w:themeColor="accent1" w:themeShade="BF"/>
          <w:sz w:val="24"/>
          <w:szCs w:val="24"/>
        </w:rPr>
        <w:t>en el Sistema de Comunicación con los Sujetos O</w:t>
      </w:r>
      <w:r w:rsidR="007E46AF" w:rsidRPr="008E0659">
        <w:rPr>
          <w:rFonts w:cs="Arial"/>
          <w:color w:val="2E74B5" w:themeColor="accent1" w:themeShade="BF"/>
          <w:sz w:val="24"/>
          <w:szCs w:val="24"/>
        </w:rPr>
        <w:t xml:space="preserve">bligados de la Plataforma Nacional de Transparencia, </w:t>
      </w:r>
      <w:r w:rsidR="007E46AF" w:rsidRPr="007E46AF">
        <w:rPr>
          <w:rFonts w:cs="Arial"/>
          <w:color w:val="2E74B5" w:themeColor="accent1" w:themeShade="BF"/>
          <w:sz w:val="24"/>
          <w:szCs w:val="24"/>
        </w:rPr>
        <w:t>el solicitante de la información interpuso recurso de revisión por que el sujeto obligado no contestó la información requerida a su solicitud de acceso a la información pública mencionada en el punto anterior, mismo que</w:t>
      </w:r>
      <w:r w:rsidR="007E46AF">
        <w:rPr>
          <w:rFonts w:cs="Arial"/>
          <w:color w:val="2E74B5" w:themeColor="accent1" w:themeShade="BF"/>
          <w:sz w:val="24"/>
          <w:szCs w:val="24"/>
        </w:rPr>
        <w:t xml:space="preserve"> </w:t>
      </w:r>
      <w:r w:rsidR="007E46AF" w:rsidRPr="008C2363">
        <w:rPr>
          <w:rFonts w:cs="Arial"/>
          <w:color w:val="2E74B5" w:themeColor="accent1" w:themeShade="BF"/>
          <w:sz w:val="24"/>
          <w:szCs w:val="24"/>
        </w:rPr>
        <w:t>quedó presentado ante la Oficialía de Partes de esta Comisión Estatal de Garantía de Acceso a la Información Pública</w:t>
      </w:r>
      <w:r w:rsidR="00CB674C">
        <w:rPr>
          <w:rFonts w:cs="Arial"/>
          <w:color w:val="2E74B5" w:themeColor="accent1" w:themeShade="BF"/>
          <w:sz w:val="24"/>
          <w:szCs w:val="24"/>
        </w:rPr>
        <w:t xml:space="preserve"> el día </w:t>
      </w:r>
      <w:r w:rsidR="003A505C">
        <w:rPr>
          <w:rFonts w:cs="Arial"/>
          <w:color w:val="2E74B5" w:themeColor="accent1" w:themeShade="BF"/>
          <w:sz w:val="24"/>
          <w:szCs w:val="24"/>
        </w:rPr>
        <w:t>04 cuatro</w:t>
      </w:r>
      <w:r w:rsidR="00CB674C">
        <w:rPr>
          <w:rFonts w:cs="Arial"/>
          <w:color w:val="2E74B5" w:themeColor="accent1" w:themeShade="BF"/>
          <w:sz w:val="24"/>
          <w:szCs w:val="24"/>
        </w:rPr>
        <w:t xml:space="preserve"> del referido mes y año</w:t>
      </w:r>
      <w:r w:rsidR="007E46AF" w:rsidRPr="008C2363">
        <w:rPr>
          <w:rFonts w:cs="Arial"/>
          <w:color w:val="2E74B5" w:themeColor="accent1" w:themeShade="BF"/>
          <w:sz w:val="24"/>
          <w:szCs w:val="24"/>
        </w:rPr>
        <w:t>.</w:t>
      </w:r>
      <w:r w:rsidR="007E46AF" w:rsidRPr="008E0659">
        <w:rPr>
          <w:rFonts w:cs="Arial"/>
          <w:color w:val="2E74B5" w:themeColor="accent1" w:themeShade="BF"/>
          <w:sz w:val="24"/>
          <w:szCs w:val="24"/>
        </w:rPr>
        <w:t xml:space="preserve"> </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spacing w:after="0"/>
        <w:ind w:firstLine="709"/>
        <w:jc w:val="both"/>
        <w:rPr>
          <w:rFonts w:ascii="Arial" w:eastAsia="Times New Roman" w:hAnsi="Arial" w:cs="Arial"/>
          <w:color w:val="2E74B5" w:themeColor="accent1" w:themeShade="BF"/>
          <w:sz w:val="24"/>
          <w:szCs w:val="24"/>
          <w:lang w:eastAsia="es-MX"/>
        </w:rPr>
      </w:pPr>
      <w:r w:rsidRPr="008E0659">
        <w:rPr>
          <w:rFonts w:ascii="Arial" w:hAnsi="Arial" w:cs="Arial"/>
          <w:b/>
          <w:color w:val="2E74B5" w:themeColor="accent1" w:themeShade="BF"/>
          <w:sz w:val="24"/>
          <w:szCs w:val="24"/>
        </w:rPr>
        <w:t>CUARTO</w:t>
      </w:r>
      <w:r w:rsidRPr="008E0659">
        <w:rPr>
          <w:rFonts w:ascii="Arial" w:eastAsia="Times New Roman" w:hAnsi="Arial" w:cs="Arial"/>
          <w:b/>
          <w:color w:val="2E74B5" w:themeColor="accent1" w:themeShade="BF"/>
          <w:sz w:val="24"/>
          <w:szCs w:val="24"/>
          <w:lang w:eastAsia="es-MX"/>
        </w:rPr>
        <w:t xml:space="preserve">. Trámite del recurso de revisión ante esta Comisión Estatal de Garantía de Acceso a la Información Pública. </w:t>
      </w:r>
      <w:r w:rsidRPr="008E0659">
        <w:rPr>
          <w:rFonts w:ascii="Arial" w:eastAsia="Times New Roman" w:hAnsi="Arial" w:cs="Arial"/>
          <w:color w:val="2E74B5" w:themeColor="accent1" w:themeShade="BF"/>
          <w:sz w:val="24"/>
          <w:szCs w:val="24"/>
          <w:lang w:eastAsia="es-MX"/>
        </w:rPr>
        <w:t xml:space="preserve">Mediante auto de </w:t>
      </w:r>
      <w:r w:rsidR="00D12A66">
        <w:rPr>
          <w:rFonts w:ascii="Arial" w:eastAsia="Times New Roman" w:hAnsi="Arial" w:cs="Arial"/>
          <w:color w:val="2E74B5" w:themeColor="accent1" w:themeShade="BF"/>
          <w:sz w:val="24"/>
          <w:szCs w:val="24"/>
          <w:lang w:eastAsia="es-MX"/>
        </w:rPr>
        <w:t xml:space="preserve">06 seis de noviembre </w:t>
      </w:r>
      <w:r w:rsidRPr="008E0659">
        <w:rPr>
          <w:rFonts w:ascii="Arial" w:eastAsia="Times New Roman" w:hAnsi="Arial" w:cs="Arial"/>
          <w:color w:val="2E74B5" w:themeColor="accent1" w:themeShade="BF"/>
          <w:sz w:val="24"/>
          <w:szCs w:val="24"/>
          <w:lang w:eastAsia="es-MX"/>
        </w:rPr>
        <w:t xml:space="preserve">de </w:t>
      </w:r>
      <w:r w:rsidR="00FB1A19" w:rsidRPr="008E0659">
        <w:rPr>
          <w:rFonts w:ascii="Arial" w:eastAsia="Times New Roman" w:hAnsi="Arial" w:cs="Arial"/>
          <w:color w:val="2E74B5" w:themeColor="accent1" w:themeShade="BF"/>
          <w:sz w:val="24"/>
          <w:szCs w:val="24"/>
          <w:lang w:eastAsia="es-MX"/>
        </w:rPr>
        <w:t xml:space="preserve">2019 dos mil diecinueve </w:t>
      </w:r>
      <w:r w:rsidRPr="008E0659">
        <w:rPr>
          <w:rFonts w:ascii="Arial" w:eastAsia="Times New Roman" w:hAnsi="Arial" w:cs="Arial"/>
          <w:color w:val="2E74B5" w:themeColor="accent1" w:themeShade="BF"/>
          <w:sz w:val="24"/>
          <w:szCs w:val="24"/>
          <w:lang w:eastAsia="es-MX"/>
        </w:rPr>
        <w:t>la presidencia de esta Comisión de Transparencia tuvo por recibido el recurso de revisión, por lo que, por razón de turno, tocó conocer a la ponencia de</w:t>
      </w:r>
      <w:r w:rsidR="00186D81" w:rsidRPr="008E0659">
        <w:rPr>
          <w:rFonts w:ascii="Arial" w:eastAsia="Times New Roman" w:hAnsi="Arial" w:cs="Arial"/>
          <w:color w:val="2E74B5" w:themeColor="accent1" w:themeShade="BF"/>
          <w:sz w:val="24"/>
          <w:szCs w:val="24"/>
          <w:lang w:eastAsia="es-MX"/>
        </w:rPr>
        <w:t xml:space="preserve">l </w:t>
      </w:r>
      <w:r w:rsidR="00186D81" w:rsidRPr="005409D2">
        <w:rPr>
          <w:rFonts w:ascii="Arial" w:eastAsia="Times New Roman" w:hAnsi="Arial" w:cs="Arial"/>
          <w:color w:val="2E74B5" w:themeColor="accent1" w:themeShade="BF"/>
          <w:sz w:val="24"/>
          <w:szCs w:val="24"/>
          <w:lang w:eastAsia="es-MX"/>
        </w:rPr>
        <w:t xml:space="preserve">Doctor Martín Vázquez </w:t>
      </w:r>
      <w:proofErr w:type="spellStart"/>
      <w:r w:rsidR="00186D81" w:rsidRPr="005409D2">
        <w:rPr>
          <w:rFonts w:ascii="Arial" w:eastAsia="Times New Roman" w:hAnsi="Arial" w:cs="Arial"/>
          <w:color w:val="2E74B5" w:themeColor="accent1" w:themeShade="BF"/>
          <w:sz w:val="24"/>
          <w:szCs w:val="24"/>
          <w:lang w:eastAsia="es-MX"/>
        </w:rPr>
        <w:t>Vázquez</w:t>
      </w:r>
      <w:proofErr w:type="spellEnd"/>
      <w:r w:rsidR="00186D81" w:rsidRPr="005409D2">
        <w:rPr>
          <w:rFonts w:ascii="Arial" w:eastAsia="Times New Roman" w:hAnsi="Arial" w:cs="Arial"/>
          <w:color w:val="2E74B5" w:themeColor="accent1" w:themeShade="BF"/>
          <w:sz w:val="24"/>
          <w:szCs w:val="24"/>
          <w:lang w:eastAsia="es-MX"/>
        </w:rPr>
        <w:t xml:space="preserve">, en ausencia de la Comisionada </w:t>
      </w:r>
      <w:r w:rsidRPr="005409D2">
        <w:rPr>
          <w:rFonts w:ascii="Arial" w:eastAsia="Times New Roman" w:hAnsi="Arial" w:cs="Arial"/>
          <w:color w:val="2E74B5" w:themeColor="accent1" w:themeShade="BF"/>
          <w:sz w:val="24"/>
          <w:szCs w:val="24"/>
          <w:lang w:eastAsia="es-MX"/>
        </w:rPr>
        <w:t>Paulina Sánchez Pérez</w:t>
      </w:r>
      <w:r w:rsidRPr="008E0659">
        <w:rPr>
          <w:rFonts w:ascii="Arial" w:eastAsia="Times New Roman" w:hAnsi="Arial" w:cs="Arial"/>
          <w:color w:val="2E74B5" w:themeColor="accent1" w:themeShade="BF"/>
          <w:sz w:val="24"/>
          <w:szCs w:val="24"/>
          <w:lang w:eastAsia="es-MX"/>
        </w:rPr>
        <w:t xml:space="preserve"> del Pozo por lo que se le turnó dicho expediente para que procediera, previo su análisis, a su admisión o </w:t>
      </w:r>
      <w:proofErr w:type="spellStart"/>
      <w:r w:rsidRPr="008E0659">
        <w:rPr>
          <w:rFonts w:ascii="Arial" w:eastAsia="Times New Roman" w:hAnsi="Arial" w:cs="Arial"/>
          <w:color w:val="2E74B5" w:themeColor="accent1" w:themeShade="BF"/>
          <w:sz w:val="24"/>
          <w:szCs w:val="24"/>
          <w:lang w:eastAsia="es-MX"/>
        </w:rPr>
        <w:t>desechamiento</w:t>
      </w:r>
      <w:proofErr w:type="spellEnd"/>
      <w:r w:rsidRPr="008E0659">
        <w:rPr>
          <w:rFonts w:ascii="Arial" w:eastAsia="Times New Roman" w:hAnsi="Arial" w:cs="Arial"/>
          <w:color w:val="2E74B5" w:themeColor="accent1" w:themeShade="BF"/>
          <w:sz w:val="24"/>
          <w:szCs w:val="24"/>
          <w:lang w:eastAsia="es-MX"/>
        </w:rPr>
        <w:t xml:space="preserve"> según fuera el caso.</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QUINTO. Auto de admisión y trámite. </w:t>
      </w:r>
      <w:r w:rsidRPr="008E0659">
        <w:rPr>
          <w:rFonts w:cs="Arial"/>
          <w:color w:val="2E74B5" w:themeColor="accent1" w:themeShade="BF"/>
          <w:sz w:val="24"/>
          <w:szCs w:val="24"/>
        </w:rPr>
        <w:t xml:space="preserve">Por proveído del </w:t>
      </w:r>
      <w:r w:rsidR="00D12A66">
        <w:rPr>
          <w:rFonts w:cs="Arial"/>
          <w:color w:val="2E74B5" w:themeColor="accent1" w:themeShade="BF"/>
          <w:sz w:val="24"/>
          <w:szCs w:val="24"/>
        </w:rPr>
        <w:t xml:space="preserve">21 veintiuno </w:t>
      </w:r>
      <w:r w:rsidR="00CB674C">
        <w:rPr>
          <w:rFonts w:cs="Arial"/>
          <w:color w:val="2E74B5" w:themeColor="accent1" w:themeShade="BF"/>
          <w:sz w:val="24"/>
          <w:szCs w:val="24"/>
        </w:rPr>
        <w:t xml:space="preserve">de noviembre </w:t>
      </w:r>
      <w:r w:rsidR="00FB1A19" w:rsidRPr="008E0659">
        <w:rPr>
          <w:rFonts w:cs="Arial"/>
          <w:color w:val="2E74B5" w:themeColor="accent1" w:themeShade="BF"/>
          <w:sz w:val="24"/>
          <w:szCs w:val="24"/>
        </w:rPr>
        <w:t xml:space="preserve">de 2019 dos mil diecinueve </w:t>
      </w:r>
      <w:r w:rsidRPr="008E0659">
        <w:rPr>
          <w:rFonts w:cs="Arial"/>
          <w:color w:val="2E74B5" w:themeColor="accent1" w:themeShade="BF"/>
          <w:sz w:val="24"/>
          <w:szCs w:val="24"/>
        </w:rPr>
        <w:t>la Comisionado Ponente, acordó la admisión del recurso de revisión por actualizarse la</w:t>
      </w:r>
      <w:r w:rsidR="00186D81" w:rsidRPr="008E0659">
        <w:rPr>
          <w:rFonts w:cs="Arial"/>
          <w:color w:val="2E74B5" w:themeColor="accent1" w:themeShade="BF"/>
          <w:sz w:val="24"/>
          <w:szCs w:val="24"/>
        </w:rPr>
        <w:t>s</w:t>
      </w:r>
      <w:r w:rsidRPr="008E0659">
        <w:rPr>
          <w:rFonts w:cs="Arial"/>
          <w:color w:val="2E74B5" w:themeColor="accent1" w:themeShade="BF"/>
          <w:sz w:val="24"/>
          <w:szCs w:val="24"/>
        </w:rPr>
        <w:t xml:space="preserve"> hipótesis establecida</w:t>
      </w:r>
      <w:r w:rsidR="00186D81" w:rsidRPr="008E0659">
        <w:rPr>
          <w:rFonts w:cs="Arial"/>
          <w:color w:val="2E74B5" w:themeColor="accent1" w:themeShade="BF"/>
          <w:sz w:val="24"/>
          <w:szCs w:val="24"/>
        </w:rPr>
        <w:t>s</w:t>
      </w:r>
      <w:r w:rsidRPr="008E0659">
        <w:rPr>
          <w:rFonts w:cs="Arial"/>
          <w:color w:val="2E74B5" w:themeColor="accent1" w:themeShade="BF"/>
          <w:sz w:val="24"/>
          <w:szCs w:val="24"/>
        </w:rPr>
        <w:t xml:space="preserve"> en la</w:t>
      </w:r>
      <w:r w:rsidR="00186D81" w:rsidRPr="008E0659">
        <w:rPr>
          <w:rFonts w:cs="Arial"/>
          <w:color w:val="2E74B5" w:themeColor="accent1" w:themeShade="BF"/>
          <w:sz w:val="24"/>
          <w:szCs w:val="24"/>
        </w:rPr>
        <w:t>s</w:t>
      </w:r>
      <w:r w:rsidRPr="008E0659">
        <w:rPr>
          <w:rFonts w:cs="Arial"/>
          <w:color w:val="2E74B5" w:themeColor="accent1" w:themeShade="BF"/>
          <w:sz w:val="24"/>
          <w:szCs w:val="24"/>
        </w:rPr>
        <w:t xml:space="preserve"> </w:t>
      </w:r>
      <w:r w:rsidR="00186D81" w:rsidRPr="008E0659">
        <w:rPr>
          <w:rFonts w:cs="Arial"/>
          <w:color w:val="2E74B5" w:themeColor="accent1" w:themeShade="BF"/>
          <w:sz w:val="24"/>
          <w:szCs w:val="24"/>
        </w:rPr>
        <w:t>fracciones</w:t>
      </w:r>
      <w:r w:rsidRPr="008E0659">
        <w:rPr>
          <w:rFonts w:cs="Arial"/>
          <w:color w:val="2E74B5" w:themeColor="accent1" w:themeShade="BF"/>
          <w:sz w:val="24"/>
          <w:szCs w:val="24"/>
        </w:rPr>
        <w:t xml:space="preserve"> V</w:t>
      </w:r>
      <w:r w:rsidR="00186D81" w:rsidRPr="008E0659">
        <w:rPr>
          <w:rFonts w:cs="Arial"/>
          <w:color w:val="2E74B5" w:themeColor="accent1" w:themeShade="BF"/>
          <w:sz w:val="24"/>
          <w:szCs w:val="24"/>
        </w:rPr>
        <w:t xml:space="preserve"> y VI</w:t>
      </w:r>
      <w:r w:rsidRPr="008E0659">
        <w:rPr>
          <w:rFonts w:cs="Arial"/>
          <w:color w:val="2E74B5" w:themeColor="accent1" w:themeShade="BF"/>
          <w:sz w:val="24"/>
          <w:szCs w:val="24"/>
        </w:rPr>
        <w:t xml:space="preserve"> del artículo 167 de la Ley de Transparencia y Acceso a la información Pública del Estado de San Luis Potosí, de la misma manera:</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CB674C" w:rsidRDefault="00464CFF" w:rsidP="00A85499">
      <w:pPr>
        <w:pStyle w:val="corte4fondo"/>
        <w:numPr>
          <w:ilvl w:val="0"/>
          <w:numId w:val="2"/>
        </w:numPr>
        <w:spacing w:line="276" w:lineRule="auto"/>
        <w:rPr>
          <w:rFonts w:cs="Arial"/>
          <w:color w:val="2E74B5" w:themeColor="accent1" w:themeShade="BF"/>
          <w:sz w:val="24"/>
          <w:szCs w:val="24"/>
        </w:rPr>
      </w:pPr>
      <w:r w:rsidRPr="00CB674C">
        <w:rPr>
          <w:rFonts w:cs="Arial"/>
          <w:color w:val="2E74B5" w:themeColor="accent1" w:themeShade="BF"/>
          <w:sz w:val="24"/>
          <w:szCs w:val="24"/>
        </w:rPr>
        <w:t>Registró en el Libro de Gobierno el presente expediente como RR-</w:t>
      </w:r>
      <w:r w:rsidR="005005BB">
        <w:rPr>
          <w:rFonts w:cs="Arial"/>
          <w:color w:val="2E74B5" w:themeColor="accent1" w:themeShade="BF"/>
          <w:sz w:val="24"/>
          <w:szCs w:val="24"/>
        </w:rPr>
        <w:t>232</w:t>
      </w:r>
      <w:r w:rsidR="000D3167">
        <w:rPr>
          <w:rFonts w:cs="Arial"/>
          <w:color w:val="2E74B5" w:themeColor="accent1" w:themeShade="BF"/>
          <w:sz w:val="24"/>
          <w:szCs w:val="24"/>
        </w:rPr>
        <w:t>9</w:t>
      </w:r>
      <w:r w:rsidRPr="00CB674C">
        <w:rPr>
          <w:rFonts w:cs="Arial"/>
          <w:color w:val="2E74B5" w:themeColor="accent1" w:themeShade="BF"/>
          <w:sz w:val="24"/>
          <w:szCs w:val="24"/>
        </w:rPr>
        <w:t>/201</w:t>
      </w:r>
      <w:r w:rsidR="00FB1A19" w:rsidRPr="00CB674C">
        <w:rPr>
          <w:rFonts w:cs="Arial"/>
          <w:color w:val="2E74B5" w:themeColor="accent1" w:themeShade="BF"/>
          <w:sz w:val="24"/>
          <w:szCs w:val="24"/>
        </w:rPr>
        <w:t>9</w:t>
      </w:r>
      <w:r w:rsidRPr="00CB674C">
        <w:rPr>
          <w:rFonts w:cs="Arial"/>
          <w:color w:val="2E74B5" w:themeColor="accent1" w:themeShade="BF"/>
          <w:sz w:val="24"/>
          <w:szCs w:val="24"/>
        </w:rPr>
        <w:t>-2</w:t>
      </w:r>
      <w:r w:rsidR="00186D81" w:rsidRPr="00CB674C">
        <w:rPr>
          <w:rFonts w:cs="Arial"/>
          <w:color w:val="2E74B5" w:themeColor="accent1" w:themeShade="BF"/>
          <w:sz w:val="24"/>
          <w:szCs w:val="24"/>
        </w:rPr>
        <w:t xml:space="preserve"> </w:t>
      </w:r>
      <w:r w:rsidR="005409D2" w:rsidRPr="00CB674C">
        <w:rPr>
          <w:rFonts w:cs="Arial"/>
          <w:color w:val="2E74B5" w:themeColor="accent1" w:themeShade="BF"/>
          <w:sz w:val="24"/>
          <w:szCs w:val="24"/>
        </w:rPr>
        <w:t>SICOM.</w:t>
      </w:r>
    </w:p>
    <w:p w:rsidR="00464CFF" w:rsidRPr="008E0659" w:rsidRDefault="00464CFF" w:rsidP="00A85499">
      <w:pPr>
        <w:pStyle w:val="corte4fondo"/>
        <w:numPr>
          <w:ilvl w:val="0"/>
          <w:numId w:val="2"/>
        </w:numPr>
        <w:spacing w:line="276" w:lineRule="auto"/>
        <w:rPr>
          <w:rFonts w:cs="Arial"/>
          <w:color w:val="2E74B5" w:themeColor="accent1" w:themeShade="BF"/>
          <w:sz w:val="24"/>
          <w:szCs w:val="24"/>
        </w:rPr>
      </w:pPr>
      <w:r w:rsidRPr="008E0659">
        <w:rPr>
          <w:rFonts w:cs="Arial"/>
          <w:color w:val="2E74B5" w:themeColor="accent1" w:themeShade="BF"/>
          <w:sz w:val="24"/>
          <w:szCs w:val="24"/>
        </w:rPr>
        <w:t>Admitió a trámite el presente recurso de revisión.</w:t>
      </w:r>
    </w:p>
    <w:p w:rsidR="00464CFF" w:rsidRPr="008E0659" w:rsidRDefault="00464CFF" w:rsidP="00A85499">
      <w:pPr>
        <w:pStyle w:val="corte4fondo"/>
        <w:numPr>
          <w:ilvl w:val="0"/>
          <w:numId w:val="2"/>
        </w:numPr>
        <w:spacing w:line="276" w:lineRule="auto"/>
        <w:rPr>
          <w:rFonts w:cs="Arial"/>
          <w:color w:val="2E74B5" w:themeColor="accent1" w:themeShade="BF"/>
          <w:sz w:val="24"/>
          <w:szCs w:val="24"/>
        </w:rPr>
      </w:pPr>
      <w:r w:rsidRPr="008E0659">
        <w:rPr>
          <w:rFonts w:cs="Arial"/>
          <w:color w:val="2E74B5" w:themeColor="accent1" w:themeShade="BF"/>
          <w:sz w:val="24"/>
          <w:szCs w:val="24"/>
        </w:rPr>
        <w:t>Tuvo como sujeto obligado al</w:t>
      </w:r>
      <w:r w:rsidR="00FB1A19" w:rsidRPr="008E0659">
        <w:rPr>
          <w:rFonts w:eastAsia="Arial Unicode MS" w:cs="Arial"/>
          <w:b/>
          <w:color w:val="2E74B5" w:themeColor="accent1" w:themeShade="BF"/>
          <w:sz w:val="24"/>
          <w:szCs w:val="24"/>
        </w:rPr>
        <w:t xml:space="preserve"> H. AYUNTAMIENTO DE </w:t>
      </w:r>
      <w:r w:rsidR="002A3DCE" w:rsidRPr="008E0659">
        <w:rPr>
          <w:rFonts w:eastAsia="Arial Unicode MS" w:cs="Arial"/>
          <w:b/>
          <w:color w:val="2E74B5" w:themeColor="accent1" w:themeShade="BF"/>
          <w:sz w:val="24"/>
          <w:szCs w:val="24"/>
        </w:rPr>
        <w:t xml:space="preserve">SOLEDAD DE GRACIANO SÁNCHEZ, </w:t>
      </w:r>
      <w:r w:rsidR="00FB1A19" w:rsidRPr="008E0659">
        <w:rPr>
          <w:rFonts w:eastAsia="Arial Unicode MS" w:cs="Arial"/>
          <w:b/>
          <w:color w:val="2E74B5" w:themeColor="accent1" w:themeShade="BF"/>
          <w:sz w:val="24"/>
          <w:szCs w:val="24"/>
        </w:rPr>
        <w:t xml:space="preserve">SAN LUIS POTOSÍ, POR CONDUCTO DE SU PRESIDENTE </w:t>
      </w:r>
      <w:r w:rsidR="002A3DCE" w:rsidRPr="008E0659">
        <w:rPr>
          <w:rFonts w:eastAsia="Arial Unicode MS" w:cs="Arial"/>
          <w:b/>
          <w:color w:val="2E74B5" w:themeColor="accent1" w:themeShade="BF"/>
          <w:sz w:val="24"/>
          <w:szCs w:val="24"/>
        </w:rPr>
        <w:t>MUNICIPAL A TRAVES DE SU TI</w:t>
      </w:r>
      <w:r w:rsidR="00FB1A19" w:rsidRPr="008E0659">
        <w:rPr>
          <w:rFonts w:eastAsia="Arial Unicode MS" w:cs="Arial"/>
          <w:b/>
          <w:color w:val="2E74B5" w:themeColor="accent1" w:themeShade="BF"/>
          <w:sz w:val="24"/>
          <w:szCs w:val="24"/>
        </w:rPr>
        <w:t>TUL</w:t>
      </w:r>
      <w:r w:rsidR="002A3DCE" w:rsidRPr="008E0659">
        <w:rPr>
          <w:rFonts w:eastAsia="Arial Unicode MS" w:cs="Arial"/>
          <w:b/>
          <w:color w:val="2E74B5" w:themeColor="accent1" w:themeShade="BF"/>
          <w:sz w:val="24"/>
          <w:szCs w:val="24"/>
        </w:rPr>
        <w:t>AR DE LA UNIDAD DE INFORMACIÓ</w:t>
      </w:r>
      <w:r w:rsidR="00FB1A19" w:rsidRPr="008E0659">
        <w:rPr>
          <w:rFonts w:eastAsia="Arial Unicode MS" w:cs="Arial"/>
          <w:b/>
          <w:color w:val="2E74B5" w:themeColor="accent1" w:themeShade="BF"/>
          <w:sz w:val="24"/>
          <w:szCs w:val="24"/>
        </w:rPr>
        <w:t>N PÚBLICA</w:t>
      </w:r>
      <w:r w:rsidRPr="008E0659">
        <w:rPr>
          <w:rFonts w:eastAsia="Arial Unicode MS" w:cs="Arial"/>
          <w:b/>
          <w:color w:val="2E74B5" w:themeColor="accent1" w:themeShade="BF"/>
          <w:sz w:val="24"/>
          <w:szCs w:val="24"/>
        </w:rPr>
        <w:t>.</w:t>
      </w:r>
    </w:p>
    <w:p w:rsidR="00464CFF" w:rsidRPr="008E0659" w:rsidRDefault="00464CFF" w:rsidP="00A85499">
      <w:pPr>
        <w:pStyle w:val="corte4fondo"/>
        <w:numPr>
          <w:ilvl w:val="0"/>
          <w:numId w:val="2"/>
        </w:numPr>
        <w:spacing w:line="276" w:lineRule="auto"/>
        <w:rPr>
          <w:rFonts w:cs="Arial"/>
          <w:color w:val="2E74B5" w:themeColor="accent1" w:themeShade="BF"/>
          <w:sz w:val="24"/>
          <w:szCs w:val="24"/>
        </w:rPr>
      </w:pPr>
      <w:r w:rsidRPr="008E0659">
        <w:rPr>
          <w:rFonts w:cs="Arial"/>
          <w:color w:val="2E74B5" w:themeColor="accent1" w:themeShade="BF"/>
          <w:sz w:val="24"/>
          <w:szCs w:val="24"/>
        </w:rPr>
        <w:t>Se le tuvo al recurrente por señalada dirección electrónica para oír notificaciones.</w:t>
      </w:r>
    </w:p>
    <w:p w:rsidR="00464CFF" w:rsidRPr="008E0659" w:rsidRDefault="00464CFF" w:rsidP="00A85499">
      <w:pPr>
        <w:pStyle w:val="corte4fondo"/>
        <w:numPr>
          <w:ilvl w:val="0"/>
          <w:numId w:val="2"/>
        </w:numPr>
        <w:spacing w:line="276" w:lineRule="auto"/>
        <w:rPr>
          <w:rFonts w:cs="Arial"/>
          <w:color w:val="2E74B5" w:themeColor="accent1" w:themeShade="BF"/>
          <w:sz w:val="24"/>
          <w:szCs w:val="24"/>
        </w:rPr>
      </w:pPr>
      <w:r w:rsidRPr="008E0659">
        <w:rPr>
          <w:rFonts w:cs="Arial"/>
          <w:color w:val="2E74B5" w:themeColor="accent1" w:themeShade="BF"/>
          <w:sz w:val="24"/>
          <w:szCs w:val="24"/>
        </w:rPr>
        <w:t xml:space="preserve">Se puso a disposición de las partes el expediente para que en un plazo máximo de 7 siete días manifestaran lo que a su derecho conviniera –ofrecer pruebas y alegar–.  </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color w:val="2E74B5" w:themeColor="accent1" w:themeShade="BF"/>
          <w:sz w:val="24"/>
          <w:szCs w:val="24"/>
        </w:rPr>
        <w:t>Asimismo, en ese auto la ponente expresó que el sujeto obligado debería informar a esta Comisión de Transparencia si la información que le fue solicitada:</w:t>
      </w:r>
    </w:p>
    <w:p w:rsidR="00464CFF" w:rsidRPr="008E0659" w:rsidRDefault="003D4D66" w:rsidP="00A85499">
      <w:pPr>
        <w:pStyle w:val="corte4fondo"/>
        <w:spacing w:line="276" w:lineRule="auto"/>
        <w:rPr>
          <w:rFonts w:cs="Arial"/>
          <w:color w:val="2E74B5" w:themeColor="accent1" w:themeShade="BF"/>
          <w:sz w:val="24"/>
          <w:szCs w:val="24"/>
        </w:rPr>
      </w:pPr>
      <w:r w:rsidRPr="008E0659">
        <w:rPr>
          <w:rFonts w:cs="Arial"/>
          <w:color w:val="2E74B5" w:themeColor="accent1" w:themeShade="BF"/>
          <w:sz w:val="24"/>
          <w:szCs w:val="24"/>
        </w:rPr>
        <w:t xml:space="preserve"> </w:t>
      </w:r>
    </w:p>
    <w:p w:rsidR="00464CFF" w:rsidRPr="008E0659" w:rsidRDefault="00464CFF" w:rsidP="00A85499">
      <w:pPr>
        <w:pStyle w:val="corte4fondo"/>
        <w:numPr>
          <w:ilvl w:val="0"/>
          <w:numId w:val="1"/>
        </w:numPr>
        <w:spacing w:line="276" w:lineRule="auto"/>
        <w:rPr>
          <w:rFonts w:cs="Arial"/>
          <w:color w:val="2E74B5" w:themeColor="accent1" w:themeShade="BF"/>
          <w:sz w:val="24"/>
          <w:szCs w:val="24"/>
        </w:rPr>
      </w:pPr>
      <w:r w:rsidRPr="008E0659">
        <w:rPr>
          <w:rFonts w:cs="Arial"/>
          <w:color w:val="2E74B5" w:themeColor="accent1" w:themeShade="BF"/>
          <w:sz w:val="24"/>
          <w:szCs w:val="24"/>
        </w:rPr>
        <w:t>Se encontraba en sus archivos.</w:t>
      </w:r>
    </w:p>
    <w:p w:rsidR="00464CFF" w:rsidRPr="008E0659" w:rsidRDefault="00464CFF" w:rsidP="00A85499">
      <w:pPr>
        <w:pStyle w:val="corte4fondo"/>
        <w:numPr>
          <w:ilvl w:val="0"/>
          <w:numId w:val="1"/>
        </w:numPr>
        <w:spacing w:line="276" w:lineRule="auto"/>
        <w:rPr>
          <w:rFonts w:cs="Arial"/>
          <w:color w:val="2E74B5" w:themeColor="accent1" w:themeShade="BF"/>
          <w:sz w:val="24"/>
          <w:szCs w:val="24"/>
        </w:rPr>
      </w:pPr>
      <w:r w:rsidRPr="008E0659">
        <w:rPr>
          <w:rFonts w:cs="Arial"/>
          <w:color w:val="2E74B5" w:themeColor="accent1" w:themeShade="BF"/>
          <w:sz w:val="24"/>
          <w:szCs w:val="24"/>
        </w:rPr>
        <w:lastRenderedPageBreak/>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464CFF" w:rsidRPr="008E0659" w:rsidRDefault="00464CFF" w:rsidP="00A85499">
      <w:pPr>
        <w:pStyle w:val="corte4fondo"/>
        <w:numPr>
          <w:ilvl w:val="0"/>
          <w:numId w:val="1"/>
        </w:numPr>
        <w:spacing w:line="276" w:lineRule="auto"/>
        <w:rPr>
          <w:rFonts w:cs="Arial"/>
          <w:color w:val="2E74B5" w:themeColor="accent1" w:themeShade="BF"/>
          <w:sz w:val="24"/>
          <w:szCs w:val="24"/>
        </w:rPr>
      </w:pPr>
      <w:r w:rsidRPr="008E0659">
        <w:rPr>
          <w:rFonts w:cs="Arial"/>
          <w:color w:val="2E74B5" w:themeColor="accent1" w:themeShade="BF"/>
          <w:sz w:val="24"/>
          <w:szCs w:val="24"/>
        </w:rPr>
        <w:t xml:space="preserve">Se encontraba en una de las excepciones del derecho de acceso a la información como impedimento legal para su entrega –cuando se trate de información reservada o confidencial–. </w:t>
      </w:r>
    </w:p>
    <w:p w:rsidR="00464CFF" w:rsidRPr="008E0659" w:rsidRDefault="00464CFF" w:rsidP="00A85499">
      <w:pPr>
        <w:spacing w:after="0"/>
        <w:rPr>
          <w:rFonts w:ascii="Arial" w:hAnsi="Arial" w:cs="Arial"/>
          <w:color w:val="2E74B5" w:themeColor="accent1" w:themeShade="BF"/>
          <w:sz w:val="24"/>
          <w:szCs w:val="24"/>
          <w:lang w:eastAsia="es-MX"/>
        </w:rPr>
      </w:pPr>
    </w:p>
    <w:p w:rsidR="00464CFF" w:rsidRPr="008E0659" w:rsidRDefault="00464CFF" w:rsidP="00A85499">
      <w:pPr>
        <w:spacing w:after="0"/>
        <w:ind w:firstLine="708"/>
        <w:jc w:val="both"/>
        <w:rPr>
          <w:rFonts w:ascii="Arial" w:hAnsi="Arial" w:cs="Arial"/>
          <w:color w:val="2E74B5" w:themeColor="accent1" w:themeShade="BF"/>
          <w:sz w:val="24"/>
          <w:szCs w:val="24"/>
          <w:lang w:eastAsia="es-MX"/>
        </w:rPr>
      </w:pPr>
      <w:r w:rsidRPr="008E0659">
        <w:rPr>
          <w:rFonts w:ascii="Arial"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464CFF" w:rsidRDefault="00464CFF" w:rsidP="00A85499">
      <w:pPr>
        <w:spacing w:after="0"/>
        <w:ind w:firstLine="708"/>
        <w:jc w:val="both"/>
        <w:rPr>
          <w:rFonts w:ascii="Arial" w:hAnsi="Arial" w:cs="Arial"/>
          <w:color w:val="2E74B5" w:themeColor="accent1" w:themeShade="BF"/>
          <w:sz w:val="24"/>
          <w:szCs w:val="24"/>
        </w:rPr>
      </w:pPr>
    </w:p>
    <w:p w:rsidR="00943F4F" w:rsidRPr="00943F4F" w:rsidRDefault="00943F4F" w:rsidP="00943F4F">
      <w:pPr>
        <w:spacing w:after="0"/>
        <w:ind w:firstLine="708"/>
        <w:jc w:val="both"/>
        <w:rPr>
          <w:rFonts w:ascii="Arial" w:hAnsi="Arial" w:cs="Arial"/>
          <w:color w:val="2E74B5" w:themeColor="accent1" w:themeShade="BF"/>
          <w:sz w:val="24"/>
          <w:szCs w:val="24"/>
        </w:rPr>
      </w:pPr>
      <w:r w:rsidRPr="00943F4F">
        <w:rPr>
          <w:rFonts w:ascii="Arial" w:hAnsi="Arial" w:cs="Arial"/>
          <w:color w:val="2E74B5" w:themeColor="accent1" w:themeShade="BF"/>
          <w:sz w:val="24"/>
          <w:szCs w:val="24"/>
        </w:rPr>
        <w:t xml:space="preserve">Finalmente, dentro del mismo auto el ponente remitió el expediente al Sistema Estatal de Documentación y Archivo de esta Comisión a efecto de que determinara si las direcciones electrónicas señaladas por el sujeto obligado en su respuesta, se encuentran en un formato accesible para el solicitante y de ser así, describiera cual es la información que se desprende de esta y en su caso señalara si la misma es o no susceptible de impresión. </w:t>
      </w:r>
    </w:p>
    <w:p w:rsidR="00943F4F" w:rsidRPr="008E0659" w:rsidRDefault="00943F4F" w:rsidP="00A85499">
      <w:pPr>
        <w:spacing w:after="0"/>
        <w:ind w:firstLine="708"/>
        <w:jc w:val="both"/>
        <w:rPr>
          <w:rFonts w:ascii="Arial" w:hAnsi="Arial" w:cs="Arial"/>
          <w:color w:val="2E74B5" w:themeColor="accent1" w:themeShade="BF"/>
          <w:sz w:val="24"/>
          <w:szCs w:val="24"/>
        </w:rPr>
      </w:pPr>
    </w:p>
    <w:p w:rsidR="0010751C" w:rsidRPr="008E0659" w:rsidRDefault="00FB1A19" w:rsidP="0010751C">
      <w:pPr>
        <w:pStyle w:val="corte4fondo"/>
        <w:tabs>
          <w:tab w:val="left" w:pos="0"/>
        </w:tabs>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r>
      <w:r w:rsidR="0010751C" w:rsidRPr="008E0659">
        <w:rPr>
          <w:rFonts w:cs="Arial"/>
          <w:b/>
          <w:color w:val="2E74B5" w:themeColor="accent1" w:themeShade="BF"/>
          <w:sz w:val="24"/>
          <w:szCs w:val="24"/>
        </w:rPr>
        <w:t>SEXTO. Dictamen del Sistema Estatal de documentación y Archivo y del Informe del sujeto obligado</w:t>
      </w:r>
      <w:r w:rsidR="0010751C" w:rsidRPr="008E0659">
        <w:rPr>
          <w:rFonts w:cs="Arial"/>
          <w:color w:val="2E74B5" w:themeColor="accent1" w:themeShade="BF"/>
          <w:sz w:val="24"/>
          <w:szCs w:val="24"/>
        </w:rPr>
        <w:t xml:space="preserve">. Por proveído del </w:t>
      </w:r>
      <w:r w:rsidR="005005BB">
        <w:rPr>
          <w:rFonts w:cs="Arial"/>
          <w:color w:val="2E74B5" w:themeColor="accent1" w:themeShade="BF"/>
          <w:sz w:val="24"/>
          <w:szCs w:val="24"/>
        </w:rPr>
        <w:t xml:space="preserve">06 seis </w:t>
      </w:r>
      <w:r w:rsidR="0010751C">
        <w:rPr>
          <w:rFonts w:cs="Arial"/>
          <w:color w:val="2E74B5" w:themeColor="accent1" w:themeShade="BF"/>
          <w:sz w:val="24"/>
          <w:szCs w:val="24"/>
        </w:rPr>
        <w:t xml:space="preserve">de diciembre </w:t>
      </w:r>
      <w:r w:rsidR="0010751C" w:rsidRPr="008E0659">
        <w:rPr>
          <w:rFonts w:cs="Arial"/>
          <w:color w:val="2E74B5" w:themeColor="accent1" w:themeShade="BF"/>
          <w:sz w:val="24"/>
          <w:szCs w:val="24"/>
        </w:rPr>
        <w:t>de 2019 dos mil diecinueve la ponente del presente asunto tuvo:</w:t>
      </w:r>
    </w:p>
    <w:p w:rsidR="0010751C" w:rsidRPr="008E0659" w:rsidRDefault="0010751C" w:rsidP="0010751C">
      <w:pPr>
        <w:pStyle w:val="corte4fondo"/>
        <w:tabs>
          <w:tab w:val="left" w:pos="0"/>
        </w:tabs>
        <w:spacing w:line="276" w:lineRule="auto"/>
        <w:ind w:firstLine="0"/>
        <w:rPr>
          <w:rFonts w:cs="Arial"/>
          <w:color w:val="2E74B5" w:themeColor="accent1" w:themeShade="BF"/>
          <w:sz w:val="24"/>
          <w:szCs w:val="24"/>
        </w:rPr>
      </w:pPr>
    </w:p>
    <w:p w:rsidR="0010751C" w:rsidRPr="00BF7A01" w:rsidRDefault="0010751C" w:rsidP="0010751C">
      <w:pPr>
        <w:pStyle w:val="corte4fondo"/>
        <w:numPr>
          <w:ilvl w:val="0"/>
          <w:numId w:val="4"/>
        </w:numPr>
        <w:spacing w:line="276" w:lineRule="auto"/>
        <w:rPr>
          <w:rFonts w:cs="Arial"/>
          <w:color w:val="2E74B5" w:themeColor="accent1" w:themeShade="BF"/>
          <w:sz w:val="24"/>
          <w:szCs w:val="24"/>
          <w:highlight w:val="yellow"/>
        </w:rPr>
      </w:pPr>
      <w:r w:rsidRPr="008E0659">
        <w:rPr>
          <w:rFonts w:cs="Arial"/>
          <w:color w:val="2E74B5" w:themeColor="accent1" w:themeShade="BF"/>
          <w:sz w:val="24"/>
          <w:szCs w:val="24"/>
        </w:rPr>
        <w:t xml:space="preserve">Tuvo por recibido </w:t>
      </w:r>
      <w:r w:rsidR="000D3167">
        <w:rPr>
          <w:rFonts w:cs="Arial"/>
          <w:color w:val="2E74B5" w:themeColor="accent1" w:themeShade="BF"/>
          <w:sz w:val="24"/>
          <w:szCs w:val="24"/>
        </w:rPr>
        <w:t>el oficio SEDA-DG-719</w:t>
      </w:r>
      <w:r w:rsidRPr="005409D2">
        <w:rPr>
          <w:rFonts w:cs="Arial"/>
          <w:color w:val="2E74B5" w:themeColor="accent1" w:themeShade="BF"/>
          <w:sz w:val="24"/>
          <w:szCs w:val="24"/>
        </w:rPr>
        <w:t xml:space="preserve">/2019 signado por el </w:t>
      </w:r>
      <w:r w:rsidRPr="005409D2">
        <w:rPr>
          <w:rFonts w:cs="Arial"/>
          <w:b/>
          <w:color w:val="2E74B5" w:themeColor="accent1" w:themeShade="BF"/>
          <w:sz w:val="24"/>
          <w:szCs w:val="24"/>
        </w:rPr>
        <w:t>Director de Archivo y Encargado de los Asuntos del Despacho de la Dirección del Sistema Estatal de Documentación y Archivo CEGAIP</w:t>
      </w:r>
      <w:r w:rsidRPr="005409D2">
        <w:rPr>
          <w:rFonts w:cs="Arial"/>
          <w:color w:val="2E74B5" w:themeColor="accent1" w:themeShade="BF"/>
          <w:sz w:val="24"/>
          <w:szCs w:val="24"/>
        </w:rPr>
        <w:t>.</w:t>
      </w:r>
    </w:p>
    <w:p w:rsidR="00464CFF" w:rsidRPr="00CB674C" w:rsidRDefault="007D30FE" w:rsidP="00A85499">
      <w:pPr>
        <w:pStyle w:val="corte4fondo"/>
        <w:numPr>
          <w:ilvl w:val="0"/>
          <w:numId w:val="4"/>
        </w:numPr>
        <w:spacing w:line="276" w:lineRule="auto"/>
        <w:rPr>
          <w:rFonts w:cs="Arial"/>
          <w:color w:val="2E74B5" w:themeColor="accent1" w:themeShade="BF"/>
          <w:sz w:val="24"/>
          <w:szCs w:val="24"/>
        </w:rPr>
      </w:pPr>
      <w:r w:rsidRPr="00CB674C">
        <w:rPr>
          <w:rFonts w:cs="Arial"/>
          <w:color w:val="2E74B5" w:themeColor="accent1" w:themeShade="BF"/>
          <w:sz w:val="24"/>
          <w:szCs w:val="24"/>
        </w:rPr>
        <w:t xml:space="preserve">Tuvo </w:t>
      </w:r>
      <w:r w:rsidR="00CB674C">
        <w:rPr>
          <w:rFonts w:cs="Arial"/>
          <w:color w:val="2E74B5" w:themeColor="accent1" w:themeShade="BF"/>
          <w:sz w:val="24"/>
          <w:szCs w:val="24"/>
        </w:rPr>
        <w:t>p</w:t>
      </w:r>
      <w:r w:rsidR="00464CFF" w:rsidRPr="00CB674C">
        <w:rPr>
          <w:rFonts w:cs="Arial"/>
          <w:color w:val="2E74B5" w:themeColor="accent1" w:themeShade="BF"/>
          <w:sz w:val="24"/>
          <w:szCs w:val="24"/>
        </w:rPr>
        <w:t>or recibido el oficio</w:t>
      </w:r>
      <w:r w:rsidR="008E5710" w:rsidRPr="00CB674C">
        <w:rPr>
          <w:rFonts w:cs="Arial"/>
          <w:color w:val="2E74B5" w:themeColor="accent1" w:themeShade="BF"/>
          <w:sz w:val="24"/>
          <w:szCs w:val="24"/>
        </w:rPr>
        <w:t xml:space="preserve"> MSGS/U</w:t>
      </w:r>
      <w:r w:rsidR="005005BB">
        <w:rPr>
          <w:rFonts w:cs="Arial"/>
          <w:color w:val="2E74B5" w:themeColor="accent1" w:themeShade="BF"/>
          <w:sz w:val="24"/>
          <w:szCs w:val="24"/>
        </w:rPr>
        <w:t>T/111</w:t>
      </w:r>
      <w:r w:rsidR="000D3167">
        <w:rPr>
          <w:rFonts w:cs="Arial"/>
          <w:color w:val="2E74B5" w:themeColor="accent1" w:themeShade="BF"/>
          <w:sz w:val="24"/>
          <w:szCs w:val="24"/>
        </w:rPr>
        <w:t>5</w:t>
      </w:r>
      <w:r w:rsidR="008E5710" w:rsidRPr="00CB674C">
        <w:rPr>
          <w:rFonts w:cs="Arial"/>
          <w:color w:val="2E74B5" w:themeColor="accent1" w:themeShade="BF"/>
          <w:sz w:val="24"/>
          <w:szCs w:val="24"/>
        </w:rPr>
        <w:t>/11/2019</w:t>
      </w:r>
      <w:r w:rsidR="000314A6" w:rsidRPr="00CB674C">
        <w:rPr>
          <w:rFonts w:cs="Arial"/>
          <w:color w:val="2E74B5" w:themeColor="accent1" w:themeShade="BF"/>
          <w:sz w:val="24"/>
          <w:szCs w:val="24"/>
        </w:rPr>
        <w:t xml:space="preserve">, firmado por </w:t>
      </w:r>
      <w:r w:rsidR="0046646B" w:rsidRPr="00CB674C">
        <w:rPr>
          <w:rFonts w:cs="Arial"/>
          <w:color w:val="2E74B5" w:themeColor="accent1" w:themeShade="BF"/>
          <w:sz w:val="24"/>
          <w:szCs w:val="24"/>
        </w:rPr>
        <w:t>el Coordinador de la Unidad de Transparencia</w:t>
      </w:r>
      <w:r w:rsidR="000314A6" w:rsidRPr="00CB674C">
        <w:rPr>
          <w:rFonts w:cs="Arial"/>
          <w:color w:val="2E74B5" w:themeColor="accent1" w:themeShade="BF"/>
          <w:sz w:val="24"/>
          <w:szCs w:val="24"/>
        </w:rPr>
        <w:t xml:space="preserve"> del sujeto obligado</w:t>
      </w:r>
      <w:r w:rsidR="00464CFF" w:rsidRPr="00CB674C">
        <w:rPr>
          <w:rFonts w:cs="Arial"/>
          <w:color w:val="2E74B5" w:themeColor="accent1" w:themeShade="BF"/>
          <w:sz w:val="24"/>
          <w:szCs w:val="24"/>
        </w:rPr>
        <w:t>.</w:t>
      </w:r>
      <w:r w:rsidR="00464CFF" w:rsidRPr="00CB674C">
        <w:rPr>
          <w:rFonts w:cs="Arial"/>
          <w:b/>
          <w:color w:val="2E74B5" w:themeColor="accent1" w:themeShade="BF"/>
          <w:sz w:val="24"/>
          <w:szCs w:val="24"/>
        </w:rPr>
        <w:t xml:space="preserve"> </w:t>
      </w:r>
    </w:p>
    <w:p w:rsidR="00464CFF" w:rsidRPr="008E0659" w:rsidRDefault="00464CFF" w:rsidP="00A85499">
      <w:pPr>
        <w:pStyle w:val="corte4fondo"/>
        <w:numPr>
          <w:ilvl w:val="0"/>
          <w:numId w:val="4"/>
        </w:numPr>
        <w:spacing w:line="276" w:lineRule="auto"/>
        <w:rPr>
          <w:rFonts w:cs="Arial"/>
          <w:color w:val="2E74B5" w:themeColor="accent1" w:themeShade="BF"/>
          <w:sz w:val="24"/>
          <w:szCs w:val="24"/>
        </w:rPr>
      </w:pPr>
      <w:r w:rsidRPr="008E0659">
        <w:rPr>
          <w:rFonts w:cs="Arial"/>
          <w:color w:val="2E74B5" w:themeColor="accent1" w:themeShade="BF"/>
          <w:sz w:val="24"/>
          <w:szCs w:val="24"/>
        </w:rPr>
        <w:t xml:space="preserve">Por reconocida su personalidad. </w:t>
      </w:r>
    </w:p>
    <w:p w:rsidR="0046646B" w:rsidRPr="008E0659" w:rsidRDefault="0046646B" w:rsidP="00A85499">
      <w:pPr>
        <w:pStyle w:val="corte4fondo"/>
        <w:numPr>
          <w:ilvl w:val="0"/>
          <w:numId w:val="4"/>
        </w:numPr>
        <w:spacing w:line="276" w:lineRule="auto"/>
        <w:rPr>
          <w:rFonts w:cs="Arial"/>
          <w:color w:val="2E74B5" w:themeColor="accent1" w:themeShade="BF"/>
          <w:sz w:val="24"/>
          <w:szCs w:val="24"/>
        </w:rPr>
      </w:pPr>
      <w:r w:rsidRPr="008E0659">
        <w:rPr>
          <w:rFonts w:cs="Arial"/>
          <w:color w:val="2E74B5" w:themeColor="accent1" w:themeShade="BF"/>
          <w:sz w:val="24"/>
          <w:szCs w:val="24"/>
        </w:rPr>
        <w:t>Por expresados los argumentos relacionados con el presente asunto.</w:t>
      </w:r>
    </w:p>
    <w:p w:rsidR="0046646B" w:rsidRPr="008E0659" w:rsidRDefault="0046646B" w:rsidP="00A85499">
      <w:pPr>
        <w:pStyle w:val="corte4fondo"/>
        <w:numPr>
          <w:ilvl w:val="0"/>
          <w:numId w:val="4"/>
        </w:numPr>
        <w:spacing w:line="276" w:lineRule="auto"/>
        <w:rPr>
          <w:rFonts w:cs="Arial"/>
          <w:color w:val="2E74B5" w:themeColor="accent1" w:themeShade="BF"/>
          <w:sz w:val="24"/>
          <w:szCs w:val="24"/>
        </w:rPr>
      </w:pPr>
      <w:r w:rsidRPr="008E0659">
        <w:rPr>
          <w:rFonts w:cs="Arial"/>
          <w:color w:val="2E74B5" w:themeColor="accent1" w:themeShade="BF"/>
          <w:sz w:val="24"/>
          <w:szCs w:val="24"/>
        </w:rPr>
        <w:t>Por remitiendo pruebas documentales que acompañó a su oficio de cuenta.</w:t>
      </w:r>
    </w:p>
    <w:p w:rsidR="0046646B" w:rsidRPr="008E0659" w:rsidRDefault="0046646B" w:rsidP="00A85499">
      <w:pPr>
        <w:pStyle w:val="corte4fondo"/>
        <w:numPr>
          <w:ilvl w:val="0"/>
          <w:numId w:val="4"/>
        </w:numPr>
        <w:spacing w:line="276" w:lineRule="auto"/>
        <w:rPr>
          <w:rFonts w:cs="Arial"/>
          <w:color w:val="2E74B5" w:themeColor="accent1" w:themeShade="BF"/>
          <w:sz w:val="24"/>
          <w:szCs w:val="24"/>
        </w:rPr>
      </w:pPr>
      <w:r w:rsidRPr="008E0659">
        <w:rPr>
          <w:rFonts w:cs="Arial"/>
          <w:color w:val="2E74B5" w:themeColor="accent1" w:themeShade="BF"/>
          <w:sz w:val="24"/>
          <w:szCs w:val="24"/>
        </w:rPr>
        <w:t>Por señalando domicilio para oír y recibir notificaciones.</w:t>
      </w:r>
    </w:p>
    <w:p w:rsidR="0046646B" w:rsidRPr="008E0659" w:rsidRDefault="0046646B"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tabs>
          <w:tab w:val="left" w:pos="0"/>
        </w:tabs>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t>Respecto de la parte recurrente, se advirtió que no compareció a realizar las manifestaciones que a su derecho conviniera – ofrecer pruebas y alegar.</w:t>
      </w:r>
    </w:p>
    <w:p w:rsidR="00943F4F" w:rsidRDefault="00943F4F" w:rsidP="00943F4F">
      <w:pPr>
        <w:pStyle w:val="corte4fondo"/>
        <w:spacing w:line="276" w:lineRule="auto"/>
        <w:rPr>
          <w:rFonts w:cs="Arial"/>
          <w:color w:val="2E74B5" w:themeColor="accent1" w:themeShade="BF"/>
          <w:sz w:val="24"/>
          <w:szCs w:val="24"/>
        </w:rPr>
      </w:pPr>
    </w:p>
    <w:p w:rsidR="00943F4F" w:rsidRPr="000B6AA3" w:rsidRDefault="00943F4F" w:rsidP="00943F4F">
      <w:pPr>
        <w:pStyle w:val="corte4fondo"/>
        <w:spacing w:line="276" w:lineRule="auto"/>
        <w:rPr>
          <w:rFonts w:cs="Arial"/>
          <w:color w:val="2E74B5" w:themeColor="accent1" w:themeShade="BF"/>
          <w:sz w:val="24"/>
          <w:szCs w:val="24"/>
        </w:rPr>
      </w:pPr>
      <w:r w:rsidRPr="000B6AA3">
        <w:rPr>
          <w:rFonts w:cs="Arial"/>
          <w:color w:val="2E74B5" w:themeColor="accent1" w:themeShade="BF"/>
          <w:sz w:val="24"/>
          <w:szCs w:val="24"/>
        </w:rPr>
        <w:t>Para concluir, la ponente declaró cerrado el periodo de instrucción y procedió a elaborar el proyecto de resolución respectivo.</w:t>
      </w:r>
    </w:p>
    <w:p w:rsidR="00464CFF" w:rsidRPr="008E0659" w:rsidRDefault="00464CFF" w:rsidP="00A85499">
      <w:pPr>
        <w:pStyle w:val="corte4fondo"/>
        <w:spacing w:line="276" w:lineRule="auto"/>
        <w:ind w:firstLine="0"/>
        <w:rPr>
          <w:rFonts w:cs="Arial"/>
          <w:color w:val="2E74B5" w:themeColor="accent1" w:themeShade="BF"/>
          <w:sz w:val="24"/>
          <w:szCs w:val="24"/>
        </w:rPr>
      </w:pPr>
    </w:p>
    <w:p w:rsidR="00797537" w:rsidRPr="008E0659" w:rsidRDefault="00CB674C" w:rsidP="00A85499">
      <w:pPr>
        <w:pStyle w:val="corte4fondo"/>
        <w:tabs>
          <w:tab w:val="left" w:pos="0"/>
        </w:tabs>
        <w:spacing w:line="276" w:lineRule="auto"/>
        <w:ind w:firstLine="0"/>
        <w:rPr>
          <w:rFonts w:cs="Arial"/>
          <w:color w:val="2E74B5" w:themeColor="accent1" w:themeShade="BF"/>
          <w:sz w:val="24"/>
          <w:szCs w:val="24"/>
        </w:rPr>
      </w:pPr>
      <w:r>
        <w:rPr>
          <w:rFonts w:cs="Arial"/>
          <w:b/>
          <w:color w:val="2E74B5" w:themeColor="accent1" w:themeShade="BF"/>
          <w:sz w:val="24"/>
          <w:szCs w:val="24"/>
        </w:rPr>
        <w:lastRenderedPageBreak/>
        <w:tab/>
      </w:r>
      <w:r w:rsidR="00797537" w:rsidRPr="008E0659">
        <w:rPr>
          <w:rFonts w:cs="Arial"/>
          <w:b/>
          <w:color w:val="2E74B5" w:themeColor="accent1" w:themeShade="BF"/>
          <w:sz w:val="24"/>
          <w:szCs w:val="24"/>
        </w:rPr>
        <w:t>SÉPTIMO. Ampliación del plazo para resolver el recurso</w:t>
      </w:r>
      <w:r w:rsidR="00797537" w:rsidRPr="008E0659">
        <w:rPr>
          <w:rFonts w:cs="Arial"/>
          <w:color w:val="2E74B5" w:themeColor="accent1" w:themeShade="BF"/>
          <w:sz w:val="24"/>
          <w:szCs w:val="24"/>
        </w:rPr>
        <w:t>. Por auto de</w:t>
      </w:r>
      <w:r>
        <w:rPr>
          <w:rFonts w:cs="Arial"/>
          <w:color w:val="2E74B5" w:themeColor="accent1" w:themeShade="BF"/>
          <w:sz w:val="24"/>
          <w:szCs w:val="24"/>
        </w:rPr>
        <w:t xml:space="preserve"> </w:t>
      </w:r>
      <w:r w:rsidR="0010751C">
        <w:rPr>
          <w:rFonts w:cs="Arial"/>
          <w:color w:val="2E74B5" w:themeColor="accent1" w:themeShade="BF"/>
          <w:sz w:val="24"/>
          <w:szCs w:val="24"/>
        </w:rPr>
        <w:t xml:space="preserve">17 diecisiete </w:t>
      </w:r>
      <w:r>
        <w:rPr>
          <w:rFonts w:cs="Arial"/>
          <w:color w:val="2E74B5" w:themeColor="accent1" w:themeShade="BF"/>
          <w:sz w:val="24"/>
          <w:szCs w:val="24"/>
        </w:rPr>
        <w:t>de enero de 2020 dos mil veinte</w:t>
      </w:r>
      <w:r w:rsidR="00797537" w:rsidRPr="008E0659">
        <w:rPr>
          <w:rFonts w:cs="Arial"/>
          <w:color w:val="2E74B5" w:themeColor="accent1" w:themeShade="BF"/>
          <w:sz w:val="24"/>
          <w:szCs w:val="24"/>
        </w:rPr>
        <w:t>, se decretó la ampliación del plazo para resolver el presente asunto</w:t>
      </w:r>
      <w:r w:rsidR="00797537" w:rsidRPr="008E0659">
        <w:rPr>
          <w:rStyle w:val="Refdenotaalpie"/>
          <w:rFonts w:cs="Arial"/>
          <w:color w:val="2E74B5" w:themeColor="accent1" w:themeShade="BF"/>
          <w:sz w:val="24"/>
          <w:szCs w:val="24"/>
        </w:rPr>
        <w:footnoteReference w:id="3"/>
      </w:r>
      <w:r w:rsidR="00797537" w:rsidRPr="008E0659">
        <w:rPr>
          <w:rFonts w:cs="Arial"/>
          <w:color w:val="2E74B5" w:themeColor="accent1" w:themeShade="BF"/>
          <w:sz w:val="24"/>
          <w:szCs w:val="24"/>
        </w:rPr>
        <w:t>.</w:t>
      </w:r>
    </w:p>
    <w:p w:rsidR="00797537" w:rsidRPr="008E0659" w:rsidRDefault="00797537" w:rsidP="00A85499">
      <w:pPr>
        <w:pStyle w:val="corte4fondo"/>
        <w:tabs>
          <w:tab w:val="left" w:pos="0"/>
        </w:tabs>
        <w:spacing w:line="276" w:lineRule="auto"/>
        <w:ind w:firstLine="0"/>
        <w:rPr>
          <w:rFonts w:cs="Arial"/>
          <w:color w:val="2E74B5" w:themeColor="accent1" w:themeShade="BF"/>
          <w:sz w:val="24"/>
          <w:szCs w:val="24"/>
        </w:rPr>
      </w:pPr>
    </w:p>
    <w:p w:rsidR="00797537" w:rsidRPr="008E0659" w:rsidRDefault="00797537" w:rsidP="00A85499">
      <w:pPr>
        <w:pStyle w:val="corte4fondo"/>
        <w:tabs>
          <w:tab w:val="left" w:pos="0"/>
        </w:tabs>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t xml:space="preserve">Finalmente, se remitió de nueva cuenta para efecto de elaborar el proyecto de resolución correspondiente. </w:t>
      </w:r>
    </w:p>
    <w:p w:rsidR="00992C6A" w:rsidRPr="008E0659" w:rsidRDefault="00992C6A" w:rsidP="00A85499">
      <w:pPr>
        <w:pStyle w:val="corte4fondo"/>
        <w:spacing w:line="276" w:lineRule="auto"/>
        <w:rPr>
          <w:rFonts w:cs="Arial"/>
          <w:b/>
          <w:color w:val="2E74B5" w:themeColor="accent1" w:themeShade="BF"/>
          <w:sz w:val="24"/>
          <w:szCs w:val="24"/>
        </w:rPr>
      </w:pPr>
    </w:p>
    <w:p w:rsidR="00464CFF" w:rsidRPr="008E0659" w:rsidRDefault="00464CFF" w:rsidP="00A85499">
      <w:pPr>
        <w:pStyle w:val="corte4fondo"/>
        <w:spacing w:line="276" w:lineRule="auto"/>
        <w:jc w:val="center"/>
        <w:rPr>
          <w:rFonts w:cs="Arial"/>
          <w:b/>
          <w:color w:val="2E74B5" w:themeColor="accent1" w:themeShade="BF"/>
          <w:sz w:val="24"/>
          <w:szCs w:val="24"/>
        </w:rPr>
      </w:pPr>
      <w:r w:rsidRPr="00283D92">
        <w:rPr>
          <w:rFonts w:cs="Arial"/>
          <w:b/>
          <w:color w:val="2E74B5" w:themeColor="accent1" w:themeShade="BF"/>
          <w:sz w:val="24"/>
          <w:szCs w:val="24"/>
        </w:rPr>
        <w:t>CONSIDERANDO</w:t>
      </w:r>
    </w:p>
    <w:p w:rsidR="00464CFF" w:rsidRPr="008E0659" w:rsidRDefault="00464CFF" w:rsidP="00A85499">
      <w:pPr>
        <w:pStyle w:val="corte4fondo"/>
        <w:spacing w:line="276" w:lineRule="auto"/>
        <w:jc w:val="center"/>
        <w:rPr>
          <w:rFonts w:cs="Arial"/>
          <w:b/>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PRIMERO. Competencia. </w:t>
      </w:r>
      <w:r w:rsidRPr="008E0659">
        <w:rPr>
          <w:rFonts w:cs="Arial"/>
          <w:color w:val="2E74B5" w:themeColor="accent1" w:themeShade="BF"/>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SEGUNDO. Procedencia. </w:t>
      </w:r>
      <w:r w:rsidRPr="008E0659">
        <w:rPr>
          <w:rFonts w:cs="Arial"/>
          <w:color w:val="2E74B5" w:themeColor="accent1" w:themeShade="BF"/>
          <w:sz w:val="24"/>
          <w:szCs w:val="24"/>
        </w:rPr>
        <w:t xml:space="preserve">El presente recurso de revisión es procedente en términos del artículo 166 de la Ley de Transparencia y Acceso a la Información Pública del Estado ya que la recurrente se inconforma por la respuesta a su solicitud de acceso a la información pública. </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TERCERO. Oportunidad del recurso</w:t>
      </w:r>
      <w:r w:rsidRPr="008E0659">
        <w:rPr>
          <w:rFonts w:cs="Arial"/>
          <w:color w:val="2E74B5" w:themeColor="accent1" w:themeShade="BF"/>
          <w:sz w:val="24"/>
          <w:szCs w:val="24"/>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AB3595" w:rsidRDefault="00464CFF" w:rsidP="00A85499">
      <w:pPr>
        <w:numPr>
          <w:ilvl w:val="0"/>
          <w:numId w:val="3"/>
        </w:numPr>
        <w:spacing w:after="0"/>
        <w:jc w:val="both"/>
        <w:rPr>
          <w:rFonts w:ascii="Arial" w:eastAsia="Times New Roman" w:hAnsi="Arial" w:cs="Arial"/>
          <w:color w:val="2E74B5" w:themeColor="accent1" w:themeShade="BF"/>
          <w:lang w:eastAsia="es-MX"/>
        </w:rPr>
      </w:pPr>
      <w:r w:rsidRPr="00AB3595">
        <w:rPr>
          <w:rFonts w:ascii="Arial" w:eastAsia="Times New Roman" w:hAnsi="Arial" w:cs="Arial"/>
          <w:color w:val="2E74B5" w:themeColor="accent1" w:themeShade="BF"/>
          <w:lang w:eastAsia="es-MX"/>
        </w:rPr>
        <w:t xml:space="preserve">El </w:t>
      </w:r>
      <w:r w:rsidR="0010751C">
        <w:rPr>
          <w:rFonts w:ascii="Arial" w:eastAsia="Times New Roman" w:hAnsi="Arial" w:cs="Arial"/>
          <w:color w:val="2E74B5" w:themeColor="accent1" w:themeShade="BF"/>
          <w:lang w:eastAsia="es-MX"/>
        </w:rPr>
        <w:t xml:space="preserve">27 veintisiete </w:t>
      </w:r>
      <w:r w:rsidR="00797537" w:rsidRPr="00AB3595">
        <w:rPr>
          <w:rFonts w:ascii="Arial" w:eastAsia="Times New Roman" w:hAnsi="Arial" w:cs="Arial"/>
          <w:color w:val="2E74B5" w:themeColor="accent1" w:themeShade="BF"/>
          <w:lang w:eastAsia="es-MX"/>
        </w:rPr>
        <w:t xml:space="preserve">de septiembre </w:t>
      </w:r>
      <w:r w:rsidR="005C5E20" w:rsidRPr="00AB3595">
        <w:rPr>
          <w:rFonts w:ascii="Arial" w:eastAsia="Times New Roman" w:hAnsi="Arial" w:cs="Arial"/>
          <w:color w:val="2E74B5" w:themeColor="accent1" w:themeShade="BF"/>
          <w:lang w:eastAsia="es-MX"/>
        </w:rPr>
        <w:t>de 2019 dos mil diecinueve el</w:t>
      </w:r>
      <w:r w:rsidRPr="00AB3595">
        <w:rPr>
          <w:rFonts w:ascii="Arial" w:eastAsia="Times New Roman" w:hAnsi="Arial" w:cs="Arial"/>
          <w:color w:val="2E74B5" w:themeColor="accent1" w:themeShade="BF"/>
          <w:lang w:eastAsia="es-MX"/>
        </w:rPr>
        <w:t xml:space="preserve"> solicitante de la información fue notificado de la respuesta a su solicitud.</w:t>
      </w:r>
    </w:p>
    <w:p w:rsidR="00464CFF" w:rsidRPr="00AB3595" w:rsidRDefault="00464CFF" w:rsidP="00A85499">
      <w:pPr>
        <w:numPr>
          <w:ilvl w:val="0"/>
          <w:numId w:val="3"/>
        </w:numPr>
        <w:spacing w:after="0"/>
        <w:jc w:val="both"/>
        <w:rPr>
          <w:rFonts w:ascii="Arial" w:eastAsia="Times New Roman" w:hAnsi="Arial" w:cs="Arial"/>
          <w:color w:val="2E74B5" w:themeColor="accent1" w:themeShade="BF"/>
          <w:lang w:eastAsia="es-MX"/>
        </w:rPr>
      </w:pPr>
      <w:r w:rsidRPr="00AB3595">
        <w:rPr>
          <w:rFonts w:ascii="Arial" w:eastAsia="Times New Roman" w:hAnsi="Arial" w:cs="Arial"/>
          <w:color w:val="2E74B5" w:themeColor="accent1" w:themeShade="BF"/>
          <w:lang w:eastAsia="es-MX"/>
        </w:rPr>
        <w:t>Por lo tanto, el plazo de los quince días hábiles para interponer el recurso de revisión transcurrió del día</w:t>
      </w:r>
      <w:r w:rsidR="005C5E20" w:rsidRPr="00AB3595">
        <w:rPr>
          <w:rFonts w:ascii="Arial" w:eastAsia="Times New Roman" w:hAnsi="Arial" w:cs="Arial"/>
          <w:color w:val="2E74B5" w:themeColor="accent1" w:themeShade="BF"/>
          <w:lang w:eastAsia="es-MX"/>
        </w:rPr>
        <w:t xml:space="preserve"> </w:t>
      </w:r>
      <w:r w:rsidR="0010751C">
        <w:rPr>
          <w:rFonts w:ascii="Arial" w:eastAsia="Times New Roman" w:hAnsi="Arial" w:cs="Arial"/>
          <w:color w:val="2E74B5" w:themeColor="accent1" w:themeShade="BF"/>
          <w:lang w:eastAsia="es-MX"/>
        </w:rPr>
        <w:t xml:space="preserve">30 treinta de septiembre al 18 dieciocho </w:t>
      </w:r>
      <w:r w:rsidR="00767CFB" w:rsidRPr="00AB3595">
        <w:rPr>
          <w:rFonts w:ascii="Arial" w:eastAsia="Times New Roman" w:hAnsi="Arial" w:cs="Arial"/>
          <w:color w:val="2E74B5" w:themeColor="accent1" w:themeShade="BF"/>
          <w:lang w:eastAsia="es-MX"/>
        </w:rPr>
        <w:t xml:space="preserve">de octubre del </w:t>
      </w:r>
      <w:r w:rsidR="00797537" w:rsidRPr="00AB3595">
        <w:rPr>
          <w:rFonts w:ascii="Arial" w:eastAsia="Times New Roman" w:hAnsi="Arial" w:cs="Arial"/>
          <w:color w:val="2E74B5" w:themeColor="accent1" w:themeShade="BF"/>
          <w:lang w:eastAsia="es-MX"/>
        </w:rPr>
        <w:t>referido año</w:t>
      </w:r>
      <w:r w:rsidRPr="00AB3595">
        <w:rPr>
          <w:rFonts w:ascii="Arial" w:eastAsia="Times New Roman" w:hAnsi="Arial" w:cs="Arial"/>
          <w:color w:val="2E74B5" w:themeColor="accent1" w:themeShade="BF"/>
          <w:lang w:eastAsia="es-MX"/>
        </w:rPr>
        <w:t xml:space="preserve">. </w:t>
      </w:r>
    </w:p>
    <w:p w:rsidR="00464CFF" w:rsidRPr="00AB3595" w:rsidRDefault="00464CFF" w:rsidP="00A85499">
      <w:pPr>
        <w:numPr>
          <w:ilvl w:val="0"/>
          <w:numId w:val="3"/>
        </w:numPr>
        <w:spacing w:after="0"/>
        <w:jc w:val="both"/>
        <w:rPr>
          <w:rFonts w:ascii="Arial" w:hAnsi="Arial" w:cs="Arial"/>
          <w:color w:val="2E74B5" w:themeColor="accent1" w:themeShade="BF"/>
        </w:rPr>
      </w:pPr>
      <w:r w:rsidRPr="00AB3595">
        <w:rPr>
          <w:rFonts w:ascii="Arial" w:eastAsia="Times New Roman" w:hAnsi="Arial" w:cs="Arial"/>
          <w:color w:val="2E74B5" w:themeColor="accent1" w:themeShade="BF"/>
          <w:lang w:eastAsia="es-MX"/>
        </w:rPr>
        <w:t>Se deben de descontar de dich</w:t>
      </w:r>
      <w:r w:rsidR="008E4CFB" w:rsidRPr="00AB3595">
        <w:rPr>
          <w:rFonts w:ascii="Arial" w:eastAsia="Times New Roman" w:hAnsi="Arial" w:cs="Arial"/>
          <w:color w:val="2E74B5" w:themeColor="accent1" w:themeShade="BF"/>
          <w:lang w:eastAsia="es-MX"/>
        </w:rPr>
        <w:t>o cómputo por ser inhábiles los</w:t>
      </w:r>
      <w:r w:rsidR="0010751C">
        <w:rPr>
          <w:rFonts w:ascii="Arial" w:eastAsia="Times New Roman" w:hAnsi="Arial" w:cs="Arial"/>
          <w:color w:val="2E74B5" w:themeColor="accent1" w:themeShade="BF"/>
          <w:lang w:eastAsia="es-MX"/>
        </w:rPr>
        <w:t xml:space="preserve"> días 27 veintisiete, 28 veintiocho de septiembre 05 cinco, 06 seis, 12 doce y </w:t>
      </w:r>
      <w:r w:rsidR="008E4CFB" w:rsidRPr="00AB3595">
        <w:rPr>
          <w:rFonts w:ascii="Arial" w:eastAsia="Times New Roman" w:hAnsi="Arial" w:cs="Arial"/>
          <w:color w:val="2E74B5" w:themeColor="accent1" w:themeShade="BF"/>
          <w:lang w:eastAsia="es-MX"/>
        </w:rPr>
        <w:t>13 trece</w:t>
      </w:r>
      <w:r w:rsidR="0010751C">
        <w:rPr>
          <w:rFonts w:ascii="Arial" w:eastAsia="Times New Roman" w:hAnsi="Arial" w:cs="Arial"/>
          <w:color w:val="2E74B5" w:themeColor="accent1" w:themeShade="BF"/>
          <w:lang w:eastAsia="es-MX"/>
        </w:rPr>
        <w:t xml:space="preserve"> </w:t>
      </w:r>
      <w:r w:rsidR="008E4CFB" w:rsidRPr="00AB3595">
        <w:rPr>
          <w:rFonts w:ascii="Arial" w:eastAsia="Times New Roman" w:hAnsi="Arial" w:cs="Arial"/>
          <w:color w:val="2E74B5" w:themeColor="accent1" w:themeShade="BF"/>
          <w:lang w:eastAsia="es-MX"/>
        </w:rPr>
        <w:t>de octubre</w:t>
      </w:r>
      <w:r w:rsidR="008E5710" w:rsidRPr="00AB3595">
        <w:rPr>
          <w:rFonts w:ascii="Arial" w:eastAsia="Times New Roman" w:hAnsi="Arial" w:cs="Arial"/>
          <w:color w:val="2E74B5" w:themeColor="accent1" w:themeShade="BF"/>
          <w:lang w:eastAsia="es-MX"/>
        </w:rPr>
        <w:t xml:space="preserve"> de</w:t>
      </w:r>
      <w:r w:rsidR="00797537" w:rsidRPr="00AB3595">
        <w:rPr>
          <w:rFonts w:ascii="Arial" w:eastAsia="Times New Roman" w:hAnsi="Arial" w:cs="Arial"/>
          <w:color w:val="2E74B5" w:themeColor="accent1" w:themeShade="BF"/>
          <w:lang w:eastAsia="es-MX"/>
        </w:rPr>
        <w:t xml:space="preserve"> </w:t>
      </w:r>
      <w:r w:rsidR="005C5E20" w:rsidRPr="00AB3595">
        <w:rPr>
          <w:rFonts w:ascii="Arial" w:eastAsia="Times New Roman" w:hAnsi="Arial" w:cs="Arial"/>
          <w:color w:val="2E74B5" w:themeColor="accent1" w:themeShade="BF"/>
          <w:lang w:eastAsia="es-MX"/>
        </w:rPr>
        <w:t>2019 dos mil diecinueve.</w:t>
      </w:r>
      <w:r w:rsidRPr="00AB3595">
        <w:rPr>
          <w:rFonts w:ascii="Arial" w:eastAsia="Times New Roman" w:hAnsi="Arial" w:cs="Arial"/>
          <w:color w:val="2E74B5" w:themeColor="accent1" w:themeShade="BF"/>
          <w:lang w:eastAsia="es-MX"/>
        </w:rPr>
        <w:t xml:space="preserve">  </w:t>
      </w:r>
    </w:p>
    <w:p w:rsidR="00464CFF" w:rsidRPr="007E46AF" w:rsidRDefault="00464CFF" w:rsidP="00A85499">
      <w:pPr>
        <w:numPr>
          <w:ilvl w:val="0"/>
          <w:numId w:val="3"/>
        </w:numPr>
        <w:spacing w:after="0"/>
        <w:jc w:val="both"/>
        <w:rPr>
          <w:rFonts w:ascii="Arial" w:eastAsia="Times New Roman" w:hAnsi="Arial" w:cs="Arial"/>
          <w:color w:val="2E74B5" w:themeColor="accent1" w:themeShade="BF"/>
          <w:lang w:eastAsia="es-MX"/>
        </w:rPr>
      </w:pPr>
      <w:r w:rsidRPr="00AB3595">
        <w:rPr>
          <w:rFonts w:ascii="Arial" w:eastAsia="Times New Roman" w:hAnsi="Arial" w:cs="Arial"/>
          <w:color w:val="2E74B5" w:themeColor="accent1" w:themeShade="BF"/>
          <w:lang w:eastAsia="es-MX"/>
        </w:rPr>
        <w:t xml:space="preserve">Consecuentemente si el </w:t>
      </w:r>
      <w:r w:rsidR="005005BB">
        <w:rPr>
          <w:rFonts w:ascii="Arial" w:eastAsia="Times New Roman" w:hAnsi="Arial" w:cs="Arial"/>
          <w:color w:val="2E74B5" w:themeColor="accent1" w:themeShade="BF"/>
          <w:lang w:eastAsia="es-MX"/>
        </w:rPr>
        <w:t xml:space="preserve">03 tres </w:t>
      </w:r>
      <w:r w:rsidR="00C80993">
        <w:rPr>
          <w:rFonts w:ascii="Arial" w:eastAsia="Times New Roman" w:hAnsi="Arial" w:cs="Arial"/>
          <w:color w:val="2E74B5" w:themeColor="accent1" w:themeShade="BF"/>
          <w:lang w:eastAsia="es-MX"/>
        </w:rPr>
        <w:t xml:space="preserve">de octubre </w:t>
      </w:r>
      <w:r w:rsidR="00797537" w:rsidRPr="00AB3595">
        <w:rPr>
          <w:rFonts w:ascii="Arial" w:eastAsia="Times New Roman" w:hAnsi="Arial" w:cs="Arial"/>
          <w:color w:val="2E74B5" w:themeColor="accent1" w:themeShade="BF"/>
          <w:lang w:eastAsia="es-MX"/>
        </w:rPr>
        <w:t xml:space="preserve">de 2019 dos mil diecinueve </w:t>
      </w:r>
      <w:r w:rsidRPr="00AB3595">
        <w:rPr>
          <w:rFonts w:ascii="Arial" w:eastAsia="Times New Roman" w:hAnsi="Arial" w:cs="Arial"/>
          <w:color w:val="2E74B5" w:themeColor="accent1" w:themeShade="BF"/>
          <w:lang w:eastAsia="es-MX"/>
        </w:rPr>
        <w:t>el recurrente interpuso el citado</w:t>
      </w:r>
      <w:r w:rsidRPr="007E46AF">
        <w:rPr>
          <w:rFonts w:ascii="Arial" w:eastAsia="Times New Roman" w:hAnsi="Arial" w:cs="Arial"/>
          <w:color w:val="2E74B5" w:themeColor="accent1" w:themeShade="BF"/>
          <w:lang w:eastAsia="es-MX"/>
        </w:rPr>
        <w:t xml:space="preserve"> medio de impugnación ante esta Comisión de Transparencia y ante la Oficialía de Partes</w:t>
      </w:r>
      <w:r w:rsidR="005C5E20" w:rsidRPr="007E46AF">
        <w:rPr>
          <w:rFonts w:ascii="Arial" w:eastAsia="Times New Roman" w:hAnsi="Arial" w:cs="Arial"/>
          <w:color w:val="2E74B5" w:themeColor="accent1" w:themeShade="BF"/>
          <w:lang w:eastAsia="es-MX"/>
        </w:rPr>
        <w:t xml:space="preserve"> </w:t>
      </w:r>
      <w:r w:rsidR="00987E97">
        <w:rPr>
          <w:rFonts w:ascii="Arial" w:eastAsia="Times New Roman" w:hAnsi="Arial" w:cs="Arial"/>
          <w:color w:val="2E74B5" w:themeColor="accent1" w:themeShade="BF"/>
          <w:lang w:eastAsia="es-MX"/>
        </w:rPr>
        <w:t>de esta Comisión</w:t>
      </w:r>
      <w:r w:rsidR="00C80993">
        <w:rPr>
          <w:rFonts w:ascii="Arial" w:eastAsia="Times New Roman" w:hAnsi="Arial" w:cs="Arial"/>
          <w:color w:val="2E74B5" w:themeColor="accent1" w:themeShade="BF"/>
          <w:lang w:eastAsia="es-MX"/>
        </w:rPr>
        <w:t xml:space="preserve"> el </w:t>
      </w:r>
      <w:r w:rsidR="001148D3">
        <w:rPr>
          <w:rFonts w:ascii="Arial" w:eastAsia="Times New Roman" w:hAnsi="Arial" w:cs="Arial"/>
          <w:color w:val="2E74B5" w:themeColor="accent1" w:themeShade="BF"/>
          <w:lang w:eastAsia="es-MX"/>
        </w:rPr>
        <w:t xml:space="preserve">04 cuatro </w:t>
      </w:r>
      <w:r w:rsidR="00C80993">
        <w:rPr>
          <w:rFonts w:ascii="Arial" w:eastAsia="Times New Roman" w:hAnsi="Arial" w:cs="Arial"/>
          <w:color w:val="2E74B5" w:themeColor="accent1" w:themeShade="BF"/>
          <w:lang w:eastAsia="es-MX"/>
        </w:rPr>
        <w:t>del mismo mes y año</w:t>
      </w:r>
      <w:r w:rsidRPr="007E46AF">
        <w:rPr>
          <w:rFonts w:ascii="Arial" w:eastAsia="Times New Roman" w:hAnsi="Arial" w:cs="Arial"/>
          <w:color w:val="2E74B5" w:themeColor="accent1" w:themeShade="BF"/>
          <w:lang w:eastAsia="es-MX"/>
        </w:rPr>
        <w:t xml:space="preserve">, resulta claro que es oportuna su presentación.  </w:t>
      </w:r>
    </w:p>
    <w:p w:rsidR="00464CFF" w:rsidRPr="008E0659" w:rsidRDefault="00464CFF" w:rsidP="00A85499">
      <w:pPr>
        <w:spacing w:after="0"/>
        <w:ind w:left="1429"/>
        <w:jc w:val="both"/>
        <w:rPr>
          <w:rFonts w:ascii="Arial" w:eastAsia="Times New Roman" w:hAnsi="Arial" w:cs="Arial"/>
          <w:color w:val="2E74B5" w:themeColor="accent1" w:themeShade="BF"/>
          <w:sz w:val="24"/>
          <w:szCs w:val="24"/>
          <w:lang w:eastAsia="es-MX"/>
        </w:rPr>
      </w:pPr>
    </w:p>
    <w:p w:rsidR="00857F0B" w:rsidRDefault="00464CFF" w:rsidP="00A85499">
      <w:pPr>
        <w:pStyle w:val="corte4fondo"/>
        <w:spacing w:line="276" w:lineRule="auto"/>
        <w:rPr>
          <w:rFonts w:cs="Arial"/>
          <w:color w:val="2E74B5" w:themeColor="accent1" w:themeShade="BF"/>
          <w:sz w:val="24"/>
          <w:szCs w:val="24"/>
        </w:rPr>
      </w:pPr>
      <w:r w:rsidRPr="00943F4F">
        <w:rPr>
          <w:rFonts w:cs="Arial"/>
          <w:b/>
          <w:color w:val="2E74B5" w:themeColor="accent1" w:themeShade="BF"/>
          <w:sz w:val="24"/>
          <w:szCs w:val="24"/>
        </w:rPr>
        <w:t>CUARTO. Certeza del acto reclamado</w:t>
      </w:r>
      <w:r w:rsidRPr="00943F4F">
        <w:rPr>
          <w:rFonts w:cs="Arial"/>
          <w:color w:val="2E74B5" w:themeColor="accent1" w:themeShade="BF"/>
          <w:sz w:val="24"/>
          <w:szCs w:val="24"/>
        </w:rPr>
        <w:t>.</w:t>
      </w:r>
      <w:r w:rsidRPr="008E0659">
        <w:rPr>
          <w:rFonts w:cs="Arial"/>
          <w:color w:val="2E74B5" w:themeColor="accent1" w:themeShade="BF"/>
          <w:sz w:val="24"/>
          <w:szCs w:val="24"/>
        </w:rPr>
        <w:t xml:space="preserve"> </w:t>
      </w:r>
      <w:r w:rsidR="00857F0B" w:rsidRPr="008E0659">
        <w:rPr>
          <w:rFonts w:cs="Arial"/>
          <w:color w:val="2E74B5" w:themeColor="accent1" w:themeShade="BF"/>
          <w:sz w:val="24"/>
          <w:szCs w:val="24"/>
        </w:rPr>
        <w:t xml:space="preserve">Es cierto lo que se le reclama al sujeto obligado en virtud de que la solicitud de acceso a la información pública fue dirigida al municipio de que se trata como sujeto obligado de acuerdo al registro de la Plataforma Nacional de Transparencia. </w:t>
      </w:r>
    </w:p>
    <w:p w:rsidR="00490F30" w:rsidRPr="008E0659" w:rsidRDefault="00490F30" w:rsidP="00A85499">
      <w:pPr>
        <w:pStyle w:val="corte4fondo"/>
        <w:spacing w:line="276" w:lineRule="auto"/>
        <w:rPr>
          <w:rFonts w:cs="Arial"/>
          <w:color w:val="2E74B5" w:themeColor="accent1" w:themeShade="BF"/>
          <w:sz w:val="24"/>
          <w:szCs w:val="24"/>
        </w:rPr>
      </w:pPr>
    </w:p>
    <w:p w:rsidR="00490F30" w:rsidRPr="00490F30" w:rsidRDefault="00490F30" w:rsidP="00A85499">
      <w:pPr>
        <w:spacing w:after="0"/>
        <w:ind w:firstLine="708"/>
        <w:jc w:val="both"/>
        <w:rPr>
          <w:rFonts w:ascii="Arial" w:eastAsia="Times New Roman" w:hAnsi="Arial" w:cs="Arial"/>
          <w:b/>
          <w:color w:val="2E74B5" w:themeColor="accent1" w:themeShade="BF"/>
          <w:sz w:val="24"/>
          <w:szCs w:val="24"/>
          <w:lang w:eastAsia="es-MX"/>
        </w:rPr>
      </w:pPr>
      <w:r w:rsidRPr="00490F30">
        <w:rPr>
          <w:rFonts w:ascii="Arial" w:hAnsi="Arial" w:cs="Arial"/>
          <w:b/>
          <w:color w:val="2E74B5" w:themeColor="accent1" w:themeShade="BF"/>
          <w:sz w:val="24"/>
          <w:szCs w:val="24"/>
        </w:rPr>
        <w:t>QUINTO</w:t>
      </w:r>
      <w:r w:rsidRPr="00490F30">
        <w:rPr>
          <w:rFonts w:ascii="Arial" w:hAnsi="Arial" w:cs="Arial"/>
          <w:color w:val="2E74B5" w:themeColor="accent1" w:themeShade="BF"/>
          <w:sz w:val="24"/>
          <w:szCs w:val="24"/>
        </w:rPr>
        <w:t xml:space="preserve">. </w:t>
      </w:r>
      <w:r w:rsidRPr="00490F30">
        <w:rPr>
          <w:rFonts w:ascii="Arial" w:hAnsi="Arial" w:cs="Arial"/>
          <w:b/>
          <w:color w:val="2E74B5" w:themeColor="accent1" w:themeShade="BF"/>
          <w:sz w:val="24"/>
          <w:szCs w:val="24"/>
        </w:rPr>
        <w:t xml:space="preserve">Sobreseimiento. </w:t>
      </w:r>
      <w:r w:rsidRPr="00490F30">
        <w:rPr>
          <w:rFonts w:ascii="Arial" w:hAnsi="Arial" w:cs="Arial"/>
          <w:color w:val="2E74B5" w:themeColor="accent1" w:themeShade="BF"/>
          <w:sz w:val="24"/>
          <w:szCs w:val="24"/>
        </w:rPr>
        <w:t>Dicha figura del sobreseimiento es la resolución por parte de esta Comisión Estatal de Garantía de Acceso a la Información Pública de carácter definitivo porque pone fin al procedimiento sin resolver las cuestiones de fondo, es decir, porque se haya actualizado alguno de los supuestos que establece el artículo 180 de la Ley de Transparencia y Acceso a la Información Pública del Estado.</w:t>
      </w:r>
    </w:p>
    <w:p w:rsidR="00490F30" w:rsidRPr="00490F30" w:rsidRDefault="00490F30" w:rsidP="00A85499">
      <w:pPr>
        <w:pStyle w:val="corte4fondo"/>
        <w:spacing w:line="276" w:lineRule="auto"/>
        <w:rPr>
          <w:rFonts w:cs="Arial"/>
          <w:color w:val="2E74B5" w:themeColor="accent1" w:themeShade="BF"/>
          <w:sz w:val="24"/>
          <w:szCs w:val="24"/>
        </w:rPr>
      </w:pPr>
    </w:p>
    <w:p w:rsidR="00490F30" w:rsidRPr="00490F30" w:rsidRDefault="00490F30" w:rsidP="00A85499">
      <w:pPr>
        <w:pStyle w:val="corte4fondo"/>
        <w:spacing w:line="276" w:lineRule="auto"/>
        <w:rPr>
          <w:rFonts w:cs="Arial"/>
          <w:i/>
          <w:color w:val="2E74B5" w:themeColor="accent1" w:themeShade="BF"/>
          <w:sz w:val="24"/>
          <w:szCs w:val="24"/>
        </w:rPr>
      </w:pPr>
      <w:r w:rsidRPr="00490F30">
        <w:rPr>
          <w:rFonts w:cs="Arial"/>
          <w:color w:val="2E74B5" w:themeColor="accent1" w:themeShade="BF"/>
          <w:sz w:val="24"/>
          <w:szCs w:val="24"/>
        </w:rPr>
        <w:t>Pues bien, como ha quedado plasmado en párrafos que anteceden, el sujeto obligado solicitó el sobreseimiento del presente asunto toda vez que al analizar las documentales que se acompañan a su escrito de informe se actualiza la hipótesis enmarcada en el artículo 180, fracción IV de la Ley de Transparencia y Acceso a la Información Pública del Estado.</w:t>
      </w:r>
    </w:p>
    <w:p w:rsidR="00490F30" w:rsidRPr="00490F30" w:rsidRDefault="00490F30" w:rsidP="00A85499">
      <w:pPr>
        <w:pStyle w:val="corte4fondo"/>
        <w:spacing w:line="276" w:lineRule="auto"/>
        <w:rPr>
          <w:rFonts w:cs="Arial"/>
          <w:color w:val="2E74B5" w:themeColor="accent1" w:themeShade="BF"/>
          <w:sz w:val="24"/>
          <w:szCs w:val="24"/>
        </w:rPr>
      </w:pPr>
    </w:p>
    <w:p w:rsidR="00490F30" w:rsidRPr="00490F30" w:rsidRDefault="00490F30" w:rsidP="00A85499">
      <w:pPr>
        <w:pStyle w:val="corte4fondo"/>
        <w:spacing w:line="276" w:lineRule="auto"/>
        <w:rPr>
          <w:rFonts w:cs="Arial"/>
          <w:color w:val="2E74B5" w:themeColor="accent1" w:themeShade="BF"/>
          <w:sz w:val="24"/>
          <w:szCs w:val="24"/>
        </w:rPr>
      </w:pPr>
      <w:r w:rsidRPr="00490F30">
        <w:rPr>
          <w:rFonts w:cs="Arial"/>
          <w:color w:val="2E74B5" w:themeColor="accent1" w:themeShade="BF"/>
          <w:sz w:val="24"/>
          <w:szCs w:val="24"/>
        </w:rPr>
        <w:t>Previo al análisis del presente asunto, en el presente considerando se hará un pronunciamiento respecto de lo solicitado por el Sujeto obligado en el cuerpo de su escrito de informe, en el sentido de sobreseer el presente recurso de revisión.</w:t>
      </w:r>
    </w:p>
    <w:p w:rsidR="00490F30" w:rsidRPr="00490F30" w:rsidRDefault="00490F30" w:rsidP="00A85499">
      <w:pPr>
        <w:pStyle w:val="corte4fondo"/>
        <w:spacing w:line="276" w:lineRule="auto"/>
        <w:rPr>
          <w:rFonts w:cs="Arial"/>
          <w:color w:val="2E74B5" w:themeColor="accent1" w:themeShade="BF"/>
          <w:sz w:val="24"/>
          <w:szCs w:val="24"/>
        </w:rPr>
      </w:pPr>
    </w:p>
    <w:p w:rsidR="00490F30" w:rsidRPr="00490F30" w:rsidRDefault="00490F30" w:rsidP="00A85499">
      <w:pPr>
        <w:pStyle w:val="corte4fondo"/>
        <w:spacing w:line="276" w:lineRule="auto"/>
        <w:rPr>
          <w:rFonts w:cs="Arial"/>
          <w:color w:val="2E74B5" w:themeColor="accent1" w:themeShade="BF"/>
          <w:sz w:val="24"/>
          <w:szCs w:val="24"/>
        </w:rPr>
      </w:pPr>
      <w:r w:rsidRPr="00490F30">
        <w:rPr>
          <w:rFonts w:cs="Arial"/>
          <w:color w:val="2E74B5" w:themeColor="accent1" w:themeShade="BF"/>
          <w:sz w:val="24"/>
          <w:szCs w:val="24"/>
        </w:rPr>
        <w:t>Al respecto, es de señalarse que las causales de sobreseimiento previstas en la Ley de Transparencia y Acceso a la Información Pública del Estado, se encuentran establecidas en el artículo 180, el cual establece, a la letra, lo siguiente:</w:t>
      </w:r>
    </w:p>
    <w:p w:rsidR="00490F30" w:rsidRPr="00490F30" w:rsidRDefault="00490F30" w:rsidP="00A85499">
      <w:pPr>
        <w:pStyle w:val="corte4fondo"/>
        <w:spacing w:line="276" w:lineRule="auto"/>
        <w:rPr>
          <w:rFonts w:cs="Arial"/>
          <w:i/>
          <w:color w:val="2E74B5" w:themeColor="accent1" w:themeShade="BF"/>
          <w:sz w:val="24"/>
          <w:szCs w:val="24"/>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 xml:space="preserve">“ARTÍCULO 180. El recurso será sobreseído, en todo o en parte, cuando, una vez admitido, se actualicen alguno de los siguientes supuestos: </w:t>
      </w:r>
    </w:p>
    <w:p w:rsidR="00490F30" w:rsidRPr="00490F30" w:rsidRDefault="00490F30" w:rsidP="00A85499">
      <w:pPr>
        <w:pStyle w:val="corte4fondo"/>
        <w:spacing w:line="276" w:lineRule="auto"/>
        <w:ind w:left="709" w:right="334" w:firstLine="0"/>
        <w:rPr>
          <w:rFonts w:cs="Arial"/>
          <w:i/>
          <w:color w:val="2E74B5" w:themeColor="accent1" w:themeShade="BF"/>
          <w:sz w:val="20"/>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 xml:space="preserve">I. El recurrente se desista; </w:t>
      </w:r>
    </w:p>
    <w:p w:rsidR="00490F30" w:rsidRPr="00490F30" w:rsidRDefault="00490F30" w:rsidP="00A85499">
      <w:pPr>
        <w:pStyle w:val="corte4fondo"/>
        <w:spacing w:line="276" w:lineRule="auto"/>
        <w:ind w:left="709" w:right="334" w:firstLine="0"/>
        <w:rPr>
          <w:rFonts w:cs="Arial"/>
          <w:i/>
          <w:color w:val="2E74B5" w:themeColor="accent1" w:themeShade="BF"/>
          <w:sz w:val="20"/>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 xml:space="preserve">II. El recurrente fallezca; </w:t>
      </w:r>
    </w:p>
    <w:p w:rsidR="00490F30" w:rsidRPr="00490F30" w:rsidRDefault="00490F30" w:rsidP="00A85499">
      <w:pPr>
        <w:pStyle w:val="corte4fondo"/>
        <w:spacing w:line="276" w:lineRule="auto"/>
        <w:ind w:left="709" w:right="334" w:firstLine="0"/>
        <w:rPr>
          <w:rFonts w:cs="Arial"/>
          <w:i/>
          <w:color w:val="2E74B5" w:themeColor="accent1" w:themeShade="BF"/>
          <w:sz w:val="20"/>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III. El sujeto obligado responsable del acto lo modifique o revoque de tal manera que el recurso de revisión quede sin materia, o</w:t>
      </w:r>
    </w:p>
    <w:p w:rsidR="00490F30" w:rsidRPr="00490F30" w:rsidRDefault="00490F30" w:rsidP="00A85499">
      <w:pPr>
        <w:pStyle w:val="corte4fondo"/>
        <w:spacing w:line="276" w:lineRule="auto"/>
        <w:ind w:left="709" w:right="334" w:firstLine="0"/>
        <w:rPr>
          <w:rFonts w:cs="Arial"/>
          <w:i/>
          <w:color w:val="2E74B5" w:themeColor="accent1" w:themeShade="BF"/>
          <w:sz w:val="20"/>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IV Admitido el recurso de revisión, aparezca alguna causal de improcedencia en los términos del presente Capítulo.</w:t>
      </w:r>
      <w:r>
        <w:rPr>
          <w:rFonts w:cs="Arial"/>
          <w:i/>
          <w:color w:val="2E74B5" w:themeColor="accent1" w:themeShade="BF"/>
          <w:sz w:val="20"/>
        </w:rPr>
        <w:t>”</w:t>
      </w:r>
    </w:p>
    <w:p w:rsidR="00490F30" w:rsidRPr="00490F30" w:rsidRDefault="00490F30" w:rsidP="00A85499">
      <w:pPr>
        <w:pStyle w:val="corte4fondo"/>
        <w:spacing w:line="276" w:lineRule="auto"/>
        <w:ind w:firstLine="0"/>
        <w:rPr>
          <w:rFonts w:cs="Arial"/>
          <w:color w:val="2E74B5" w:themeColor="accent1" w:themeShade="BF"/>
          <w:sz w:val="24"/>
          <w:szCs w:val="24"/>
        </w:rPr>
      </w:pPr>
    </w:p>
    <w:p w:rsidR="00490F30" w:rsidRPr="00490F30" w:rsidRDefault="00490F30" w:rsidP="00A85499">
      <w:pPr>
        <w:pStyle w:val="corte4fondo"/>
        <w:spacing w:line="276" w:lineRule="auto"/>
        <w:rPr>
          <w:rFonts w:cs="Arial"/>
          <w:color w:val="2E74B5" w:themeColor="accent1" w:themeShade="BF"/>
          <w:sz w:val="24"/>
          <w:szCs w:val="24"/>
        </w:rPr>
      </w:pPr>
      <w:r w:rsidRPr="00490F30">
        <w:rPr>
          <w:rFonts w:cs="Arial"/>
          <w:color w:val="2E74B5" w:themeColor="accent1" w:themeShade="BF"/>
          <w:sz w:val="24"/>
          <w:szCs w:val="24"/>
        </w:rPr>
        <w:t xml:space="preserve">En el presente caso, no se actualiza alguna de las causales anteriormente citadas, </w:t>
      </w:r>
      <w:proofErr w:type="gramStart"/>
      <w:r w:rsidRPr="00490F30">
        <w:rPr>
          <w:rFonts w:cs="Arial"/>
          <w:color w:val="2E74B5" w:themeColor="accent1" w:themeShade="BF"/>
          <w:sz w:val="24"/>
          <w:szCs w:val="24"/>
        </w:rPr>
        <w:t>y</w:t>
      </w:r>
      <w:proofErr w:type="gramEnd"/>
      <w:r w:rsidRPr="00490F30">
        <w:rPr>
          <w:rFonts w:cs="Arial"/>
          <w:color w:val="2E74B5" w:themeColor="accent1" w:themeShade="BF"/>
          <w:sz w:val="24"/>
          <w:szCs w:val="24"/>
        </w:rPr>
        <w:t xml:space="preserve"> por el contrario, según se analizará en la presente resolución, la </w:t>
      </w:r>
      <w:proofErr w:type="spellStart"/>
      <w:r w:rsidRPr="00490F30">
        <w:rPr>
          <w:rFonts w:cs="Arial"/>
          <w:color w:val="2E74B5" w:themeColor="accent1" w:themeShade="BF"/>
          <w:sz w:val="24"/>
          <w:szCs w:val="24"/>
        </w:rPr>
        <w:t>litis</w:t>
      </w:r>
      <w:proofErr w:type="spellEnd"/>
      <w:r w:rsidRPr="00490F30">
        <w:rPr>
          <w:rFonts w:cs="Arial"/>
          <w:color w:val="2E74B5" w:themeColor="accent1" w:themeShade="BF"/>
          <w:sz w:val="24"/>
          <w:szCs w:val="24"/>
        </w:rPr>
        <w:t xml:space="preserve"> en este asunto es determinar si la información entregada al particular por el sujeto obligado, hasta interpuesto el recurso de revisión que hoy nos ocupa, satisface a cabalidad su solicitud, razón por la cual existe materia de análisis y no resulta procedente sobreseer el presente recurso de revisión</w:t>
      </w:r>
      <w:r w:rsidRPr="00490F30">
        <w:rPr>
          <w:rFonts w:eastAsia="Arial Unicode MS" w:cs="Arial"/>
          <w:color w:val="2E74B5" w:themeColor="accent1" w:themeShade="BF"/>
          <w:sz w:val="24"/>
          <w:szCs w:val="24"/>
        </w:rPr>
        <w:t>.</w:t>
      </w:r>
    </w:p>
    <w:p w:rsidR="00490F30" w:rsidRPr="002E36F1" w:rsidRDefault="00490F30" w:rsidP="00A85499">
      <w:pPr>
        <w:pStyle w:val="corte4fondo"/>
        <w:spacing w:line="276" w:lineRule="auto"/>
        <w:rPr>
          <w:rFonts w:ascii="AvantGarde Bk BT" w:eastAsia="Arial Unicode MS" w:hAnsi="AvantGarde Bk BT" w:cs="Arial"/>
          <w:color w:val="000000"/>
          <w:sz w:val="24"/>
        </w:rPr>
      </w:pPr>
    </w:p>
    <w:p w:rsidR="00464CFF" w:rsidRPr="008E0659" w:rsidRDefault="00464CFF" w:rsidP="00A85499">
      <w:pPr>
        <w:pStyle w:val="corte4fondo"/>
        <w:spacing w:line="276" w:lineRule="auto"/>
        <w:ind w:firstLine="708"/>
        <w:rPr>
          <w:rFonts w:cs="Arial"/>
          <w:color w:val="2E74B5" w:themeColor="accent1" w:themeShade="BF"/>
          <w:sz w:val="24"/>
          <w:szCs w:val="24"/>
        </w:rPr>
      </w:pPr>
      <w:r w:rsidRPr="008E0659">
        <w:rPr>
          <w:rFonts w:cs="Arial"/>
          <w:b/>
          <w:color w:val="2E74B5" w:themeColor="accent1" w:themeShade="BF"/>
          <w:sz w:val="24"/>
          <w:szCs w:val="24"/>
        </w:rPr>
        <w:t>SEXTO. Estudio de los agravios</w:t>
      </w:r>
      <w:r w:rsidRPr="008E0659">
        <w:rPr>
          <w:rFonts w:cs="Arial"/>
          <w:color w:val="2E74B5" w:themeColor="accent1" w:themeShade="BF"/>
          <w:sz w:val="24"/>
          <w:szCs w:val="24"/>
        </w:rPr>
        <w:t xml:space="preserve">.  </w:t>
      </w:r>
    </w:p>
    <w:p w:rsidR="00464CFF" w:rsidRPr="008E0659" w:rsidRDefault="00464CFF" w:rsidP="00A85499">
      <w:pPr>
        <w:pStyle w:val="corte4fondo"/>
        <w:spacing w:line="276" w:lineRule="auto"/>
        <w:ind w:firstLine="0"/>
        <w:rPr>
          <w:rFonts w:cs="Arial"/>
          <w:color w:val="2E74B5" w:themeColor="accent1" w:themeShade="BF"/>
          <w:sz w:val="24"/>
          <w:szCs w:val="24"/>
        </w:rPr>
      </w:pPr>
    </w:p>
    <w:p w:rsidR="00464CFF" w:rsidRPr="008E0659" w:rsidRDefault="00464CFF" w:rsidP="00A85499">
      <w:pPr>
        <w:pStyle w:val="corte4fondo"/>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r>
      <w:r w:rsidRPr="008E0659">
        <w:rPr>
          <w:rFonts w:cs="Arial"/>
          <w:b/>
          <w:color w:val="2E74B5" w:themeColor="accent1" w:themeShade="BF"/>
          <w:sz w:val="24"/>
          <w:szCs w:val="24"/>
        </w:rPr>
        <w:t>6.1. Agravios</w:t>
      </w:r>
      <w:r w:rsidRPr="008E0659">
        <w:rPr>
          <w:rFonts w:cs="Arial"/>
          <w:color w:val="2E74B5" w:themeColor="accent1" w:themeShade="BF"/>
          <w:sz w:val="24"/>
          <w:szCs w:val="24"/>
        </w:rPr>
        <w:t>.</w:t>
      </w:r>
    </w:p>
    <w:p w:rsidR="00464CFF" w:rsidRPr="008E0659" w:rsidRDefault="00464CFF" w:rsidP="00A85499">
      <w:pPr>
        <w:pStyle w:val="corte4fondo"/>
        <w:spacing w:line="276" w:lineRule="auto"/>
        <w:ind w:firstLine="0"/>
        <w:rPr>
          <w:rFonts w:cs="Arial"/>
          <w:color w:val="2E74B5" w:themeColor="accent1" w:themeShade="BF"/>
          <w:sz w:val="24"/>
          <w:szCs w:val="24"/>
        </w:rPr>
      </w:pPr>
    </w:p>
    <w:p w:rsidR="00464CFF" w:rsidRPr="008E0659" w:rsidRDefault="00464CFF" w:rsidP="00A85499">
      <w:pPr>
        <w:pStyle w:val="corte4fondo"/>
        <w:spacing w:line="276" w:lineRule="auto"/>
        <w:ind w:firstLine="0"/>
        <w:rPr>
          <w:rFonts w:cs="Arial"/>
          <w:i/>
          <w:color w:val="2E74B5" w:themeColor="accent1" w:themeShade="BF"/>
          <w:sz w:val="24"/>
          <w:szCs w:val="24"/>
        </w:rPr>
      </w:pPr>
      <w:r w:rsidRPr="008E0659">
        <w:rPr>
          <w:rFonts w:cs="Arial"/>
          <w:color w:val="2E74B5" w:themeColor="accent1" w:themeShade="BF"/>
          <w:sz w:val="24"/>
          <w:szCs w:val="24"/>
        </w:rPr>
        <w:tab/>
        <w:t xml:space="preserve">El recurrente expresó como agravios que: </w:t>
      </w:r>
      <w:r w:rsidRPr="008E0659">
        <w:rPr>
          <w:rFonts w:cs="Arial"/>
          <w:i/>
          <w:color w:val="2E74B5" w:themeColor="accent1" w:themeShade="BF"/>
          <w:sz w:val="24"/>
          <w:szCs w:val="24"/>
        </w:rPr>
        <w:t>“…</w:t>
      </w:r>
      <w:r w:rsidR="00492664" w:rsidRPr="008E0659">
        <w:rPr>
          <w:rFonts w:cs="Arial"/>
          <w:i/>
          <w:color w:val="2E74B5" w:themeColor="accent1" w:themeShade="BF"/>
          <w:sz w:val="24"/>
          <w:szCs w:val="24"/>
        </w:rPr>
        <w:t>El sujeto obligado no contestó la información requerida</w:t>
      </w:r>
      <w:r w:rsidRPr="008E0659">
        <w:rPr>
          <w:rFonts w:cs="Arial"/>
          <w:i/>
          <w:color w:val="2E74B5" w:themeColor="accent1" w:themeShade="BF"/>
          <w:sz w:val="24"/>
          <w:szCs w:val="24"/>
        </w:rPr>
        <w:t>…” (Sic).</w:t>
      </w:r>
    </w:p>
    <w:p w:rsidR="00464CFF" w:rsidRPr="008E0659" w:rsidRDefault="00464CFF" w:rsidP="00A85499">
      <w:pPr>
        <w:pStyle w:val="corte4fondo"/>
        <w:spacing w:line="276" w:lineRule="auto"/>
        <w:ind w:firstLine="0"/>
        <w:rPr>
          <w:rFonts w:cs="Arial"/>
          <w:b/>
          <w:i/>
          <w:color w:val="2E74B5" w:themeColor="accent1" w:themeShade="BF"/>
          <w:sz w:val="24"/>
          <w:szCs w:val="24"/>
          <w:highlight w:val="yellow"/>
        </w:rPr>
      </w:pPr>
    </w:p>
    <w:p w:rsidR="00943F4F" w:rsidRDefault="00464CFF" w:rsidP="00A85499">
      <w:pPr>
        <w:pStyle w:val="corte4fondo"/>
        <w:tabs>
          <w:tab w:val="left" w:pos="708"/>
          <w:tab w:val="left" w:pos="1416"/>
          <w:tab w:val="left" w:pos="2124"/>
          <w:tab w:val="left" w:pos="2832"/>
          <w:tab w:val="left" w:pos="3540"/>
          <w:tab w:val="center" w:pos="4278"/>
        </w:tabs>
        <w:spacing w:line="276" w:lineRule="auto"/>
        <w:ind w:firstLine="0"/>
        <w:rPr>
          <w:rFonts w:cs="Arial"/>
          <w:b/>
          <w:color w:val="2E74B5" w:themeColor="accent1" w:themeShade="BF"/>
          <w:sz w:val="24"/>
          <w:szCs w:val="24"/>
        </w:rPr>
      </w:pPr>
      <w:r w:rsidRPr="008E0659">
        <w:rPr>
          <w:rFonts w:cs="Arial"/>
          <w:b/>
          <w:color w:val="2E74B5" w:themeColor="accent1" w:themeShade="BF"/>
          <w:sz w:val="24"/>
          <w:szCs w:val="24"/>
        </w:rPr>
        <w:lastRenderedPageBreak/>
        <w:tab/>
      </w:r>
      <w:r w:rsidRPr="007E46AF">
        <w:rPr>
          <w:rFonts w:cs="Arial"/>
          <w:b/>
          <w:color w:val="2E74B5" w:themeColor="accent1" w:themeShade="BF"/>
          <w:sz w:val="24"/>
          <w:szCs w:val="24"/>
        </w:rPr>
        <w:t xml:space="preserve">6.1.1 Agravio </w:t>
      </w:r>
      <w:r w:rsidR="00C80993">
        <w:rPr>
          <w:rFonts w:cs="Arial"/>
          <w:b/>
          <w:color w:val="2E74B5" w:themeColor="accent1" w:themeShade="BF"/>
          <w:sz w:val="24"/>
          <w:szCs w:val="24"/>
        </w:rPr>
        <w:t>f</w:t>
      </w:r>
      <w:r w:rsidRPr="007E46AF">
        <w:rPr>
          <w:rFonts w:cs="Arial"/>
          <w:b/>
          <w:color w:val="2E74B5" w:themeColor="accent1" w:themeShade="BF"/>
          <w:sz w:val="24"/>
          <w:szCs w:val="24"/>
        </w:rPr>
        <w:t>undado</w:t>
      </w:r>
      <w:r w:rsidRPr="008E0659">
        <w:rPr>
          <w:rFonts w:cs="Arial"/>
          <w:b/>
          <w:color w:val="2E74B5" w:themeColor="accent1" w:themeShade="BF"/>
          <w:sz w:val="24"/>
          <w:szCs w:val="24"/>
        </w:rPr>
        <w:t>.</w:t>
      </w:r>
    </w:p>
    <w:p w:rsidR="00464CFF" w:rsidRPr="008E0659" w:rsidRDefault="00464CFF" w:rsidP="00A85499">
      <w:pPr>
        <w:pStyle w:val="corte4fondo"/>
        <w:tabs>
          <w:tab w:val="left" w:pos="708"/>
          <w:tab w:val="left" w:pos="1416"/>
          <w:tab w:val="left" w:pos="2124"/>
          <w:tab w:val="left" w:pos="2832"/>
          <w:tab w:val="left" w:pos="3540"/>
          <w:tab w:val="center" w:pos="4278"/>
        </w:tabs>
        <w:spacing w:line="276" w:lineRule="auto"/>
        <w:ind w:firstLine="0"/>
        <w:rPr>
          <w:rFonts w:cs="Arial"/>
          <w:b/>
          <w:color w:val="2E74B5" w:themeColor="accent1" w:themeShade="BF"/>
          <w:sz w:val="24"/>
          <w:szCs w:val="24"/>
        </w:rPr>
      </w:pPr>
      <w:r w:rsidRPr="008E0659">
        <w:rPr>
          <w:rFonts w:cs="Arial"/>
          <w:b/>
          <w:color w:val="2E74B5" w:themeColor="accent1" w:themeShade="BF"/>
          <w:sz w:val="24"/>
          <w:szCs w:val="24"/>
        </w:rPr>
        <w:tab/>
      </w:r>
    </w:p>
    <w:p w:rsidR="00943F4F" w:rsidRPr="000B6AA3" w:rsidRDefault="00943F4F" w:rsidP="00943F4F">
      <w:pPr>
        <w:pStyle w:val="corte4fondo"/>
        <w:spacing w:line="276" w:lineRule="auto"/>
        <w:rPr>
          <w:rFonts w:cs="Arial"/>
          <w:color w:val="2E74B5" w:themeColor="accent1" w:themeShade="BF"/>
          <w:sz w:val="24"/>
          <w:szCs w:val="24"/>
        </w:rPr>
      </w:pPr>
      <w:r w:rsidRPr="000B6AA3">
        <w:rPr>
          <w:rFonts w:cs="Arial"/>
          <w:color w:val="2E74B5" w:themeColor="accent1" w:themeShade="BF"/>
          <w:sz w:val="24"/>
          <w:szCs w:val="24"/>
        </w:rPr>
        <w:t xml:space="preserve">En la especie la inconformidad planteada por la parte recurrente resulta fundada en virtud de que el sujeto obligado en su respuesta primigenia se limitó a señalar lo siguiente: </w:t>
      </w:r>
    </w:p>
    <w:p w:rsidR="00943F4F" w:rsidRPr="000B6AA3" w:rsidRDefault="00943F4F" w:rsidP="00943F4F">
      <w:pPr>
        <w:pStyle w:val="corte4fondo"/>
        <w:spacing w:line="276" w:lineRule="auto"/>
        <w:rPr>
          <w:rFonts w:cs="Arial"/>
          <w:color w:val="2E74B5" w:themeColor="accent1" w:themeShade="BF"/>
          <w:sz w:val="24"/>
          <w:szCs w:val="24"/>
        </w:rPr>
      </w:pPr>
    </w:p>
    <w:p w:rsidR="00943F4F" w:rsidRPr="000D3167" w:rsidRDefault="00943F4F" w:rsidP="00943F4F">
      <w:pPr>
        <w:pStyle w:val="corte4fondo"/>
        <w:rPr>
          <w:rFonts w:cs="Arial"/>
          <w:i/>
          <w:color w:val="2E74B5" w:themeColor="accent1" w:themeShade="BF"/>
          <w:sz w:val="20"/>
        </w:rPr>
      </w:pPr>
      <w:r w:rsidRPr="000B6AA3">
        <w:rPr>
          <w:rFonts w:cs="Arial"/>
          <w:i/>
          <w:color w:val="2E74B5" w:themeColor="accent1" w:themeShade="BF"/>
          <w:sz w:val="20"/>
        </w:rPr>
        <w:t>“…</w:t>
      </w:r>
      <w:r w:rsidRPr="000D3167">
        <w:rPr>
          <w:rFonts w:cs="Arial"/>
          <w:i/>
          <w:color w:val="2E74B5" w:themeColor="accent1" w:themeShade="BF"/>
          <w:sz w:val="20"/>
        </w:rPr>
        <w:t>En respuesta hágasele saber que el Ayuntamiento no realiza las adquisiciones de papelería por área o por departamento, por lo que no es posible otorgarle la información en la forma que lo solicita.</w:t>
      </w:r>
    </w:p>
    <w:p w:rsidR="00943F4F" w:rsidRPr="000D3167" w:rsidRDefault="00943F4F" w:rsidP="00943F4F">
      <w:pPr>
        <w:pStyle w:val="corte4fondo"/>
        <w:rPr>
          <w:rFonts w:cs="Arial"/>
          <w:i/>
          <w:color w:val="2E74B5" w:themeColor="accent1" w:themeShade="BF"/>
          <w:sz w:val="20"/>
        </w:rPr>
      </w:pPr>
    </w:p>
    <w:p w:rsidR="00943F4F" w:rsidRPr="000D3167" w:rsidRDefault="00943F4F" w:rsidP="00943F4F">
      <w:pPr>
        <w:pStyle w:val="corte4fondo"/>
        <w:rPr>
          <w:rFonts w:cs="Arial"/>
          <w:i/>
          <w:color w:val="2E74B5" w:themeColor="accent1" w:themeShade="BF"/>
          <w:sz w:val="20"/>
        </w:rPr>
      </w:pPr>
      <w:r w:rsidRPr="000D3167">
        <w:rPr>
          <w:rFonts w:cs="Arial"/>
          <w:i/>
          <w:color w:val="2E74B5" w:themeColor="accent1" w:themeShade="BF"/>
          <w:sz w:val="20"/>
        </w:rPr>
        <w:t>Razón la anterior, por la que le solicito a esta Unidad de Transparencia, haga saber al solicitante que, la Cuenta Pública del primer y segundo trimestre, puede consultarlo en las siguientes ligas: http://www.municipiosoledad.gob.mx/transparencia/49 y http://www.municipiosoledad.gob.mx/transparencia/71</w:t>
      </w:r>
    </w:p>
    <w:p w:rsidR="00943F4F" w:rsidRPr="000D3167" w:rsidRDefault="00943F4F" w:rsidP="00943F4F">
      <w:pPr>
        <w:pStyle w:val="corte4fondo"/>
        <w:rPr>
          <w:rFonts w:cs="Arial"/>
          <w:i/>
          <w:color w:val="2E74B5" w:themeColor="accent1" w:themeShade="BF"/>
          <w:sz w:val="20"/>
        </w:rPr>
      </w:pPr>
    </w:p>
    <w:p w:rsidR="00943F4F" w:rsidRPr="000B6AA3" w:rsidRDefault="00943F4F" w:rsidP="00943F4F">
      <w:pPr>
        <w:pStyle w:val="corte4fondo"/>
        <w:rPr>
          <w:rFonts w:cs="Arial"/>
          <w:i/>
          <w:color w:val="2E74B5" w:themeColor="accent1" w:themeShade="BF"/>
          <w:sz w:val="20"/>
        </w:rPr>
      </w:pPr>
      <w:r w:rsidRPr="000D3167">
        <w:rPr>
          <w:rFonts w:cs="Arial"/>
          <w:i/>
          <w:color w:val="2E74B5" w:themeColor="accent1" w:themeShade="BF"/>
          <w:sz w:val="20"/>
        </w:rPr>
        <w:t>En el Reporte Estado Analítico del Ejercicio Presupuesto de Egresos, en la sección séptima de la Cuenta Pública; Nombrado con el concepto: “Materiales de administración, emisión de documentos, artículos de oficina “.</w:t>
      </w:r>
      <w:r>
        <w:rPr>
          <w:rFonts w:cs="Arial"/>
          <w:i/>
          <w:color w:val="2E74B5" w:themeColor="accent1" w:themeShade="BF"/>
          <w:sz w:val="20"/>
        </w:rPr>
        <w:t xml:space="preserve"> </w:t>
      </w:r>
      <w:r w:rsidRPr="000B6AA3">
        <w:rPr>
          <w:rFonts w:cs="Arial"/>
          <w:i/>
          <w:color w:val="2E74B5" w:themeColor="accent1" w:themeShade="BF"/>
          <w:sz w:val="20"/>
        </w:rPr>
        <w:t>…”</w:t>
      </w:r>
    </w:p>
    <w:p w:rsidR="00943F4F" w:rsidRPr="000B6AA3" w:rsidRDefault="00943F4F" w:rsidP="00943F4F">
      <w:pPr>
        <w:pStyle w:val="corte4fondo"/>
        <w:spacing w:line="276" w:lineRule="auto"/>
        <w:rPr>
          <w:rFonts w:cs="Arial"/>
          <w:i/>
          <w:color w:val="2E74B5" w:themeColor="accent1" w:themeShade="BF"/>
          <w:sz w:val="20"/>
        </w:rPr>
      </w:pPr>
    </w:p>
    <w:p w:rsidR="00943F4F" w:rsidRPr="000B6AA3" w:rsidRDefault="00943F4F" w:rsidP="00943F4F">
      <w:pPr>
        <w:pStyle w:val="corte4fondo"/>
        <w:spacing w:line="276" w:lineRule="auto"/>
        <w:ind w:firstLine="708"/>
        <w:rPr>
          <w:rFonts w:cs="Arial"/>
          <w:color w:val="2E74B5" w:themeColor="accent1" w:themeShade="BF"/>
          <w:sz w:val="24"/>
          <w:szCs w:val="24"/>
        </w:rPr>
      </w:pPr>
      <w:r w:rsidRPr="000B6AA3">
        <w:rPr>
          <w:rFonts w:cs="Arial"/>
          <w:color w:val="2E74B5" w:themeColor="accent1" w:themeShade="BF"/>
          <w:sz w:val="24"/>
          <w:szCs w:val="24"/>
        </w:rPr>
        <w:t>Ahora</w:t>
      </w:r>
      <w:r w:rsidRPr="000B6AA3">
        <w:rPr>
          <w:rFonts w:cs="Arial"/>
          <w:bCs/>
          <w:color w:val="2E74B5" w:themeColor="accent1" w:themeShade="BF"/>
          <w:sz w:val="24"/>
          <w:szCs w:val="24"/>
        </w:rPr>
        <w:t xml:space="preserve">, </w:t>
      </w:r>
      <w:r w:rsidRPr="000B6AA3">
        <w:rPr>
          <w:rFonts w:cs="Arial"/>
          <w:color w:val="2E74B5" w:themeColor="accent1" w:themeShade="BF"/>
          <w:sz w:val="24"/>
          <w:szCs w:val="24"/>
        </w:rPr>
        <w:t>la respuesta que el sujeto obligado dio a la solicitud de acceso a la información pública es incompleta y, por ende, el agravio es fundado como se demuestra enseguida.</w:t>
      </w:r>
    </w:p>
    <w:p w:rsidR="00943F4F" w:rsidRPr="000B6AA3" w:rsidRDefault="00943F4F" w:rsidP="00943F4F">
      <w:pPr>
        <w:pStyle w:val="corte4fondo"/>
        <w:spacing w:line="276" w:lineRule="auto"/>
        <w:ind w:firstLine="0"/>
        <w:rPr>
          <w:rFonts w:cs="Arial"/>
          <w:color w:val="2E74B5" w:themeColor="accent1" w:themeShade="BF"/>
          <w:sz w:val="24"/>
          <w:szCs w:val="24"/>
        </w:rPr>
      </w:pPr>
    </w:p>
    <w:p w:rsidR="00943F4F" w:rsidRPr="000B6AA3" w:rsidRDefault="00943F4F" w:rsidP="00943F4F">
      <w:pPr>
        <w:pStyle w:val="corte4fondo"/>
        <w:spacing w:line="276" w:lineRule="auto"/>
        <w:ind w:firstLine="0"/>
        <w:rPr>
          <w:rFonts w:cs="Arial"/>
          <w:color w:val="2E74B5" w:themeColor="accent1" w:themeShade="BF"/>
          <w:sz w:val="24"/>
          <w:szCs w:val="24"/>
        </w:rPr>
      </w:pPr>
      <w:r w:rsidRPr="000B6AA3">
        <w:rPr>
          <w:rFonts w:cs="Arial"/>
          <w:color w:val="2E74B5" w:themeColor="accent1" w:themeShade="BF"/>
          <w:sz w:val="24"/>
          <w:szCs w:val="24"/>
        </w:rPr>
        <w:tab/>
        <w:t>El artículo 11, de la Ley de Transparencia refiere que:</w:t>
      </w:r>
    </w:p>
    <w:p w:rsidR="00943F4F" w:rsidRPr="000B6AA3" w:rsidRDefault="00943F4F" w:rsidP="00943F4F">
      <w:pPr>
        <w:pStyle w:val="corte4fondo"/>
        <w:spacing w:line="276" w:lineRule="auto"/>
        <w:ind w:firstLine="0"/>
        <w:rPr>
          <w:rFonts w:cs="Arial"/>
          <w:color w:val="2E74B5" w:themeColor="accent1" w:themeShade="BF"/>
          <w:sz w:val="24"/>
          <w:szCs w:val="24"/>
        </w:rPr>
      </w:pPr>
    </w:p>
    <w:p w:rsidR="00943F4F" w:rsidRPr="000B6AA3" w:rsidRDefault="00943F4F" w:rsidP="00943F4F">
      <w:pPr>
        <w:pStyle w:val="corte4fondo"/>
        <w:spacing w:line="276" w:lineRule="auto"/>
        <w:ind w:left="708" w:firstLine="0"/>
        <w:rPr>
          <w:rFonts w:cs="Arial"/>
          <w:color w:val="2E74B5" w:themeColor="accent1" w:themeShade="BF"/>
          <w:sz w:val="20"/>
        </w:rPr>
      </w:pPr>
      <w:r w:rsidRPr="000B6AA3">
        <w:rPr>
          <w:rFonts w:cs="Arial"/>
          <w:b/>
          <w:color w:val="2E74B5" w:themeColor="accent1" w:themeShade="BF"/>
          <w:sz w:val="20"/>
        </w:rPr>
        <w:t>ARTÍCULO 11</w:t>
      </w:r>
      <w:r w:rsidRPr="000B6AA3">
        <w:rPr>
          <w:rFonts w:cs="Arial"/>
          <w:color w:val="2E74B5" w:themeColor="accent1" w:themeShade="BF"/>
          <w:sz w:val="20"/>
        </w:rPr>
        <w:t>. Toda la información en posesión de los sujetos obligados será pública, completa, oportuna y accesible, sujeta a un claro régimen de excepciones que deberán estar definidas y ser además legítimas y estrictamente necesarias en una sociedad democrática.</w:t>
      </w:r>
    </w:p>
    <w:p w:rsidR="00943F4F" w:rsidRPr="000B6AA3" w:rsidRDefault="00943F4F" w:rsidP="00943F4F">
      <w:pPr>
        <w:pStyle w:val="corte4fondo"/>
        <w:spacing w:line="276" w:lineRule="auto"/>
        <w:ind w:firstLine="0"/>
        <w:rPr>
          <w:rFonts w:cs="Arial"/>
          <w:color w:val="2E74B5" w:themeColor="accent1" w:themeShade="BF"/>
          <w:sz w:val="24"/>
          <w:szCs w:val="24"/>
        </w:rPr>
      </w:pPr>
    </w:p>
    <w:p w:rsidR="00943F4F" w:rsidRDefault="00943F4F" w:rsidP="00943F4F">
      <w:pPr>
        <w:pStyle w:val="corte4fondo"/>
        <w:spacing w:line="276" w:lineRule="auto"/>
        <w:ind w:firstLine="0"/>
        <w:rPr>
          <w:rFonts w:cs="Arial"/>
          <w:color w:val="2E74B5" w:themeColor="accent1" w:themeShade="BF"/>
          <w:sz w:val="24"/>
          <w:szCs w:val="24"/>
        </w:rPr>
      </w:pPr>
      <w:r w:rsidRPr="000B6AA3">
        <w:rPr>
          <w:rFonts w:cs="Arial"/>
          <w:color w:val="2E74B5" w:themeColor="accent1" w:themeShade="BF"/>
          <w:sz w:val="24"/>
          <w:szCs w:val="24"/>
        </w:rPr>
        <w:tab/>
        <w:t>Así, toda la información –con sus excepciones– en posesión de los sujetos obligados, aparte de ser pública, debe de ser completa.</w:t>
      </w:r>
    </w:p>
    <w:p w:rsidR="00943F4F" w:rsidRPr="000B6AA3" w:rsidRDefault="00943F4F" w:rsidP="00943F4F">
      <w:pPr>
        <w:pStyle w:val="corte4fondo"/>
        <w:spacing w:line="276" w:lineRule="auto"/>
        <w:ind w:firstLine="0"/>
        <w:rPr>
          <w:rFonts w:cs="Arial"/>
          <w:color w:val="2E74B5" w:themeColor="accent1" w:themeShade="BF"/>
          <w:sz w:val="24"/>
          <w:szCs w:val="24"/>
        </w:rPr>
      </w:pPr>
    </w:p>
    <w:p w:rsidR="00943F4F" w:rsidRPr="000B6AA3" w:rsidRDefault="00943F4F" w:rsidP="00943F4F">
      <w:pPr>
        <w:autoSpaceDE w:val="0"/>
        <w:autoSpaceDN w:val="0"/>
        <w:adjustRightInd w:val="0"/>
        <w:spacing w:after="0"/>
        <w:jc w:val="both"/>
        <w:rPr>
          <w:rFonts w:ascii="Arial" w:hAnsi="Arial" w:cs="Arial"/>
          <w:color w:val="2E74B5" w:themeColor="accent1" w:themeShade="BF"/>
          <w:sz w:val="24"/>
          <w:szCs w:val="24"/>
        </w:rPr>
      </w:pPr>
      <w:r w:rsidRPr="000B6AA3">
        <w:rPr>
          <w:rFonts w:ascii="Arial" w:hAnsi="Arial" w:cs="Arial"/>
          <w:color w:val="2E74B5" w:themeColor="accent1" w:themeShade="BF"/>
          <w:sz w:val="24"/>
          <w:szCs w:val="24"/>
        </w:rPr>
        <w:tab/>
        <w:t xml:space="preserve">En el caso, el análisis a la solicitud de acceso a la información pública no fue de forma exhaustiva, es decir, la autoridad no atendió a cabalidad todos los puntos que le fueron requeridos, ya que no se pronunció sobre todos, transgrediendo el principio de </w:t>
      </w:r>
      <w:r w:rsidRPr="000B6AA3">
        <w:rPr>
          <w:rFonts w:ascii="Arial" w:hAnsi="Arial" w:cs="Arial"/>
          <w:b/>
          <w:bCs/>
          <w:color w:val="2E74B5" w:themeColor="accent1" w:themeShade="BF"/>
          <w:sz w:val="24"/>
          <w:szCs w:val="24"/>
        </w:rPr>
        <w:t xml:space="preserve">exhaustividad </w:t>
      </w:r>
      <w:r w:rsidRPr="000B6AA3">
        <w:rPr>
          <w:rFonts w:ascii="Arial" w:hAnsi="Arial" w:cs="Arial"/>
          <w:color w:val="2E74B5" w:themeColor="accent1" w:themeShade="BF"/>
          <w:sz w:val="24"/>
          <w:szCs w:val="24"/>
        </w:rPr>
        <w:t>previsto en el artículo 165, fracción III del Código Procesal Administrativo para el Estado de San Luis Potosí, de aplicación supletoria a la ley de la materia según su artículo 1°</w:t>
      </w:r>
      <w:r>
        <w:rPr>
          <w:rStyle w:val="Refdenotaalpie"/>
          <w:rFonts w:ascii="Arial" w:hAnsi="Arial" w:cs="Arial"/>
          <w:color w:val="2E74B5" w:themeColor="accent1" w:themeShade="BF"/>
          <w:sz w:val="24"/>
          <w:szCs w:val="24"/>
        </w:rPr>
        <w:footnoteReference w:id="4"/>
      </w:r>
      <w:r w:rsidRPr="000B6AA3">
        <w:rPr>
          <w:rFonts w:ascii="Arial" w:hAnsi="Arial" w:cs="Arial"/>
          <w:color w:val="2E74B5" w:themeColor="accent1" w:themeShade="BF"/>
          <w:sz w:val="24"/>
          <w:szCs w:val="24"/>
        </w:rPr>
        <w:t xml:space="preserve">, de acuerdo con el cual, los sujetos  </w:t>
      </w:r>
      <w:r w:rsidRPr="000B6AA3">
        <w:rPr>
          <w:rFonts w:ascii="Arial" w:hAnsi="Arial" w:cs="Arial"/>
          <w:color w:val="2E74B5" w:themeColor="accent1" w:themeShade="BF"/>
          <w:sz w:val="24"/>
          <w:szCs w:val="24"/>
        </w:rPr>
        <w:lastRenderedPageBreak/>
        <w:t xml:space="preserve">obligados deben resolver </w:t>
      </w:r>
      <w:r w:rsidRPr="000B6AA3">
        <w:rPr>
          <w:rFonts w:ascii="Arial" w:hAnsi="Arial" w:cs="Arial"/>
          <w:b/>
          <w:bCs/>
          <w:color w:val="2E74B5" w:themeColor="accent1" w:themeShade="BF"/>
          <w:sz w:val="24"/>
          <w:szCs w:val="24"/>
        </w:rPr>
        <w:t>expresamente sobre cada uno de los puntos propuestos por los interesados</w:t>
      </w:r>
      <w:r w:rsidRPr="000B6AA3">
        <w:rPr>
          <w:rFonts w:ascii="Arial" w:hAnsi="Arial" w:cs="Arial"/>
          <w:color w:val="2E74B5" w:themeColor="accent1" w:themeShade="BF"/>
          <w:sz w:val="24"/>
          <w:szCs w:val="24"/>
        </w:rPr>
        <w:t>. El artículo invocado es del tenor literal siguiente:</w:t>
      </w:r>
    </w:p>
    <w:p w:rsidR="00943F4F" w:rsidRPr="000B6AA3" w:rsidRDefault="00943F4F" w:rsidP="00943F4F">
      <w:pPr>
        <w:autoSpaceDE w:val="0"/>
        <w:autoSpaceDN w:val="0"/>
        <w:adjustRightInd w:val="0"/>
        <w:spacing w:after="0"/>
        <w:jc w:val="both"/>
        <w:rPr>
          <w:rFonts w:ascii="Arial" w:hAnsi="Arial" w:cs="Arial"/>
          <w:i/>
          <w:color w:val="2E74B5" w:themeColor="accent1" w:themeShade="BF"/>
          <w:sz w:val="24"/>
          <w:szCs w:val="24"/>
          <w:lang w:eastAsia="es-MX"/>
        </w:rPr>
      </w:pPr>
    </w:p>
    <w:p w:rsidR="00943F4F" w:rsidRPr="000B6AA3" w:rsidRDefault="00943F4F" w:rsidP="00943F4F">
      <w:pPr>
        <w:autoSpaceDE w:val="0"/>
        <w:autoSpaceDN w:val="0"/>
        <w:adjustRightInd w:val="0"/>
        <w:spacing w:after="0"/>
        <w:jc w:val="both"/>
        <w:rPr>
          <w:rFonts w:ascii="Arial" w:hAnsi="Arial" w:cs="Arial"/>
          <w:i/>
          <w:color w:val="2E74B5" w:themeColor="accent1" w:themeShade="BF"/>
          <w:sz w:val="20"/>
          <w:szCs w:val="20"/>
        </w:rPr>
      </w:pPr>
      <w:r w:rsidRPr="000B6AA3">
        <w:rPr>
          <w:rFonts w:ascii="Arial" w:hAnsi="Arial" w:cs="Arial"/>
          <w:i/>
          <w:color w:val="2E74B5" w:themeColor="accent1" w:themeShade="BF"/>
          <w:sz w:val="24"/>
          <w:szCs w:val="24"/>
          <w:lang w:eastAsia="es-MX"/>
        </w:rPr>
        <w:tab/>
      </w:r>
      <w:r w:rsidRPr="000B6AA3">
        <w:rPr>
          <w:rFonts w:ascii="Arial" w:hAnsi="Arial" w:cs="Arial"/>
          <w:i/>
          <w:color w:val="2E74B5" w:themeColor="accent1" w:themeShade="BF"/>
          <w:sz w:val="20"/>
          <w:szCs w:val="20"/>
          <w:lang w:eastAsia="es-MX"/>
        </w:rPr>
        <w:t>“</w:t>
      </w:r>
      <w:r w:rsidRPr="000B6AA3">
        <w:rPr>
          <w:rFonts w:ascii="Arial" w:hAnsi="Arial" w:cs="Arial"/>
          <w:b/>
          <w:i/>
          <w:color w:val="2E74B5" w:themeColor="accent1" w:themeShade="BF"/>
          <w:sz w:val="20"/>
          <w:szCs w:val="20"/>
        </w:rPr>
        <w:t>ARTÍCULO 165.</w:t>
      </w:r>
      <w:r w:rsidRPr="000B6AA3">
        <w:rPr>
          <w:rFonts w:ascii="Arial" w:hAnsi="Arial" w:cs="Arial"/>
          <w:i/>
          <w:color w:val="2E74B5" w:themeColor="accent1" w:themeShade="BF"/>
          <w:sz w:val="20"/>
          <w:szCs w:val="20"/>
        </w:rPr>
        <w:t xml:space="preserve"> Son requisitos del acto administrativo: </w:t>
      </w:r>
    </w:p>
    <w:p w:rsidR="00943F4F" w:rsidRPr="000B6AA3" w:rsidRDefault="00943F4F" w:rsidP="00943F4F">
      <w:pPr>
        <w:autoSpaceDE w:val="0"/>
        <w:autoSpaceDN w:val="0"/>
        <w:adjustRightInd w:val="0"/>
        <w:spacing w:after="0"/>
        <w:jc w:val="both"/>
        <w:rPr>
          <w:rFonts w:ascii="Arial" w:hAnsi="Arial" w:cs="Arial"/>
          <w:i/>
          <w:color w:val="2E74B5" w:themeColor="accent1" w:themeShade="BF"/>
          <w:sz w:val="20"/>
          <w:szCs w:val="20"/>
        </w:rPr>
      </w:pPr>
      <w:r w:rsidRPr="000B6AA3">
        <w:rPr>
          <w:rFonts w:ascii="Arial" w:hAnsi="Arial" w:cs="Arial"/>
          <w:i/>
          <w:color w:val="2E74B5" w:themeColor="accent1" w:themeShade="BF"/>
          <w:sz w:val="20"/>
          <w:szCs w:val="20"/>
        </w:rPr>
        <w:t>(…)</w:t>
      </w:r>
    </w:p>
    <w:p w:rsidR="00943F4F" w:rsidRPr="000B6AA3" w:rsidRDefault="00943F4F" w:rsidP="00943F4F">
      <w:pPr>
        <w:autoSpaceDE w:val="0"/>
        <w:autoSpaceDN w:val="0"/>
        <w:adjustRightInd w:val="0"/>
        <w:spacing w:after="0"/>
        <w:jc w:val="both"/>
        <w:rPr>
          <w:rFonts w:ascii="Arial" w:hAnsi="Arial" w:cs="Arial"/>
          <w:i/>
          <w:color w:val="2E74B5" w:themeColor="accent1" w:themeShade="BF"/>
          <w:sz w:val="20"/>
          <w:szCs w:val="20"/>
        </w:rPr>
      </w:pPr>
      <w:r w:rsidRPr="000B6AA3">
        <w:rPr>
          <w:rFonts w:ascii="Arial" w:hAnsi="Arial" w:cs="Arial"/>
          <w:i/>
          <w:color w:val="2E74B5" w:themeColor="accent1" w:themeShade="BF"/>
          <w:sz w:val="20"/>
          <w:szCs w:val="20"/>
        </w:rPr>
        <w:tab/>
        <w:t>III. Que se expida de manera congruente con lo solicitado y resolver expresamente todos los puntos propuestos por el interesado o previstos por las normas.”</w:t>
      </w:r>
    </w:p>
    <w:p w:rsidR="00943F4F" w:rsidRPr="000B6AA3" w:rsidRDefault="00943F4F" w:rsidP="00943F4F">
      <w:pPr>
        <w:autoSpaceDE w:val="0"/>
        <w:autoSpaceDN w:val="0"/>
        <w:adjustRightInd w:val="0"/>
        <w:spacing w:after="0"/>
        <w:jc w:val="both"/>
        <w:rPr>
          <w:rFonts w:ascii="Arial" w:hAnsi="Arial" w:cs="Arial"/>
          <w:color w:val="2E74B5" w:themeColor="accent1" w:themeShade="BF"/>
          <w:sz w:val="24"/>
          <w:szCs w:val="24"/>
        </w:rPr>
      </w:pPr>
    </w:p>
    <w:p w:rsidR="00943F4F" w:rsidRPr="000B6AA3" w:rsidRDefault="00943F4F" w:rsidP="00943F4F">
      <w:pPr>
        <w:pStyle w:val="corte4fondo"/>
        <w:spacing w:line="276" w:lineRule="auto"/>
        <w:ind w:firstLine="708"/>
        <w:rPr>
          <w:rFonts w:cs="Arial"/>
          <w:color w:val="2E74B5" w:themeColor="accent1" w:themeShade="BF"/>
          <w:sz w:val="24"/>
          <w:szCs w:val="24"/>
        </w:rPr>
      </w:pPr>
      <w:r w:rsidRPr="000B6AA3">
        <w:rPr>
          <w:rFonts w:cs="Arial"/>
          <w:color w:val="2E74B5" w:themeColor="accent1" w:themeShade="BF"/>
          <w:sz w:val="24"/>
          <w:szCs w:val="24"/>
        </w:rPr>
        <w:t>En el caso, la información que no le fue entregada al solicitante o, al menos no hubo pronunciam</w:t>
      </w:r>
      <w:r>
        <w:rPr>
          <w:rFonts w:cs="Arial"/>
          <w:color w:val="2E74B5" w:themeColor="accent1" w:themeShade="BF"/>
          <w:sz w:val="24"/>
          <w:szCs w:val="24"/>
        </w:rPr>
        <w:t>iento siquiera sobre el</w:t>
      </w:r>
      <w:r w:rsidRPr="000B6AA3">
        <w:rPr>
          <w:rFonts w:cs="Arial"/>
          <w:color w:val="2E74B5" w:themeColor="accent1" w:themeShade="BF"/>
          <w:sz w:val="24"/>
          <w:szCs w:val="24"/>
        </w:rPr>
        <w:t xml:space="preserve"> mismo fue lo referente a las facturas de toda la papelería que se adquiere en el área de planeación de desarrollo.</w:t>
      </w:r>
    </w:p>
    <w:p w:rsidR="00943F4F" w:rsidRPr="000B6AA3" w:rsidRDefault="00943F4F" w:rsidP="00943F4F">
      <w:pPr>
        <w:pStyle w:val="corte4fondo"/>
        <w:spacing w:line="276" w:lineRule="auto"/>
        <w:rPr>
          <w:rFonts w:cs="Arial"/>
          <w:i/>
          <w:color w:val="2E74B5" w:themeColor="accent1" w:themeShade="BF"/>
          <w:sz w:val="20"/>
        </w:rPr>
      </w:pPr>
    </w:p>
    <w:p w:rsidR="00943F4F" w:rsidRPr="000B6AA3" w:rsidRDefault="00943F4F" w:rsidP="00943F4F">
      <w:pPr>
        <w:pStyle w:val="corte4fondo"/>
        <w:tabs>
          <w:tab w:val="left" w:pos="567"/>
        </w:tabs>
        <w:spacing w:line="276" w:lineRule="auto"/>
        <w:ind w:firstLine="0"/>
        <w:rPr>
          <w:rFonts w:cs="Arial"/>
          <w:color w:val="2E74B5" w:themeColor="accent1" w:themeShade="BF"/>
          <w:sz w:val="24"/>
          <w:szCs w:val="24"/>
        </w:rPr>
      </w:pPr>
      <w:r w:rsidRPr="000B6AA3">
        <w:rPr>
          <w:rFonts w:cs="Arial"/>
          <w:color w:val="2E74B5" w:themeColor="accent1" w:themeShade="BF"/>
          <w:sz w:val="24"/>
          <w:szCs w:val="24"/>
        </w:rPr>
        <w:tab/>
      </w:r>
      <w:r>
        <w:rPr>
          <w:rFonts w:cs="Arial"/>
          <w:color w:val="2E74B5" w:themeColor="accent1" w:themeShade="BF"/>
          <w:sz w:val="24"/>
          <w:szCs w:val="24"/>
        </w:rPr>
        <w:t>Ahora, por lo que toca a la respuesta inicial</w:t>
      </w:r>
      <w:r w:rsidRPr="000B6AA3">
        <w:rPr>
          <w:rFonts w:cs="Arial"/>
          <w:color w:val="2E74B5" w:themeColor="accent1" w:themeShade="BF"/>
          <w:sz w:val="24"/>
          <w:szCs w:val="24"/>
        </w:rPr>
        <w:t>, esta Comisión verificó las ligas electrónicas señaladas por la autoridad advirtiendo lo siguiente:</w:t>
      </w:r>
    </w:p>
    <w:p w:rsidR="00943F4F" w:rsidRPr="000B6AA3" w:rsidRDefault="00943F4F" w:rsidP="00943F4F">
      <w:pPr>
        <w:pStyle w:val="Encabezado"/>
        <w:spacing w:line="276" w:lineRule="auto"/>
        <w:rPr>
          <w:rFonts w:ascii="Arial" w:hAnsi="Arial" w:cs="Arial"/>
          <w:i/>
          <w:color w:val="2E74B5" w:themeColor="accent1" w:themeShade="BF"/>
          <w:sz w:val="20"/>
        </w:rPr>
      </w:pPr>
    </w:p>
    <w:p w:rsidR="00943F4F" w:rsidRPr="000B6AA3" w:rsidRDefault="00943F4F" w:rsidP="00943F4F">
      <w:pPr>
        <w:pStyle w:val="Encabezado"/>
        <w:spacing w:line="276" w:lineRule="auto"/>
        <w:rPr>
          <w:rFonts w:ascii="Arial" w:hAnsi="Arial" w:cs="Arial"/>
          <w:i/>
          <w:color w:val="2E74B5" w:themeColor="accent1" w:themeShade="BF"/>
          <w:sz w:val="20"/>
        </w:rPr>
      </w:pPr>
      <w:hyperlink r:id="rId10" w:history="1">
        <w:r w:rsidRPr="000B6AA3">
          <w:rPr>
            <w:rStyle w:val="Hipervnculo"/>
            <w:rFonts w:ascii="Arial" w:hAnsi="Arial" w:cs="Arial"/>
            <w:i/>
            <w:color w:val="2E74B5" w:themeColor="accent1" w:themeShade="BF"/>
            <w:sz w:val="20"/>
          </w:rPr>
          <w:t>http://www.municipiosoledad.gob.mx/transparencia/49</w:t>
        </w:r>
      </w:hyperlink>
    </w:p>
    <w:p w:rsidR="00943F4F" w:rsidRPr="000B6AA3" w:rsidRDefault="00943F4F" w:rsidP="00943F4F">
      <w:pPr>
        <w:pStyle w:val="Encabezado"/>
        <w:spacing w:line="276" w:lineRule="auto"/>
        <w:rPr>
          <w:rFonts w:ascii="Arial" w:hAnsi="Arial" w:cs="Arial"/>
          <w:i/>
          <w:color w:val="2E74B5" w:themeColor="accent1" w:themeShade="BF"/>
          <w:sz w:val="20"/>
          <w:szCs w:val="20"/>
        </w:rPr>
      </w:pPr>
      <w:r w:rsidRPr="000B6AA3">
        <w:rPr>
          <w:rFonts w:ascii="Arial" w:hAnsi="Arial" w:cs="Arial"/>
          <w:i/>
          <w:color w:val="2E74B5" w:themeColor="accent1" w:themeShade="BF"/>
          <w:sz w:val="20"/>
        </w:rPr>
        <w:t>Pantalla 1</w:t>
      </w:r>
    </w:p>
    <w:p w:rsidR="00943F4F" w:rsidRPr="000B6AA3" w:rsidRDefault="00943F4F" w:rsidP="00943F4F">
      <w:pPr>
        <w:pStyle w:val="Encabezado"/>
        <w:spacing w:line="276" w:lineRule="auto"/>
        <w:jc w:val="center"/>
        <w:rPr>
          <w:rFonts w:ascii="Arial" w:hAnsi="Arial" w:cs="Arial"/>
          <w:i/>
          <w:color w:val="2E74B5" w:themeColor="accent1" w:themeShade="BF"/>
          <w:sz w:val="20"/>
          <w:szCs w:val="20"/>
        </w:rPr>
      </w:pPr>
      <w:r w:rsidRPr="000B6AA3">
        <w:rPr>
          <w:rFonts w:ascii="Arial" w:hAnsi="Arial" w:cs="Arial"/>
          <w:i/>
          <w:noProof/>
          <w:color w:val="2E74B5" w:themeColor="accent1" w:themeShade="BF"/>
          <w:sz w:val="20"/>
          <w:szCs w:val="20"/>
          <w:lang w:eastAsia="es-MX"/>
        </w:rPr>
        <w:drawing>
          <wp:inline distT="0" distB="0" distL="0" distR="0" wp14:anchorId="0D085A81" wp14:editId="1484C608">
            <wp:extent cx="5382487" cy="4403558"/>
            <wp:effectExtent l="0" t="0" r="889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82487" cy="4403558"/>
                    </a:xfrm>
                    <a:prstGeom prst="rect">
                      <a:avLst/>
                    </a:prstGeom>
                    <a:noFill/>
                    <a:ln>
                      <a:noFill/>
                    </a:ln>
                  </pic:spPr>
                </pic:pic>
              </a:graphicData>
            </a:graphic>
          </wp:inline>
        </w:drawing>
      </w:r>
    </w:p>
    <w:p w:rsidR="00943F4F" w:rsidRPr="000B6AA3" w:rsidRDefault="00943F4F" w:rsidP="00943F4F">
      <w:pPr>
        <w:pStyle w:val="Encabezado"/>
        <w:spacing w:line="276" w:lineRule="auto"/>
        <w:rPr>
          <w:rFonts w:ascii="Arial" w:hAnsi="Arial" w:cs="Arial"/>
          <w:i/>
          <w:color w:val="2E74B5" w:themeColor="accent1" w:themeShade="BF"/>
          <w:sz w:val="20"/>
        </w:rPr>
      </w:pPr>
      <w:hyperlink r:id="rId12" w:history="1">
        <w:r w:rsidRPr="000B6AA3">
          <w:rPr>
            <w:rStyle w:val="Hipervnculo"/>
            <w:rFonts w:ascii="Arial" w:hAnsi="Arial" w:cs="Arial"/>
            <w:i/>
            <w:color w:val="2E74B5" w:themeColor="accent1" w:themeShade="BF"/>
            <w:sz w:val="20"/>
          </w:rPr>
          <w:t>http://www.municipiosoledad.gob.mx/transparencia/71</w:t>
        </w:r>
      </w:hyperlink>
    </w:p>
    <w:p w:rsidR="00943F4F" w:rsidRPr="000B6AA3" w:rsidRDefault="00943F4F" w:rsidP="00943F4F">
      <w:pPr>
        <w:pStyle w:val="Encabezado"/>
        <w:spacing w:line="276" w:lineRule="auto"/>
        <w:rPr>
          <w:rFonts w:ascii="Arial" w:hAnsi="Arial" w:cs="Arial"/>
          <w:i/>
          <w:color w:val="2E74B5" w:themeColor="accent1" w:themeShade="BF"/>
          <w:sz w:val="20"/>
          <w:szCs w:val="20"/>
        </w:rPr>
      </w:pPr>
      <w:r w:rsidRPr="000B6AA3">
        <w:rPr>
          <w:rFonts w:ascii="Arial" w:hAnsi="Arial" w:cs="Arial"/>
          <w:i/>
          <w:color w:val="2E74B5" w:themeColor="accent1" w:themeShade="BF"/>
          <w:sz w:val="20"/>
        </w:rPr>
        <w:t>Pantalla 2</w:t>
      </w:r>
    </w:p>
    <w:p w:rsidR="00943F4F" w:rsidRPr="000B6AA3" w:rsidRDefault="00943F4F" w:rsidP="00943F4F">
      <w:pPr>
        <w:pStyle w:val="Encabezado"/>
        <w:spacing w:line="276" w:lineRule="auto"/>
        <w:jc w:val="center"/>
        <w:rPr>
          <w:rFonts w:ascii="Arial" w:hAnsi="Arial" w:cs="Arial"/>
          <w:i/>
          <w:color w:val="2E74B5" w:themeColor="accent1" w:themeShade="BF"/>
          <w:sz w:val="20"/>
          <w:szCs w:val="20"/>
        </w:rPr>
      </w:pPr>
      <w:r w:rsidRPr="000B6AA3">
        <w:rPr>
          <w:rFonts w:ascii="Arial" w:hAnsi="Arial" w:cs="Arial"/>
          <w:i/>
          <w:noProof/>
          <w:color w:val="2E74B5" w:themeColor="accent1" w:themeShade="BF"/>
          <w:sz w:val="20"/>
          <w:szCs w:val="20"/>
          <w:lang w:eastAsia="es-MX"/>
        </w:rPr>
        <w:lastRenderedPageBreak/>
        <w:drawing>
          <wp:inline distT="0" distB="0" distL="0" distR="0" wp14:anchorId="44ADD91A" wp14:editId="5C6E9D20">
            <wp:extent cx="4769329" cy="3849671"/>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86964" cy="3863905"/>
                    </a:xfrm>
                    <a:prstGeom prst="rect">
                      <a:avLst/>
                    </a:prstGeom>
                    <a:noFill/>
                    <a:ln>
                      <a:noFill/>
                    </a:ln>
                  </pic:spPr>
                </pic:pic>
              </a:graphicData>
            </a:graphic>
          </wp:inline>
        </w:drawing>
      </w:r>
    </w:p>
    <w:p w:rsidR="00943F4F" w:rsidRPr="000B6AA3" w:rsidRDefault="00943F4F" w:rsidP="00943F4F">
      <w:pPr>
        <w:pStyle w:val="Encabezado"/>
        <w:spacing w:line="276" w:lineRule="auto"/>
        <w:rPr>
          <w:rFonts w:ascii="Arial" w:hAnsi="Arial" w:cs="Arial"/>
          <w:color w:val="2E74B5" w:themeColor="accent1" w:themeShade="BF"/>
          <w:sz w:val="24"/>
          <w:szCs w:val="24"/>
        </w:rPr>
      </w:pPr>
      <w:r w:rsidRPr="000B6AA3">
        <w:rPr>
          <w:rFonts w:ascii="Arial" w:hAnsi="Arial" w:cs="Arial"/>
          <w:color w:val="2E74B5" w:themeColor="accent1" w:themeShade="BF"/>
          <w:sz w:val="24"/>
          <w:szCs w:val="24"/>
        </w:rPr>
        <w:tab/>
        <w:t xml:space="preserve">Como se ve, al ingresar a las rutas señaladas se accede a la Cuenta Pública del primer y segundo </w:t>
      </w:r>
      <w:r w:rsidRPr="00943F4F">
        <w:rPr>
          <w:rFonts w:ascii="Arial" w:hAnsi="Arial" w:cs="Arial"/>
          <w:color w:val="2E74B5" w:themeColor="accent1" w:themeShade="BF"/>
          <w:sz w:val="24"/>
          <w:szCs w:val="24"/>
        </w:rPr>
        <w:t>trimestre del Municipio de Soledad de Graciano Sánchez, S.L.P., como se visualiza en las pantallas 1 y 2, de ahí que esta Comisión determina que la información se encuentra publicada como se señala.</w:t>
      </w:r>
      <w:r w:rsidRPr="000B6AA3">
        <w:rPr>
          <w:rFonts w:ascii="Arial" w:hAnsi="Arial" w:cs="Arial"/>
          <w:color w:val="2E74B5" w:themeColor="accent1" w:themeShade="BF"/>
          <w:sz w:val="24"/>
          <w:szCs w:val="24"/>
        </w:rPr>
        <w:t xml:space="preserve">   </w:t>
      </w:r>
    </w:p>
    <w:p w:rsidR="00943F4F" w:rsidRPr="000B6AA3" w:rsidRDefault="00943F4F" w:rsidP="00943F4F">
      <w:pPr>
        <w:pStyle w:val="Encabezado"/>
        <w:spacing w:line="276" w:lineRule="auto"/>
        <w:rPr>
          <w:rFonts w:ascii="Arial" w:hAnsi="Arial" w:cs="Arial"/>
          <w:i/>
          <w:color w:val="2E74B5" w:themeColor="accent1" w:themeShade="BF"/>
          <w:sz w:val="20"/>
          <w:szCs w:val="20"/>
        </w:rPr>
      </w:pPr>
    </w:p>
    <w:p w:rsidR="00943F4F" w:rsidRPr="000B6AA3" w:rsidRDefault="00943F4F" w:rsidP="00943F4F">
      <w:pPr>
        <w:pStyle w:val="corte4fondo"/>
        <w:tabs>
          <w:tab w:val="left" w:pos="567"/>
        </w:tabs>
        <w:spacing w:line="276" w:lineRule="auto"/>
        <w:ind w:firstLine="0"/>
        <w:rPr>
          <w:rFonts w:cs="Arial"/>
          <w:i/>
          <w:color w:val="2E74B5" w:themeColor="accent1" w:themeShade="BF"/>
          <w:sz w:val="20"/>
        </w:rPr>
      </w:pPr>
      <w:r w:rsidRPr="000B6AA3">
        <w:rPr>
          <w:rFonts w:cs="Arial"/>
          <w:color w:val="2E74B5" w:themeColor="accent1" w:themeShade="BF"/>
          <w:sz w:val="24"/>
          <w:szCs w:val="24"/>
        </w:rPr>
        <w:tab/>
      </w:r>
      <w:r w:rsidRPr="00F83AFC">
        <w:rPr>
          <w:rFonts w:cs="Arial"/>
          <w:color w:val="2E74B5" w:themeColor="accent1" w:themeShade="BF"/>
          <w:sz w:val="24"/>
          <w:szCs w:val="24"/>
        </w:rPr>
        <w:t>En virtud de lo anterior, si bien de las constancias remitidas a través del informe</w:t>
      </w:r>
      <w:r w:rsidRPr="000B6AA3">
        <w:rPr>
          <w:rFonts w:cs="Arial"/>
          <w:color w:val="2E74B5" w:themeColor="accent1" w:themeShade="BF"/>
          <w:sz w:val="24"/>
          <w:szCs w:val="24"/>
        </w:rPr>
        <w:t xml:space="preserve"> de manifestaciones se advierte que </w:t>
      </w:r>
      <w:r w:rsidRPr="000B6AA3">
        <w:rPr>
          <w:rFonts w:cs="Arial"/>
          <w:i/>
          <w:color w:val="2E74B5" w:themeColor="accent1" w:themeShade="BF"/>
          <w:sz w:val="20"/>
        </w:rPr>
        <w:t>“…la Unidad de Transparencia conjunto al área encargada de poseer y generar la información, realizamos todos los trámites necesarios para así atender a la solicitud de información,</w:t>
      </w:r>
      <w:r w:rsidRPr="000B6AA3">
        <w:rPr>
          <w:rFonts w:cs="Arial"/>
          <w:b/>
          <w:i/>
          <w:color w:val="2E74B5" w:themeColor="accent1" w:themeShade="BF"/>
          <w:sz w:val="20"/>
        </w:rPr>
        <w:t xml:space="preserve"> ya que se le está indicando que a la información que desea acceder se encuentra disponible en la liga electrónica proporcionada al momento de dar contestación a la solicitud de información, por lo que se tiene por satisfaciendo el principio de Máxima Publicidad ya que se le está permitiendo que consulte la información por un medio electrónico, así facilitando su reproducción directa del solicitante si así lo quisiere</w:t>
      </w:r>
      <w:r w:rsidRPr="000B6AA3">
        <w:rPr>
          <w:rFonts w:cs="Arial"/>
          <w:i/>
          <w:color w:val="2E74B5" w:themeColor="accent1" w:themeShade="BF"/>
          <w:sz w:val="20"/>
        </w:rPr>
        <w:t>…” (sic)</w:t>
      </w:r>
    </w:p>
    <w:p w:rsidR="00943F4F" w:rsidRPr="000B6AA3" w:rsidRDefault="00943F4F" w:rsidP="00943F4F">
      <w:pPr>
        <w:pStyle w:val="corte4fondo"/>
        <w:tabs>
          <w:tab w:val="left" w:pos="567"/>
        </w:tabs>
        <w:spacing w:line="276" w:lineRule="auto"/>
        <w:ind w:firstLine="0"/>
        <w:rPr>
          <w:rFonts w:cs="Arial"/>
          <w:color w:val="2E74B5" w:themeColor="accent1" w:themeShade="BF"/>
          <w:sz w:val="24"/>
          <w:szCs w:val="24"/>
        </w:rPr>
      </w:pPr>
    </w:p>
    <w:p w:rsidR="00943F4F" w:rsidRPr="000B6AA3" w:rsidRDefault="00943F4F" w:rsidP="00943F4F">
      <w:pPr>
        <w:pStyle w:val="corte4fondo"/>
        <w:spacing w:line="276" w:lineRule="auto"/>
        <w:ind w:firstLine="708"/>
        <w:rPr>
          <w:rFonts w:cs="Arial"/>
          <w:color w:val="2E74B5" w:themeColor="accent1" w:themeShade="BF"/>
          <w:sz w:val="24"/>
          <w:szCs w:val="24"/>
        </w:rPr>
      </w:pPr>
      <w:r w:rsidRPr="000B6AA3">
        <w:rPr>
          <w:rFonts w:cs="Arial"/>
          <w:color w:val="2E74B5" w:themeColor="accent1" w:themeShade="BF"/>
          <w:sz w:val="24"/>
          <w:szCs w:val="24"/>
        </w:rPr>
        <w:t>Al respecto es, importante destacar que el sujeto obligado</w:t>
      </w:r>
      <w:r>
        <w:rPr>
          <w:rFonts w:cs="Arial"/>
          <w:color w:val="2E74B5" w:themeColor="accent1" w:themeShade="BF"/>
          <w:sz w:val="24"/>
          <w:szCs w:val="24"/>
        </w:rPr>
        <w:t xml:space="preserve"> en parte</w:t>
      </w:r>
      <w:r w:rsidRPr="000B6AA3">
        <w:rPr>
          <w:rFonts w:cs="Arial"/>
          <w:color w:val="2E74B5" w:themeColor="accent1" w:themeShade="BF"/>
          <w:sz w:val="24"/>
          <w:szCs w:val="24"/>
        </w:rPr>
        <w:t xml:space="preserve"> cumplió con lo establecido en los artículos 60</w:t>
      </w:r>
      <w:r w:rsidRPr="000B6AA3">
        <w:rPr>
          <w:rStyle w:val="Refdenotaalpie"/>
          <w:rFonts w:cs="Arial"/>
          <w:color w:val="2E74B5" w:themeColor="accent1" w:themeShade="BF"/>
          <w:sz w:val="24"/>
          <w:szCs w:val="24"/>
        </w:rPr>
        <w:footnoteReference w:id="5"/>
      </w:r>
      <w:r w:rsidRPr="000B6AA3">
        <w:rPr>
          <w:rFonts w:cs="Arial"/>
          <w:color w:val="2E74B5" w:themeColor="accent1" w:themeShade="BF"/>
          <w:sz w:val="24"/>
          <w:szCs w:val="24"/>
        </w:rPr>
        <w:t>, 61</w:t>
      </w:r>
      <w:r w:rsidRPr="000B6AA3">
        <w:rPr>
          <w:rStyle w:val="Refdenotaalpie"/>
          <w:rFonts w:cs="Arial"/>
          <w:color w:val="2E74B5" w:themeColor="accent1" w:themeShade="BF"/>
          <w:sz w:val="24"/>
          <w:szCs w:val="24"/>
        </w:rPr>
        <w:footnoteReference w:id="6"/>
      </w:r>
      <w:r w:rsidRPr="000B6AA3">
        <w:rPr>
          <w:rFonts w:cs="Arial"/>
          <w:color w:val="2E74B5" w:themeColor="accent1" w:themeShade="BF"/>
          <w:sz w:val="24"/>
          <w:szCs w:val="24"/>
        </w:rPr>
        <w:t xml:space="preserve"> y 62</w:t>
      </w:r>
      <w:r w:rsidRPr="000B6AA3">
        <w:rPr>
          <w:rStyle w:val="Refdenotaalpie"/>
          <w:rFonts w:cs="Arial"/>
          <w:color w:val="2E74B5" w:themeColor="accent1" w:themeShade="BF"/>
          <w:sz w:val="24"/>
          <w:szCs w:val="24"/>
        </w:rPr>
        <w:footnoteReference w:id="7"/>
      </w:r>
      <w:r w:rsidRPr="000B6AA3">
        <w:rPr>
          <w:rFonts w:cs="Arial"/>
          <w:color w:val="2E74B5" w:themeColor="accent1" w:themeShade="BF"/>
          <w:sz w:val="24"/>
          <w:szCs w:val="24"/>
        </w:rPr>
        <w:t xml:space="preserve"> de la Ley de Transparencia, en la parte en que se debe de facilitar el acceso a la información.</w:t>
      </w:r>
    </w:p>
    <w:p w:rsidR="00943F4F" w:rsidRPr="000B6AA3" w:rsidRDefault="00943F4F" w:rsidP="00943F4F">
      <w:pPr>
        <w:pStyle w:val="corte4fondo"/>
        <w:spacing w:line="276" w:lineRule="auto"/>
        <w:ind w:firstLine="0"/>
        <w:rPr>
          <w:rFonts w:cs="Arial"/>
          <w:color w:val="2E74B5" w:themeColor="accent1" w:themeShade="BF"/>
          <w:sz w:val="24"/>
          <w:szCs w:val="24"/>
        </w:rPr>
      </w:pPr>
    </w:p>
    <w:p w:rsidR="00943F4F" w:rsidRPr="000B6AA3" w:rsidRDefault="00943F4F" w:rsidP="00943F4F">
      <w:pPr>
        <w:pStyle w:val="corte4fondo"/>
        <w:spacing w:line="276" w:lineRule="auto"/>
        <w:ind w:firstLine="0"/>
        <w:rPr>
          <w:rFonts w:cs="Arial"/>
          <w:color w:val="2E74B5" w:themeColor="accent1" w:themeShade="BF"/>
          <w:sz w:val="24"/>
          <w:szCs w:val="24"/>
        </w:rPr>
      </w:pPr>
      <w:r w:rsidRPr="000B6AA3">
        <w:rPr>
          <w:rFonts w:cs="Arial"/>
          <w:color w:val="2E74B5" w:themeColor="accent1" w:themeShade="BF"/>
          <w:sz w:val="24"/>
          <w:szCs w:val="24"/>
        </w:rPr>
        <w:lastRenderedPageBreak/>
        <w:tab/>
        <w:t xml:space="preserve">En efecto, uno de los principios del acceso a la información pública, es que éste sea de una manera que no implique un esfuerzo adicional en la obtención de la información. </w:t>
      </w:r>
    </w:p>
    <w:p w:rsidR="00943F4F" w:rsidRPr="000B6AA3" w:rsidRDefault="00943F4F" w:rsidP="00943F4F">
      <w:pPr>
        <w:pStyle w:val="corte4fondo"/>
        <w:spacing w:line="276" w:lineRule="auto"/>
        <w:ind w:firstLine="0"/>
        <w:rPr>
          <w:rFonts w:cs="Arial"/>
          <w:color w:val="2E74B5" w:themeColor="accent1" w:themeShade="BF"/>
          <w:sz w:val="24"/>
          <w:szCs w:val="24"/>
        </w:rPr>
      </w:pPr>
    </w:p>
    <w:p w:rsidR="00943F4F" w:rsidRPr="000B6AA3" w:rsidRDefault="00943F4F" w:rsidP="00943F4F">
      <w:pPr>
        <w:pStyle w:val="corte4fondo"/>
        <w:spacing w:line="276" w:lineRule="auto"/>
        <w:rPr>
          <w:rFonts w:cs="Arial"/>
          <w:color w:val="2E74B5" w:themeColor="accent1" w:themeShade="BF"/>
          <w:sz w:val="24"/>
          <w:szCs w:val="24"/>
        </w:rPr>
      </w:pPr>
      <w:r w:rsidRPr="000B6AA3">
        <w:rPr>
          <w:rFonts w:cs="Arial"/>
          <w:color w:val="2E74B5" w:themeColor="accent1" w:themeShade="BF"/>
          <w:sz w:val="24"/>
          <w:szCs w:val="24"/>
        </w:rPr>
        <w:t>Por otra parte, se aprecia que la Oficialía Mayor, mediante su informe reiteró su respuesta inicial en cuanto a la cuenta pública del primer y segundo trimestre, es decir, en razón de las ligas electrónicas.</w:t>
      </w:r>
    </w:p>
    <w:p w:rsidR="00943F4F" w:rsidRPr="000B6AA3" w:rsidRDefault="00943F4F" w:rsidP="00943F4F">
      <w:pPr>
        <w:pStyle w:val="corte4fondo"/>
        <w:spacing w:line="276" w:lineRule="auto"/>
        <w:rPr>
          <w:rFonts w:cs="Arial"/>
          <w:color w:val="2E74B5" w:themeColor="accent1" w:themeShade="BF"/>
          <w:sz w:val="24"/>
          <w:szCs w:val="24"/>
        </w:rPr>
      </w:pPr>
    </w:p>
    <w:p w:rsidR="00943F4F" w:rsidRPr="000B6AA3" w:rsidRDefault="00943F4F" w:rsidP="00943F4F">
      <w:pPr>
        <w:pStyle w:val="corte4fondo"/>
        <w:spacing w:line="276" w:lineRule="auto"/>
        <w:rPr>
          <w:rFonts w:cs="Arial"/>
          <w:color w:val="2E74B5" w:themeColor="accent1" w:themeShade="BF"/>
          <w:sz w:val="24"/>
          <w:szCs w:val="24"/>
        </w:rPr>
      </w:pPr>
      <w:r w:rsidRPr="000B6AA3">
        <w:rPr>
          <w:rFonts w:cs="Arial"/>
          <w:color w:val="2E74B5" w:themeColor="accent1" w:themeShade="BF"/>
          <w:sz w:val="24"/>
          <w:szCs w:val="24"/>
        </w:rPr>
        <w:t xml:space="preserve">Asimismo, en lo que aquí interesa manifestó, que no se cuenta con la información archivada como la solicita el ahora recurrente “por área administrativa” si no que, bajo protesta de decir verdad la información solicitada se encuentra resguardada en un aproximado de 65 cajas de archivo, en las cuales se encuentra la información de todas las áreas que conforman el Municipio, de igual forma se señala, de igual forma se señala que efectivamente el monto total erogado que requiere se desprende de las facturas, y que las primeras 20 veinte copias están a su disposición de manera gratuita y en caso de requerir los demás documentos deberá realizar el pago de derechos correspondiente, atendiendo a los lineamientos estipulados en el artículo 165, de la Ley de Transparencia y Acceso a la Información Pública del Estado; la información la podrá consultar en las instalaciones de Tesorería Municipal del H. Ayuntamiento de Soledad de Graciano Sánchez, ubicadas en Jardín Hidalgo No.1, Cabecera Municipal en un horario de 8:00 a 15:00 horas, de Lunes a Viernes y que deberá presentar identificación oficial con fotografía, a efecto de levantar razón y constancia legales del acceso a la información en cita para los efectos administrativos conducentes. </w:t>
      </w:r>
    </w:p>
    <w:p w:rsidR="00943F4F" w:rsidRPr="000B6AA3" w:rsidRDefault="00943F4F" w:rsidP="00943F4F">
      <w:pPr>
        <w:spacing w:after="0"/>
        <w:jc w:val="both"/>
        <w:rPr>
          <w:rFonts w:ascii="Arial" w:hAnsi="Arial" w:cs="Arial"/>
          <w:i/>
          <w:color w:val="2E74B5" w:themeColor="accent1" w:themeShade="BF"/>
          <w:sz w:val="24"/>
          <w:szCs w:val="24"/>
        </w:rPr>
      </w:pPr>
    </w:p>
    <w:p w:rsidR="00943F4F" w:rsidRPr="000B6AA3" w:rsidRDefault="00943F4F" w:rsidP="00943F4F">
      <w:pPr>
        <w:pStyle w:val="corte4fondo"/>
        <w:tabs>
          <w:tab w:val="left" w:pos="567"/>
        </w:tabs>
        <w:spacing w:line="276" w:lineRule="auto"/>
        <w:rPr>
          <w:rFonts w:cs="Arial"/>
          <w:color w:val="2E74B5" w:themeColor="accent1" w:themeShade="BF"/>
          <w:sz w:val="24"/>
          <w:szCs w:val="24"/>
        </w:rPr>
      </w:pPr>
      <w:r w:rsidRPr="000B6AA3">
        <w:rPr>
          <w:rFonts w:cs="Arial"/>
          <w:color w:val="2E74B5" w:themeColor="accent1" w:themeShade="BF"/>
          <w:sz w:val="24"/>
          <w:szCs w:val="24"/>
        </w:rPr>
        <w:t>En tal caso, es necesario aclarar al sujeto obligado que el informe de ley no es la</w:t>
      </w:r>
      <w:bookmarkStart w:id="0" w:name="_GoBack"/>
      <w:bookmarkEnd w:id="0"/>
      <w:r w:rsidRPr="000B6AA3">
        <w:rPr>
          <w:rFonts w:cs="Arial"/>
          <w:color w:val="2E74B5" w:themeColor="accent1" w:themeShade="BF"/>
          <w:sz w:val="24"/>
          <w:szCs w:val="24"/>
        </w:rPr>
        <w:t xml:space="preserve"> vía para que los sujetos obligados mejoren su respuesta, máxime que si la intención de la autoridad era sobreseer el presente recurso, de autos no se advierten pruebas o en su defecto la constancia de notificación realizada al hoy recurrente, de las que se aprecie que este haya hecho del conocimiento las manifestaciones realizadas ante esta Comisión, con la finalidad de modificar el acto impugnado, consecuentemente, se tiene que el agravio manifestado por el ahora recurrente, resulta fundado.</w:t>
      </w:r>
      <w:r>
        <w:rPr>
          <w:rFonts w:cs="Arial"/>
          <w:color w:val="2E74B5" w:themeColor="accent1" w:themeShade="BF"/>
          <w:sz w:val="24"/>
          <w:szCs w:val="24"/>
        </w:rPr>
        <w:t xml:space="preserve">  </w:t>
      </w:r>
    </w:p>
    <w:p w:rsidR="00943F4F" w:rsidRPr="000B6AA3" w:rsidRDefault="00943F4F" w:rsidP="00943F4F">
      <w:pPr>
        <w:pStyle w:val="corte4fondo"/>
        <w:tabs>
          <w:tab w:val="left" w:pos="567"/>
        </w:tabs>
        <w:spacing w:line="276" w:lineRule="auto"/>
        <w:ind w:firstLine="0"/>
        <w:rPr>
          <w:rFonts w:cs="Arial"/>
          <w:color w:val="2E74B5" w:themeColor="accent1" w:themeShade="BF"/>
          <w:sz w:val="24"/>
          <w:szCs w:val="24"/>
        </w:rPr>
      </w:pPr>
    </w:p>
    <w:p w:rsidR="00943F4F" w:rsidRPr="000B6AA3" w:rsidRDefault="00943F4F" w:rsidP="00943F4F">
      <w:pPr>
        <w:pStyle w:val="corte4fondo"/>
        <w:tabs>
          <w:tab w:val="left" w:pos="567"/>
        </w:tabs>
        <w:spacing w:line="276" w:lineRule="auto"/>
        <w:ind w:firstLine="0"/>
        <w:rPr>
          <w:rFonts w:cs="Arial"/>
          <w:color w:val="2E74B5" w:themeColor="accent1" w:themeShade="BF"/>
          <w:sz w:val="24"/>
          <w:szCs w:val="24"/>
        </w:rPr>
      </w:pPr>
      <w:r w:rsidRPr="000B6AA3">
        <w:rPr>
          <w:rFonts w:cs="Arial"/>
          <w:b/>
          <w:color w:val="2E74B5" w:themeColor="accent1" w:themeShade="BF"/>
          <w:sz w:val="24"/>
          <w:szCs w:val="24"/>
        </w:rPr>
        <w:tab/>
        <w:t>6.2. Sentido de esta resolución</w:t>
      </w:r>
      <w:r w:rsidRPr="000B6AA3">
        <w:rPr>
          <w:rFonts w:cs="Arial"/>
          <w:color w:val="2E74B5" w:themeColor="accent1" w:themeShade="BF"/>
          <w:sz w:val="24"/>
          <w:szCs w:val="24"/>
        </w:rPr>
        <w:t>.</w:t>
      </w:r>
    </w:p>
    <w:p w:rsidR="00943F4F" w:rsidRPr="000B6AA3" w:rsidRDefault="00943F4F" w:rsidP="00943F4F">
      <w:pPr>
        <w:pStyle w:val="corte4fondo"/>
        <w:tabs>
          <w:tab w:val="left" w:pos="567"/>
        </w:tabs>
        <w:spacing w:line="276" w:lineRule="auto"/>
        <w:rPr>
          <w:rFonts w:cs="Arial"/>
          <w:color w:val="2E74B5" w:themeColor="accent1" w:themeShade="BF"/>
          <w:sz w:val="24"/>
          <w:szCs w:val="24"/>
        </w:rPr>
      </w:pPr>
    </w:p>
    <w:p w:rsidR="00943F4F" w:rsidRPr="000B6AA3" w:rsidRDefault="00943F4F" w:rsidP="00943F4F">
      <w:pPr>
        <w:spacing w:after="0"/>
        <w:ind w:firstLine="708"/>
        <w:jc w:val="both"/>
        <w:rPr>
          <w:rFonts w:ascii="Arial" w:hAnsi="Arial" w:cs="Arial"/>
          <w:color w:val="2E74B5" w:themeColor="accent1" w:themeShade="BF"/>
          <w:sz w:val="24"/>
          <w:szCs w:val="24"/>
        </w:rPr>
      </w:pPr>
      <w:r w:rsidRPr="000B6AA3">
        <w:rPr>
          <w:rFonts w:ascii="Arial" w:hAnsi="Arial" w:cs="Arial"/>
          <w:color w:val="2E74B5" w:themeColor="accent1" w:themeShade="BF"/>
          <w:sz w:val="24"/>
          <w:szCs w:val="24"/>
        </w:rPr>
        <w:t xml:space="preserve">En las condiciones anotadas y al haber resultado fundado el agravio que hizo valer el recurrente, con fundamento en el artículo 175, fracción III de la Ley de Transparencia y Acceso a la Información Pública del Estado de San Luis Potosí, resulta procedente </w:t>
      </w:r>
      <w:r w:rsidRPr="000B6AA3">
        <w:rPr>
          <w:rFonts w:ascii="Arial" w:hAnsi="Arial" w:cs="Arial"/>
          <w:b/>
          <w:bCs/>
          <w:color w:val="2E74B5" w:themeColor="accent1" w:themeShade="BF"/>
          <w:sz w:val="24"/>
          <w:szCs w:val="24"/>
        </w:rPr>
        <w:t xml:space="preserve">modificar </w:t>
      </w:r>
      <w:r w:rsidRPr="000B6AA3">
        <w:rPr>
          <w:rFonts w:ascii="Arial" w:hAnsi="Arial" w:cs="Arial"/>
          <w:color w:val="2E74B5" w:themeColor="accent1" w:themeShade="BF"/>
          <w:sz w:val="24"/>
          <w:szCs w:val="24"/>
        </w:rPr>
        <w:t>la respuesta del sujeto obligado, y se le ordena emita una nueva en la que:</w:t>
      </w:r>
    </w:p>
    <w:p w:rsidR="00943F4F" w:rsidRPr="000B6AA3" w:rsidRDefault="00943F4F" w:rsidP="00943F4F">
      <w:pPr>
        <w:autoSpaceDE w:val="0"/>
        <w:autoSpaceDN w:val="0"/>
        <w:adjustRightInd w:val="0"/>
        <w:spacing w:after="0"/>
        <w:jc w:val="both"/>
        <w:rPr>
          <w:rFonts w:ascii="Arial" w:hAnsi="Arial" w:cs="Arial"/>
          <w:color w:val="2E74B5" w:themeColor="accent1" w:themeShade="BF"/>
          <w:sz w:val="24"/>
          <w:szCs w:val="24"/>
        </w:rPr>
      </w:pPr>
      <w:r w:rsidRPr="000B6AA3">
        <w:rPr>
          <w:rFonts w:ascii="Arial" w:hAnsi="Arial" w:cs="Arial"/>
          <w:color w:val="2E74B5" w:themeColor="accent1" w:themeShade="BF"/>
          <w:sz w:val="24"/>
          <w:szCs w:val="24"/>
        </w:rPr>
        <w:tab/>
      </w:r>
    </w:p>
    <w:p w:rsidR="00943F4F" w:rsidRPr="00943F4F" w:rsidRDefault="00943F4F" w:rsidP="00943F4F">
      <w:pPr>
        <w:pStyle w:val="Prrafodelista"/>
        <w:numPr>
          <w:ilvl w:val="0"/>
          <w:numId w:val="9"/>
        </w:numPr>
        <w:autoSpaceDE w:val="0"/>
        <w:autoSpaceDN w:val="0"/>
        <w:adjustRightInd w:val="0"/>
        <w:spacing w:after="0"/>
        <w:contextualSpacing w:val="0"/>
        <w:jc w:val="both"/>
        <w:rPr>
          <w:rFonts w:ascii="Arial" w:hAnsi="Arial" w:cs="Arial"/>
          <w:color w:val="2E74B5" w:themeColor="accent1" w:themeShade="BF"/>
          <w:sz w:val="24"/>
          <w:szCs w:val="24"/>
        </w:rPr>
      </w:pPr>
      <w:r w:rsidRPr="00943F4F">
        <w:rPr>
          <w:rFonts w:ascii="Arial" w:hAnsi="Arial" w:cs="Arial"/>
          <w:color w:val="2E74B5" w:themeColor="accent1" w:themeShade="BF"/>
          <w:sz w:val="24"/>
          <w:szCs w:val="24"/>
        </w:rPr>
        <w:t xml:space="preserve">Haga del conocimiento del ahora recurrente el contenido </w:t>
      </w:r>
      <w:r w:rsidRPr="00943F4F">
        <w:rPr>
          <w:rFonts w:ascii="Arial" w:hAnsi="Arial" w:cs="Arial"/>
          <w:color w:val="2E74B5" w:themeColor="accent1" w:themeShade="BF"/>
          <w:sz w:val="24"/>
        </w:rPr>
        <w:t xml:space="preserve">del oficio </w:t>
      </w:r>
      <w:r w:rsidRPr="00943F4F">
        <w:rPr>
          <w:rFonts w:ascii="Arial" w:hAnsi="Arial" w:cs="Arial"/>
          <w:color w:val="2E74B5" w:themeColor="accent1" w:themeShade="BF"/>
          <w:sz w:val="24"/>
        </w:rPr>
        <w:t>MSGS/OM/616</w:t>
      </w:r>
      <w:r w:rsidRPr="00943F4F">
        <w:rPr>
          <w:rFonts w:ascii="Arial" w:hAnsi="Arial" w:cs="Arial"/>
          <w:color w:val="2E74B5" w:themeColor="accent1" w:themeShade="BF"/>
          <w:sz w:val="24"/>
        </w:rPr>
        <w:t>/2019, signado por el Oficial Mayor del H. Ayuntamiento de Soledad de Graciano Sánchez, S.L.P., ello con la finalidad de dar contestación al solicitante respecto a: “…</w:t>
      </w:r>
      <w:r w:rsidRPr="00943F4F">
        <w:rPr>
          <w:rFonts w:ascii="Arial" w:eastAsia="Times New Roman" w:hAnsi="Arial" w:cs="Arial"/>
          <w:i/>
          <w:color w:val="2E74B5" w:themeColor="accent1" w:themeShade="BF"/>
          <w:sz w:val="20"/>
          <w:szCs w:val="20"/>
          <w:lang w:eastAsia="es-MX"/>
        </w:rPr>
        <w:t>las facturas de toda la papelería que se adquiere</w:t>
      </w:r>
      <w:r w:rsidRPr="00943F4F">
        <w:rPr>
          <w:rFonts w:ascii="Arial" w:hAnsi="Arial" w:cs="Arial"/>
          <w:color w:val="2E74B5" w:themeColor="accent1" w:themeShade="BF"/>
          <w:sz w:val="24"/>
        </w:rPr>
        <w:t>…”</w:t>
      </w:r>
    </w:p>
    <w:p w:rsidR="00943F4F" w:rsidRPr="000B6AA3" w:rsidRDefault="00943F4F" w:rsidP="00943F4F">
      <w:pPr>
        <w:autoSpaceDE w:val="0"/>
        <w:autoSpaceDN w:val="0"/>
        <w:adjustRightInd w:val="0"/>
        <w:spacing w:after="0"/>
        <w:jc w:val="both"/>
        <w:rPr>
          <w:rFonts w:ascii="Arial" w:hAnsi="Arial" w:cs="Arial"/>
          <w:color w:val="2E74B5" w:themeColor="accent1" w:themeShade="BF"/>
          <w:sz w:val="24"/>
          <w:szCs w:val="24"/>
        </w:rPr>
      </w:pPr>
    </w:p>
    <w:p w:rsidR="00943F4F" w:rsidRPr="000B6AA3" w:rsidRDefault="00943F4F" w:rsidP="00943F4F">
      <w:pPr>
        <w:pStyle w:val="corte4fondo"/>
        <w:tabs>
          <w:tab w:val="left" w:pos="567"/>
        </w:tabs>
        <w:spacing w:line="276" w:lineRule="auto"/>
        <w:ind w:firstLine="0"/>
        <w:rPr>
          <w:rFonts w:cs="Arial"/>
          <w:b/>
          <w:color w:val="2E74B5" w:themeColor="accent1" w:themeShade="BF"/>
          <w:sz w:val="24"/>
          <w:szCs w:val="24"/>
        </w:rPr>
      </w:pPr>
      <w:r w:rsidRPr="000B6AA3">
        <w:rPr>
          <w:rFonts w:cs="Arial"/>
          <w:b/>
          <w:color w:val="2E74B5" w:themeColor="accent1" w:themeShade="BF"/>
          <w:sz w:val="24"/>
          <w:szCs w:val="24"/>
        </w:rPr>
        <w:tab/>
        <w:t>6.3. Precisiones de esta resolución.</w:t>
      </w:r>
    </w:p>
    <w:p w:rsidR="00943F4F" w:rsidRPr="000B6AA3" w:rsidRDefault="00943F4F" w:rsidP="00943F4F">
      <w:pPr>
        <w:pStyle w:val="corte4fondo"/>
        <w:tabs>
          <w:tab w:val="left" w:pos="567"/>
        </w:tabs>
        <w:spacing w:line="276" w:lineRule="auto"/>
        <w:ind w:firstLine="0"/>
        <w:rPr>
          <w:rFonts w:cs="Arial"/>
          <w:b/>
          <w:color w:val="2E74B5" w:themeColor="accent1" w:themeShade="BF"/>
          <w:sz w:val="24"/>
          <w:szCs w:val="24"/>
        </w:rPr>
      </w:pPr>
      <w:r w:rsidRPr="000B6AA3">
        <w:rPr>
          <w:rFonts w:cs="Arial"/>
          <w:b/>
          <w:color w:val="2E74B5" w:themeColor="accent1" w:themeShade="BF"/>
          <w:sz w:val="24"/>
          <w:szCs w:val="24"/>
        </w:rPr>
        <w:tab/>
      </w:r>
    </w:p>
    <w:p w:rsidR="00943F4F" w:rsidRPr="000B6AA3" w:rsidRDefault="00943F4F" w:rsidP="00943F4F">
      <w:pPr>
        <w:pStyle w:val="corte4fondo"/>
        <w:tabs>
          <w:tab w:val="left" w:pos="567"/>
        </w:tabs>
        <w:spacing w:line="276" w:lineRule="auto"/>
        <w:ind w:firstLine="0"/>
        <w:rPr>
          <w:rFonts w:cs="Arial"/>
          <w:color w:val="2E74B5" w:themeColor="accent1" w:themeShade="BF"/>
          <w:sz w:val="24"/>
          <w:szCs w:val="24"/>
        </w:rPr>
      </w:pPr>
      <w:r w:rsidRPr="000B6AA3">
        <w:rPr>
          <w:rFonts w:cs="Arial"/>
          <w:b/>
          <w:color w:val="2E74B5" w:themeColor="accent1" w:themeShade="BF"/>
          <w:sz w:val="24"/>
          <w:szCs w:val="24"/>
        </w:rPr>
        <w:tab/>
      </w:r>
      <w:r w:rsidRPr="000B6AA3">
        <w:rPr>
          <w:rFonts w:cs="Arial"/>
          <w:color w:val="2E74B5" w:themeColor="accent1" w:themeShade="BF"/>
          <w:sz w:val="24"/>
          <w:szCs w:val="24"/>
        </w:rPr>
        <w:t>De conformidad con la última parte del artículo 175 de la Ley de Transparencia está Comisión de Transparencia establece los siguientes términos para el cumplimiento de la resolución.</w:t>
      </w:r>
    </w:p>
    <w:p w:rsidR="00943F4F" w:rsidRPr="000B6AA3" w:rsidRDefault="00943F4F" w:rsidP="00943F4F">
      <w:pPr>
        <w:pStyle w:val="corte4fondo"/>
        <w:tabs>
          <w:tab w:val="left" w:pos="567"/>
        </w:tabs>
        <w:spacing w:line="276" w:lineRule="auto"/>
        <w:ind w:firstLine="0"/>
        <w:rPr>
          <w:rFonts w:cs="Arial"/>
          <w:color w:val="2E74B5" w:themeColor="accent1" w:themeShade="BF"/>
          <w:sz w:val="24"/>
          <w:szCs w:val="24"/>
        </w:rPr>
      </w:pPr>
    </w:p>
    <w:p w:rsidR="00943F4F" w:rsidRPr="000B6AA3" w:rsidRDefault="00943F4F" w:rsidP="00943F4F">
      <w:pPr>
        <w:pStyle w:val="corte4fondo"/>
        <w:numPr>
          <w:ilvl w:val="0"/>
          <w:numId w:val="5"/>
        </w:numPr>
        <w:tabs>
          <w:tab w:val="left" w:pos="567"/>
        </w:tabs>
        <w:spacing w:line="276" w:lineRule="auto"/>
        <w:rPr>
          <w:rFonts w:cs="Arial"/>
          <w:color w:val="2E74B5" w:themeColor="accent1" w:themeShade="BF"/>
          <w:sz w:val="24"/>
          <w:szCs w:val="24"/>
        </w:rPr>
      </w:pPr>
      <w:r w:rsidRPr="000B6AA3">
        <w:rPr>
          <w:rFonts w:cs="Arial"/>
          <w:color w:val="2E74B5" w:themeColor="accent1" w:themeShade="BF"/>
          <w:sz w:val="24"/>
          <w:szCs w:val="24"/>
        </w:rPr>
        <w:t>En cuanto a lo ordenado, se reitera que la in</w:t>
      </w:r>
      <w:r>
        <w:rPr>
          <w:rFonts w:cs="Arial"/>
          <w:color w:val="2E74B5" w:themeColor="accent1" w:themeShade="BF"/>
          <w:sz w:val="24"/>
          <w:szCs w:val="24"/>
        </w:rPr>
        <w:t xml:space="preserve">formación debe de entregarse en </w:t>
      </w:r>
      <w:r w:rsidRPr="000B6AA3">
        <w:rPr>
          <w:rFonts w:cs="Arial"/>
          <w:color w:val="2E74B5" w:themeColor="accent1" w:themeShade="BF"/>
          <w:sz w:val="24"/>
          <w:szCs w:val="24"/>
        </w:rPr>
        <w:t>la modalidad solicitada.</w:t>
      </w:r>
    </w:p>
    <w:p w:rsidR="00943F4F" w:rsidRPr="000B6AA3" w:rsidRDefault="00943F4F" w:rsidP="00943F4F">
      <w:pPr>
        <w:pStyle w:val="corte4fondo"/>
        <w:tabs>
          <w:tab w:val="left" w:pos="567"/>
        </w:tabs>
        <w:spacing w:line="276" w:lineRule="auto"/>
        <w:ind w:left="720" w:firstLine="0"/>
        <w:rPr>
          <w:rFonts w:cs="Arial"/>
          <w:color w:val="2E74B5" w:themeColor="accent1" w:themeShade="BF"/>
          <w:sz w:val="24"/>
          <w:szCs w:val="24"/>
        </w:rPr>
      </w:pPr>
    </w:p>
    <w:p w:rsidR="00943F4F" w:rsidRPr="000B6AA3" w:rsidRDefault="00943F4F" w:rsidP="00943F4F">
      <w:pPr>
        <w:pStyle w:val="corte4fondo"/>
        <w:numPr>
          <w:ilvl w:val="0"/>
          <w:numId w:val="5"/>
        </w:numPr>
        <w:tabs>
          <w:tab w:val="left" w:pos="567"/>
        </w:tabs>
        <w:spacing w:line="276" w:lineRule="auto"/>
        <w:rPr>
          <w:rFonts w:cs="Arial"/>
          <w:color w:val="2E74B5" w:themeColor="accent1" w:themeShade="BF"/>
          <w:sz w:val="24"/>
          <w:szCs w:val="24"/>
        </w:rPr>
      </w:pPr>
      <w:r w:rsidRPr="000B6AA3">
        <w:rPr>
          <w:rFonts w:cs="Arial"/>
          <w:color w:val="2E74B5" w:themeColor="accent1" w:themeShade="BF"/>
          <w:sz w:val="24"/>
          <w:szCs w:val="24"/>
        </w:rPr>
        <w:t>El sujeto obligado deberá de cuidar en todo momento que la información que entregará no contenga datos personales o confidenciales, pues en caso de contener información con esos datos, deberá de elaborar la versión pública.</w:t>
      </w:r>
    </w:p>
    <w:p w:rsidR="00943F4F" w:rsidRPr="000B6AA3" w:rsidRDefault="00943F4F" w:rsidP="00943F4F">
      <w:pPr>
        <w:pStyle w:val="corte4fondo"/>
        <w:tabs>
          <w:tab w:val="left" w:pos="567"/>
        </w:tabs>
        <w:spacing w:line="276" w:lineRule="auto"/>
        <w:ind w:firstLine="0"/>
        <w:rPr>
          <w:rFonts w:cs="Arial"/>
          <w:color w:val="2E74B5" w:themeColor="accent1" w:themeShade="BF"/>
          <w:sz w:val="24"/>
          <w:szCs w:val="24"/>
        </w:rPr>
      </w:pPr>
    </w:p>
    <w:p w:rsidR="00943F4F" w:rsidRPr="000B6AA3" w:rsidRDefault="00943F4F" w:rsidP="00943F4F">
      <w:pPr>
        <w:pStyle w:val="NormalWeb"/>
        <w:spacing w:before="0" w:beforeAutospacing="0" w:after="0" w:afterAutospacing="0" w:line="276" w:lineRule="auto"/>
        <w:ind w:firstLine="708"/>
        <w:jc w:val="both"/>
        <w:rPr>
          <w:rFonts w:ascii="Arial" w:hAnsi="Arial" w:cs="Arial"/>
          <w:b/>
          <w:color w:val="2E74B5" w:themeColor="accent1" w:themeShade="BF"/>
        </w:rPr>
      </w:pPr>
      <w:r w:rsidRPr="000B6AA3">
        <w:rPr>
          <w:rFonts w:ascii="Arial" w:hAnsi="Arial" w:cs="Arial"/>
          <w:b/>
          <w:color w:val="2E74B5" w:themeColor="accent1" w:themeShade="BF"/>
        </w:rPr>
        <w:t>6.4. Plazo de diez días hábiles para el cumplimento de esta resolución.</w:t>
      </w:r>
    </w:p>
    <w:p w:rsidR="00943F4F" w:rsidRPr="000B6AA3" w:rsidRDefault="00943F4F" w:rsidP="00943F4F">
      <w:pPr>
        <w:pStyle w:val="NormalWeb"/>
        <w:spacing w:before="0" w:beforeAutospacing="0" w:after="0" w:afterAutospacing="0" w:line="276" w:lineRule="auto"/>
        <w:jc w:val="both"/>
        <w:rPr>
          <w:rFonts w:ascii="Arial" w:hAnsi="Arial" w:cs="Arial"/>
          <w:color w:val="2E74B5" w:themeColor="accent1" w:themeShade="BF"/>
        </w:rPr>
      </w:pPr>
    </w:p>
    <w:p w:rsidR="00943F4F" w:rsidRPr="000B6AA3" w:rsidRDefault="00943F4F" w:rsidP="00943F4F">
      <w:pPr>
        <w:pStyle w:val="NormalWeb"/>
        <w:spacing w:before="0" w:beforeAutospacing="0" w:after="0" w:afterAutospacing="0" w:line="276" w:lineRule="auto"/>
        <w:ind w:firstLine="708"/>
        <w:jc w:val="both"/>
        <w:rPr>
          <w:rFonts w:ascii="Arial" w:hAnsi="Arial" w:cs="Arial"/>
          <w:color w:val="2E74B5" w:themeColor="accent1" w:themeShade="BF"/>
        </w:rPr>
      </w:pPr>
      <w:r w:rsidRPr="000B6AA3">
        <w:rPr>
          <w:rFonts w:ascii="Arial" w:hAnsi="Arial" w:cs="Arial"/>
          <w:color w:val="2E74B5" w:themeColor="accent1" w:themeShade="BF"/>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943F4F" w:rsidRPr="000B6AA3" w:rsidRDefault="00943F4F" w:rsidP="00943F4F">
      <w:pPr>
        <w:pStyle w:val="NormalWeb"/>
        <w:spacing w:before="0" w:beforeAutospacing="0" w:after="0" w:afterAutospacing="0" w:line="276" w:lineRule="auto"/>
        <w:jc w:val="both"/>
        <w:rPr>
          <w:rFonts w:ascii="Arial" w:hAnsi="Arial" w:cs="Arial"/>
          <w:color w:val="2E74B5" w:themeColor="accent1" w:themeShade="BF"/>
        </w:rPr>
      </w:pPr>
    </w:p>
    <w:p w:rsidR="00943F4F" w:rsidRPr="000B6AA3" w:rsidRDefault="00943F4F" w:rsidP="00943F4F">
      <w:pPr>
        <w:pStyle w:val="NormalWeb"/>
        <w:spacing w:before="0" w:beforeAutospacing="0" w:after="0" w:afterAutospacing="0" w:line="276" w:lineRule="auto"/>
        <w:ind w:firstLine="708"/>
        <w:jc w:val="both"/>
        <w:rPr>
          <w:rFonts w:ascii="Arial" w:hAnsi="Arial" w:cs="Arial"/>
          <w:b/>
          <w:color w:val="2E74B5" w:themeColor="accent1" w:themeShade="BF"/>
        </w:rPr>
      </w:pPr>
      <w:r w:rsidRPr="000B6AA3">
        <w:rPr>
          <w:rFonts w:ascii="Arial" w:hAnsi="Arial" w:cs="Arial"/>
          <w:b/>
          <w:color w:val="2E74B5" w:themeColor="accent1" w:themeShade="BF"/>
        </w:rPr>
        <w:t>6.5. Informe sobre el cumplimento a la resolución dentro del plazo de tres días hábiles.</w:t>
      </w:r>
    </w:p>
    <w:p w:rsidR="00943F4F" w:rsidRPr="000B6AA3" w:rsidRDefault="00943F4F" w:rsidP="00943F4F">
      <w:pPr>
        <w:pStyle w:val="NormalWeb"/>
        <w:spacing w:before="0" w:beforeAutospacing="0" w:after="0" w:afterAutospacing="0" w:line="276" w:lineRule="auto"/>
        <w:jc w:val="both"/>
        <w:rPr>
          <w:rFonts w:ascii="Arial" w:hAnsi="Arial" w:cs="Arial"/>
          <w:b/>
          <w:color w:val="2E74B5" w:themeColor="accent1" w:themeShade="BF"/>
        </w:rPr>
      </w:pPr>
    </w:p>
    <w:p w:rsidR="00943F4F" w:rsidRPr="000B6AA3" w:rsidRDefault="00943F4F" w:rsidP="00943F4F">
      <w:pPr>
        <w:pStyle w:val="NormalWeb"/>
        <w:spacing w:before="0" w:beforeAutospacing="0" w:after="0" w:afterAutospacing="0" w:line="276" w:lineRule="auto"/>
        <w:ind w:firstLine="708"/>
        <w:jc w:val="both"/>
        <w:rPr>
          <w:rFonts w:ascii="Arial" w:hAnsi="Arial" w:cs="Arial"/>
          <w:color w:val="2E74B5" w:themeColor="accent1" w:themeShade="BF"/>
        </w:rPr>
      </w:pPr>
      <w:r w:rsidRPr="000B6AA3">
        <w:rPr>
          <w:rFonts w:ascii="Arial" w:hAnsi="Arial" w:cs="Arial"/>
          <w:color w:val="2E74B5" w:themeColor="accent1" w:themeShade="BF"/>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943F4F" w:rsidRPr="000B6AA3" w:rsidRDefault="00943F4F" w:rsidP="00943F4F">
      <w:pPr>
        <w:pStyle w:val="NormalWeb"/>
        <w:spacing w:before="0" w:beforeAutospacing="0" w:after="0" w:afterAutospacing="0" w:line="276" w:lineRule="auto"/>
        <w:ind w:firstLine="708"/>
        <w:jc w:val="both"/>
        <w:rPr>
          <w:rFonts w:ascii="Arial" w:hAnsi="Arial" w:cs="Arial"/>
          <w:color w:val="2E74B5" w:themeColor="accent1" w:themeShade="BF"/>
        </w:rPr>
      </w:pPr>
    </w:p>
    <w:p w:rsidR="00943F4F" w:rsidRPr="000B6AA3" w:rsidRDefault="00943F4F" w:rsidP="00943F4F">
      <w:pPr>
        <w:pStyle w:val="NormalWeb"/>
        <w:spacing w:before="0" w:beforeAutospacing="0" w:after="0" w:afterAutospacing="0" w:line="276" w:lineRule="auto"/>
        <w:ind w:firstLine="708"/>
        <w:jc w:val="both"/>
        <w:rPr>
          <w:rFonts w:ascii="Arial" w:hAnsi="Arial" w:cs="Arial"/>
          <w:b/>
          <w:color w:val="2E74B5" w:themeColor="accent1" w:themeShade="BF"/>
        </w:rPr>
      </w:pPr>
      <w:r w:rsidRPr="000B6AA3">
        <w:rPr>
          <w:rFonts w:ascii="Arial" w:hAnsi="Arial" w:cs="Arial"/>
          <w:b/>
          <w:color w:val="2E74B5" w:themeColor="accent1" w:themeShade="BF"/>
        </w:rPr>
        <w:t>6.6. Medida de apremio en caso de incumplimiento a la resolución.</w:t>
      </w:r>
    </w:p>
    <w:p w:rsidR="00943F4F" w:rsidRPr="000B6AA3" w:rsidRDefault="00943F4F" w:rsidP="00943F4F">
      <w:pPr>
        <w:pStyle w:val="NormalWeb"/>
        <w:spacing w:before="0" w:beforeAutospacing="0" w:after="0" w:afterAutospacing="0" w:line="276" w:lineRule="auto"/>
        <w:jc w:val="both"/>
        <w:rPr>
          <w:rFonts w:ascii="Arial" w:hAnsi="Arial" w:cs="Arial"/>
          <w:color w:val="2E74B5" w:themeColor="accent1" w:themeShade="BF"/>
        </w:rPr>
      </w:pPr>
    </w:p>
    <w:p w:rsidR="00943F4F" w:rsidRPr="000B6AA3" w:rsidRDefault="00943F4F" w:rsidP="00943F4F">
      <w:pPr>
        <w:pStyle w:val="corte4fondo"/>
        <w:tabs>
          <w:tab w:val="left" w:pos="567"/>
        </w:tabs>
        <w:spacing w:line="276" w:lineRule="auto"/>
        <w:rPr>
          <w:rFonts w:cs="Arial"/>
          <w:color w:val="2E74B5" w:themeColor="accent1" w:themeShade="BF"/>
          <w:sz w:val="24"/>
          <w:szCs w:val="24"/>
        </w:rPr>
      </w:pPr>
      <w:r w:rsidRPr="000B6AA3">
        <w:rPr>
          <w:rFonts w:cs="Arial"/>
          <w:color w:val="2E74B5" w:themeColor="accent1" w:themeShade="BF"/>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943F4F" w:rsidRPr="000B6AA3" w:rsidRDefault="00943F4F" w:rsidP="00943F4F">
      <w:pPr>
        <w:pStyle w:val="corte4fondo"/>
        <w:tabs>
          <w:tab w:val="left" w:pos="567"/>
        </w:tabs>
        <w:spacing w:line="276" w:lineRule="auto"/>
        <w:ind w:firstLine="0"/>
        <w:rPr>
          <w:rFonts w:cs="Arial"/>
          <w:color w:val="2E74B5" w:themeColor="accent1" w:themeShade="BF"/>
          <w:sz w:val="24"/>
          <w:szCs w:val="24"/>
        </w:rPr>
      </w:pPr>
    </w:p>
    <w:p w:rsidR="00943F4F" w:rsidRPr="000B6AA3" w:rsidRDefault="00943F4F" w:rsidP="00943F4F">
      <w:pPr>
        <w:pStyle w:val="corte4fondo"/>
        <w:tabs>
          <w:tab w:val="left" w:pos="567"/>
        </w:tabs>
        <w:spacing w:line="276" w:lineRule="auto"/>
        <w:rPr>
          <w:rFonts w:cs="Arial"/>
          <w:color w:val="2E74B5" w:themeColor="accent1" w:themeShade="BF"/>
          <w:sz w:val="24"/>
          <w:szCs w:val="24"/>
        </w:rPr>
      </w:pPr>
      <w:r w:rsidRPr="000B6AA3">
        <w:rPr>
          <w:rFonts w:cs="Arial"/>
          <w:color w:val="2E74B5" w:themeColor="accent1" w:themeShade="BF"/>
          <w:sz w:val="24"/>
          <w:szCs w:val="24"/>
        </w:rPr>
        <w:t>Por lo expuesto y fundado, SE RESUELVE:</w:t>
      </w:r>
    </w:p>
    <w:p w:rsidR="00943F4F" w:rsidRPr="000B6AA3" w:rsidRDefault="00943F4F" w:rsidP="00943F4F">
      <w:pPr>
        <w:pStyle w:val="corte4fondo"/>
        <w:spacing w:line="276" w:lineRule="auto"/>
        <w:rPr>
          <w:rFonts w:cs="Arial"/>
          <w:color w:val="2E74B5" w:themeColor="accent1" w:themeShade="BF"/>
          <w:sz w:val="24"/>
          <w:szCs w:val="24"/>
        </w:rPr>
      </w:pPr>
    </w:p>
    <w:p w:rsidR="00943F4F" w:rsidRPr="000B6AA3" w:rsidRDefault="00943F4F" w:rsidP="00943F4F">
      <w:pPr>
        <w:pStyle w:val="corte4fondo"/>
        <w:tabs>
          <w:tab w:val="left" w:pos="567"/>
        </w:tabs>
        <w:spacing w:line="276" w:lineRule="auto"/>
        <w:jc w:val="center"/>
        <w:rPr>
          <w:rFonts w:cs="Arial"/>
          <w:color w:val="2E74B5" w:themeColor="accent1" w:themeShade="BF"/>
          <w:sz w:val="24"/>
          <w:szCs w:val="24"/>
        </w:rPr>
      </w:pPr>
      <w:r w:rsidRPr="000B6AA3">
        <w:rPr>
          <w:rFonts w:cs="Arial"/>
          <w:b/>
          <w:color w:val="2E74B5" w:themeColor="accent1" w:themeShade="BF"/>
          <w:sz w:val="24"/>
          <w:szCs w:val="24"/>
        </w:rPr>
        <w:t>RESOLUTIVOS</w:t>
      </w:r>
      <w:r w:rsidRPr="000B6AA3">
        <w:rPr>
          <w:rFonts w:cs="Arial"/>
          <w:color w:val="2E74B5" w:themeColor="accent1" w:themeShade="BF"/>
          <w:sz w:val="24"/>
          <w:szCs w:val="24"/>
        </w:rPr>
        <w:t xml:space="preserve"> </w:t>
      </w:r>
    </w:p>
    <w:p w:rsidR="00943F4F" w:rsidRPr="000B6AA3" w:rsidRDefault="00943F4F" w:rsidP="00943F4F">
      <w:pPr>
        <w:pStyle w:val="corte4fondo"/>
        <w:tabs>
          <w:tab w:val="left" w:pos="567"/>
        </w:tabs>
        <w:spacing w:line="276" w:lineRule="auto"/>
        <w:jc w:val="center"/>
        <w:rPr>
          <w:rFonts w:cs="Arial"/>
          <w:color w:val="2E74B5" w:themeColor="accent1" w:themeShade="BF"/>
          <w:sz w:val="24"/>
          <w:szCs w:val="24"/>
        </w:rPr>
      </w:pPr>
    </w:p>
    <w:p w:rsidR="00943F4F" w:rsidRPr="000B6AA3" w:rsidRDefault="00943F4F" w:rsidP="00943F4F">
      <w:pPr>
        <w:pStyle w:val="corte4fondo"/>
        <w:spacing w:line="276" w:lineRule="auto"/>
        <w:rPr>
          <w:rFonts w:cs="Arial"/>
          <w:color w:val="2E74B5" w:themeColor="accent1" w:themeShade="BF"/>
          <w:sz w:val="24"/>
          <w:szCs w:val="24"/>
        </w:rPr>
      </w:pPr>
      <w:r w:rsidRPr="000B6AA3">
        <w:rPr>
          <w:rFonts w:cs="Arial"/>
          <w:b/>
          <w:color w:val="2E74B5" w:themeColor="accent1" w:themeShade="BF"/>
          <w:sz w:val="24"/>
          <w:szCs w:val="24"/>
        </w:rPr>
        <w:t xml:space="preserve">ÚNICO. </w:t>
      </w:r>
      <w:r w:rsidRPr="000B6AA3">
        <w:rPr>
          <w:rFonts w:cs="Arial"/>
          <w:color w:val="2E74B5" w:themeColor="accent1" w:themeShade="BF"/>
          <w:sz w:val="24"/>
          <w:szCs w:val="24"/>
        </w:rPr>
        <w:t xml:space="preserve">Esta Comisión Estatal de Garantía y Acceso a la Información Pública </w:t>
      </w:r>
      <w:r w:rsidRPr="000B6AA3">
        <w:rPr>
          <w:rFonts w:cs="Arial"/>
          <w:b/>
          <w:color w:val="2E74B5" w:themeColor="accent1" w:themeShade="BF"/>
          <w:sz w:val="24"/>
          <w:szCs w:val="24"/>
        </w:rPr>
        <w:t>modifica el acto impugnado</w:t>
      </w:r>
      <w:r w:rsidRPr="000B6AA3">
        <w:rPr>
          <w:rFonts w:cs="Arial"/>
          <w:color w:val="2E74B5" w:themeColor="accent1" w:themeShade="BF"/>
          <w:sz w:val="24"/>
          <w:szCs w:val="24"/>
        </w:rPr>
        <w:t xml:space="preserve"> por los fundamentos y las razones desarrolladas en el considerando sexto de la presente resolución.</w:t>
      </w:r>
    </w:p>
    <w:p w:rsidR="00FA2BF7" w:rsidRPr="008E0659" w:rsidRDefault="00FA2BF7" w:rsidP="00A85499">
      <w:pPr>
        <w:pStyle w:val="corte4fondo"/>
        <w:tabs>
          <w:tab w:val="left" w:pos="708"/>
          <w:tab w:val="left" w:pos="1416"/>
          <w:tab w:val="left" w:pos="2124"/>
          <w:tab w:val="left" w:pos="2832"/>
          <w:tab w:val="left" w:pos="3540"/>
          <w:tab w:val="center" w:pos="4278"/>
        </w:tabs>
        <w:spacing w:line="276" w:lineRule="auto"/>
        <w:ind w:firstLine="0"/>
        <w:rPr>
          <w:rFonts w:cs="Arial"/>
          <w:b/>
          <w:color w:val="2E74B5" w:themeColor="accent1" w:themeShade="BF"/>
          <w:sz w:val="24"/>
          <w:szCs w:val="24"/>
        </w:rPr>
      </w:pPr>
    </w:p>
    <w:p w:rsidR="00464CFF" w:rsidRPr="008E0659" w:rsidRDefault="00464CFF" w:rsidP="00943F4F">
      <w:pPr>
        <w:pStyle w:val="corte4fondo"/>
        <w:rPr>
          <w:rFonts w:cs="Arial"/>
          <w:color w:val="2E74B5" w:themeColor="accent1" w:themeShade="BF"/>
          <w:sz w:val="24"/>
          <w:szCs w:val="24"/>
        </w:rPr>
      </w:pPr>
      <w:r w:rsidRPr="008E0659">
        <w:rPr>
          <w:rFonts w:cs="Arial"/>
          <w:b/>
          <w:color w:val="2E74B5" w:themeColor="accent1" w:themeShade="BF"/>
          <w:sz w:val="24"/>
          <w:szCs w:val="24"/>
        </w:rPr>
        <w:t xml:space="preserve">Notifíquese; </w:t>
      </w:r>
      <w:r w:rsidRPr="008E0659">
        <w:rPr>
          <w:rFonts w:cs="Arial"/>
          <w:color w:val="2E74B5" w:themeColor="accent1" w:themeShade="BF"/>
          <w:sz w:val="24"/>
          <w:szCs w:val="24"/>
        </w:rPr>
        <w:t>por oficio a las autoridades</w:t>
      </w:r>
      <w:r w:rsidRPr="008E0659">
        <w:rPr>
          <w:rFonts w:cs="Arial"/>
          <w:b/>
          <w:color w:val="2E74B5" w:themeColor="accent1" w:themeShade="BF"/>
          <w:sz w:val="24"/>
          <w:szCs w:val="24"/>
        </w:rPr>
        <w:t xml:space="preserve"> </w:t>
      </w:r>
      <w:r w:rsidRPr="008E0659">
        <w:rPr>
          <w:rFonts w:cs="Arial"/>
          <w:color w:val="2E74B5" w:themeColor="accent1" w:themeShade="BF"/>
          <w:sz w:val="24"/>
          <w:szCs w:val="24"/>
        </w:rPr>
        <w:t>y a la recurrente por el medio que designó.</w:t>
      </w:r>
    </w:p>
    <w:p w:rsidR="00464CFF" w:rsidRPr="008E0659" w:rsidRDefault="00464CFF" w:rsidP="00A85499">
      <w:pPr>
        <w:pStyle w:val="corte4fondo"/>
        <w:tabs>
          <w:tab w:val="left" w:pos="567"/>
        </w:tabs>
        <w:spacing w:line="276" w:lineRule="auto"/>
        <w:rPr>
          <w:rFonts w:cs="Arial"/>
          <w:color w:val="2E74B5" w:themeColor="accent1" w:themeShade="BF"/>
          <w:sz w:val="24"/>
          <w:szCs w:val="24"/>
        </w:rPr>
      </w:pPr>
    </w:p>
    <w:p w:rsidR="00464CFF" w:rsidRPr="008E0659" w:rsidRDefault="00464CFF" w:rsidP="00A85499">
      <w:pPr>
        <w:pStyle w:val="corte4fondo"/>
        <w:tabs>
          <w:tab w:val="left" w:pos="567"/>
        </w:tabs>
        <w:spacing w:line="276" w:lineRule="auto"/>
        <w:rPr>
          <w:rFonts w:eastAsia="Arial Unicode MS" w:cs="Arial"/>
          <w:color w:val="2E74B5" w:themeColor="accent1" w:themeShade="BF"/>
          <w:sz w:val="24"/>
          <w:szCs w:val="24"/>
        </w:rPr>
      </w:pPr>
      <w:r w:rsidRPr="008E0659">
        <w:rPr>
          <w:rFonts w:cs="Arial"/>
          <w:color w:val="2E74B5" w:themeColor="accent1" w:themeShade="BF"/>
          <w:sz w:val="24"/>
          <w:szCs w:val="24"/>
        </w:rPr>
        <w:t xml:space="preserve">Así, por unanimidad de votos lo resolvió la Comisión Estatal de Garantía de Acceso a la Información Pública, integrada por los Comisionados </w:t>
      </w:r>
      <w:proofErr w:type="spellStart"/>
      <w:r w:rsidRPr="008E0659">
        <w:rPr>
          <w:rFonts w:cs="Arial"/>
          <w:color w:val="2E74B5" w:themeColor="accent1" w:themeShade="BF"/>
          <w:sz w:val="24"/>
          <w:szCs w:val="24"/>
        </w:rPr>
        <w:t>Ma</w:t>
      </w:r>
      <w:r w:rsidR="00CE254C" w:rsidRPr="008E0659">
        <w:rPr>
          <w:rFonts w:cs="Arial"/>
          <w:color w:val="2E74B5" w:themeColor="accent1" w:themeShade="BF"/>
          <w:sz w:val="24"/>
          <w:szCs w:val="24"/>
        </w:rPr>
        <w:t>riajosé</w:t>
      </w:r>
      <w:proofErr w:type="spellEnd"/>
      <w:r w:rsidR="00CE254C" w:rsidRPr="008E0659">
        <w:rPr>
          <w:rFonts w:cs="Arial"/>
          <w:color w:val="2E74B5" w:themeColor="accent1" w:themeShade="BF"/>
          <w:sz w:val="24"/>
          <w:szCs w:val="24"/>
        </w:rPr>
        <w:t xml:space="preserve"> González Zarzosa, </w:t>
      </w:r>
      <w:r w:rsidRPr="008E0659">
        <w:rPr>
          <w:rFonts w:cs="Arial"/>
          <w:color w:val="2E74B5" w:themeColor="accent1" w:themeShade="BF"/>
          <w:sz w:val="24"/>
          <w:szCs w:val="24"/>
        </w:rPr>
        <w:t xml:space="preserve">Alejandro Lafuente Torres, Paulina Sánchez Pérez del Pozo, Presidente, siendo ponente la última de los nombrados, quienes, en unión de la Licenciada Rosa María Motilla García, Secretaria de Pleno que da fe, firman esta resolución. </w:t>
      </w:r>
      <w:r w:rsidRPr="008E0659">
        <w:rPr>
          <w:rFonts w:eastAsia="Arial Unicode MS" w:cs="Arial"/>
          <w:color w:val="2E74B5" w:themeColor="accent1" w:themeShade="BF"/>
          <w:sz w:val="24"/>
          <w:szCs w:val="24"/>
        </w:rPr>
        <w:t xml:space="preserve">   </w:t>
      </w:r>
    </w:p>
    <w:p w:rsidR="00464CFF" w:rsidRPr="008E0659" w:rsidRDefault="00464CFF" w:rsidP="00A85499">
      <w:pPr>
        <w:pStyle w:val="corte4fondo"/>
        <w:tabs>
          <w:tab w:val="left" w:pos="567"/>
        </w:tabs>
        <w:spacing w:line="276" w:lineRule="auto"/>
        <w:rPr>
          <w:rFonts w:cs="Arial"/>
          <w:color w:val="2E74B5" w:themeColor="accent1" w:themeShade="BF"/>
          <w:sz w:val="24"/>
          <w:szCs w:val="24"/>
        </w:rPr>
      </w:pPr>
    </w:p>
    <w:p w:rsidR="00464CFF" w:rsidRPr="008E0659" w:rsidRDefault="00464CFF" w:rsidP="00A85499">
      <w:pPr>
        <w:spacing w:after="0"/>
        <w:ind w:left="360" w:firstLine="900"/>
        <w:jc w:val="both"/>
        <w:rPr>
          <w:rFonts w:ascii="Arial" w:eastAsia="Arial Unicode MS" w:hAnsi="Arial" w:cs="Arial"/>
          <w:b/>
          <w:color w:val="2E74B5" w:themeColor="accent1" w:themeShade="BF"/>
          <w:sz w:val="24"/>
          <w:szCs w:val="24"/>
        </w:rPr>
      </w:pPr>
    </w:p>
    <w:tbl>
      <w:tblPr>
        <w:tblW w:w="9900" w:type="dxa"/>
        <w:jc w:val="center"/>
        <w:tblLook w:val="01E0" w:firstRow="1" w:lastRow="1" w:firstColumn="1" w:lastColumn="1" w:noHBand="0" w:noVBand="0"/>
      </w:tblPr>
      <w:tblGrid>
        <w:gridCol w:w="4552"/>
        <w:gridCol w:w="154"/>
        <w:gridCol w:w="180"/>
        <w:gridCol w:w="5014"/>
      </w:tblGrid>
      <w:tr w:rsidR="00506CEC" w:rsidRPr="008E0659" w:rsidTr="00E0179D">
        <w:trPr>
          <w:trHeight w:val="2654"/>
          <w:jc w:val="center"/>
        </w:trPr>
        <w:tc>
          <w:tcPr>
            <w:tcW w:w="4706" w:type="dxa"/>
            <w:gridSpan w:val="2"/>
          </w:tcPr>
          <w:p w:rsidR="00464CFF" w:rsidRPr="008E0659" w:rsidRDefault="00464CFF" w:rsidP="00A85499">
            <w:pPr>
              <w:spacing w:after="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        COMISIONADA </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tabs>
                <w:tab w:val="left" w:pos="1358"/>
              </w:tabs>
              <w:spacing w:after="0"/>
              <w:ind w:firstLine="36"/>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MARIAJOSÉ </w:t>
            </w: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GONZÁLEZ ZARZOSA </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                   </w:t>
            </w:r>
          </w:p>
          <w:p w:rsidR="00464CFF" w:rsidRPr="008E0659" w:rsidRDefault="00464CFF" w:rsidP="00A85499">
            <w:pPr>
              <w:spacing w:after="0"/>
              <w:rPr>
                <w:rFonts w:ascii="Arial" w:eastAsia="Arial Unicode MS" w:hAnsi="Arial" w:cs="Arial"/>
                <w:b/>
                <w:color w:val="2E74B5" w:themeColor="accent1" w:themeShade="BF"/>
                <w:sz w:val="24"/>
                <w:szCs w:val="24"/>
              </w:rPr>
            </w:pPr>
          </w:p>
        </w:tc>
        <w:tc>
          <w:tcPr>
            <w:tcW w:w="5194" w:type="dxa"/>
            <w:gridSpan w:val="2"/>
          </w:tcPr>
          <w:p w:rsidR="00464CFF" w:rsidRPr="008E0659" w:rsidRDefault="00464CFF" w:rsidP="00A85499">
            <w:pPr>
              <w:spacing w:after="0"/>
              <w:ind w:left="360" w:firstLine="708"/>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              COMISIONADO </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                     MTRO. ALEJANDRO </w:t>
            </w:r>
          </w:p>
          <w:p w:rsidR="00464CFF" w:rsidRPr="008E0659" w:rsidRDefault="00464CFF" w:rsidP="00A85499">
            <w:pPr>
              <w:pStyle w:val="corte4fondo"/>
              <w:tabs>
                <w:tab w:val="left" w:pos="567"/>
              </w:tabs>
              <w:spacing w:line="276" w:lineRule="auto"/>
              <w:ind w:firstLine="0"/>
              <w:rPr>
                <w:rFonts w:cs="Arial"/>
                <w:i/>
                <w:color w:val="2E74B5" w:themeColor="accent1" w:themeShade="BF"/>
                <w:sz w:val="24"/>
                <w:szCs w:val="24"/>
              </w:rPr>
            </w:pPr>
            <w:r w:rsidRPr="008E0659">
              <w:rPr>
                <w:rFonts w:eastAsia="Arial Unicode MS" w:cs="Arial"/>
                <w:b/>
                <w:color w:val="2E74B5" w:themeColor="accent1" w:themeShade="BF"/>
                <w:sz w:val="24"/>
                <w:szCs w:val="24"/>
              </w:rPr>
              <w:t xml:space="preserve">                    LAFUENTE TORRES</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pStyle w:val="corte4fondo"/>
              <w:tabs>
                <w:tab w:val="left" w:pos="567"/>
              </w:tabs>
              <w:spacing w:line="276" w:lineRule="auto"/>
              <w:ind w:firstLine="0"/>
              <w:rPr>
                <w:rFonts w:eastAsia="Arial Unicode MS" w:cs="Arial"/>
                <w:b/>
                <w:color w:val="2E74B5" w:themeColor="accent1" w:themeShade="BF"/>
                <w:sz w:val="24"/>
                <w:szCs w:val="24"/>
              </w:rPr>
            </w:pPr>
          </w:p>
        </w:tc>
      </w:tr>
      <w:tr w:rsidR="00506CEC" w:rsidRPr="008E0659" w:rsidTr="00E0179D">
        <w:trPr>
          <w:trHeight w:val="2085"/>
          <w:jc w:val="center"/>
        </w:trPr>
        <w:tc>
          <w:tcPr>
            <w:tcW w:w="4552" w:type="dxa"/>
          </w:tcPr>
          <w:p w:rsidR="00464CFF" w:rsidRPr="008E0659" w:rsidRDefault="00464CFF" w:rsidP="00A85499">
            <w:pPr>
              <w:spacing w:after="0"/>
              <w:ind w:left="360" w:hanging="36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COMISIONADA PRESIDENTE</w:t>
            </w:r>
          </w:p>
          <w:p w:rsidR="00464CFF" w:rsidRPr="008E0659" w:rsidRDefault="00464CFF" w:rsidP="00A85499">
            <w:pPr>
              <w:spacing w:after="0"/>
              <w:ind w:left="360"/>
              <w:rPr>
                <w:rFonts w:ascii="Arial" w:eastAsia="Arial Unicode MS" w:hAnsi="Arial" w:cs="Arial"/>
                <w:b/>
                <w:color w:val="2E74B5" w:themeColor="accent1" w:themeShade="BF"/>
                <w:sz w:val="24"/>
                <w:szCs w:val="24"/>
              </w:rPr>
            </w:pPr>
          </w:p>
          <w:p w:rsidR="00464CFF" w:rsidRPr="008E0659" w:rsidRDefault="00464CFF" w:rsidP="00A85499">
            <w:pPr>
              <w:spacing w:after="0"/>
              <w:ind w:left="360"/>
              <w:rPr>
                <w:rFonts w:ascii="Arial" w:eastAsia="Arial Unicode MS" w:hAnsi="Arial" w:cs="Arial"/>
                <w:b/>
                <w:color w:val="2E74B5" w:themeColor="accent1" w:themeShade="BF"/>
                <w:sz w:val="24"/>
                <w:szCs w:val="24"/>
              </w:rPr>
            </w:pPr>
          </w:p>
          <w:p w:rsidR="00464CFF" w:rsidRPr="008E0659" w:rsidRDefault="00464CFF" w:rsidP="00A85499">
            <w:pPr>
              <w:spacing w:after="0"/>
              <w:ind w:left="360"/>
              <w:rPr>
                <w:rFonts w:ascii="Arial" w:eastAsia="Arial Unicode MS" w:hAnsi="Arial" w:cs="Arial"/>
                <w:b/>
                <w:color w:val="2E74B5" w:themeColor="accent1" w:themeShade="BF"/>
                <w:sz w:val="24"/>
                <w:szCs w:val="24"/>
              </w:rPr>
            </w:pPr>
          </w:p>
          <w:p w:rsidR="00464CFF" w:rsidRPr="008E0659" w:rsidRDefault="00464CFF" w:rsidP="00A85499">
            <w:pPr>
              <w:spacing w:after="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LIC. PAULINA SÁNCHEZ </w:t>
            </w:r>
          </w:p>
          <w:p w:rsidR="00464CFF" w:rsidRPr="008E0659" w:rsidRDefault="00464CFF" w:rsidP="00A85499">
            <w:pPr>
              <w:spacing w:after="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PÉREZ DEL POZO</w:t>
            </w: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tc>
        <w:tc>
          <w:tcPr>
            <w:tcW w:w="334" w:type="dxa"/>
            <w:gridSpan w:val="2"/>
          </w:tcPr>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tc>
        <w:tc>
          <w:tcPr>
            <w:tcW w:w="5014" w:type="dxa"/>
          </w:tcPr>
          <w:p w:rsidR="00464CFF" w:rsidRPr="008E0659" w:rsidRDefault="00464CFF" w:rsidP="00A85499">
            <w:pPr>
              <w:spacing w:after="0"/>
              <w:ind w:left="360" w:firstLine="708"/>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SECRETARIA DE PLENO</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hanging="36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LIC. ROSA MARÍA MOTILLA GARCÍA </w:t>
            </w:r>
          </w:p>
        </w:tc>
      </w:tr>
    </w:tbl>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r w:rsidRPr="007E46AF">
        <w:rPr>
          <w:rFonts w:cs="Arial"/>
          <w:color w:val="2E74B5" w:themeColor="accent1" w:themeShade="BF"/>
          <w:sz w:val="14"/>
          <w:szCs w:val="14"/>
        </w:rPr>
        <w:t>*</w:t>
      </w:r>
      <w:r w:rsidR="00CE254C" w:rsidRPr="007E46AF">
        <w:rPr>
          <w:rFonts w:cs="Arial"/>
          <w:color w:val="2E74B5" w:themeColor="accent1" w:themeShade="BF"/>
          <w:sz w:val="14"/>
          <w:szCs w:val="14"/>
        </w:rPr>
        <w:t xml:space="preserve">ESTAS FIRMAS PERTENECEN A LA RESOLUCIÓN DE LA REVISIÓN </w:t>
      </w:r>
      <w:r w:rsidR="00943F4F">
        <w:rPr>
          <w:rFonts w:cs="Arial"/>
          <w:color w:val="2E74B5" w:themeColor="accent1" w:themeShade="BF"/>
          <w:sz w:val="14"/>
          <w:szCs w:val="14"/>
        </w:rPr>
        <w:t>2329</w:t>
      </w:r>
      <w:r w:rsidR="00CE254C" w:rsidRPr="007E46AF">
        <w:rPr>
          <w:rFonts w:cs="Arial"/>
          <w:color w:val="2E74B5" w:themeColor="accent1" w:themeShade="BF"/>
          <w:sz w:val="14"/>
          <w:szCs w:val="14"/>
        </w:rPr>
        <w:t xml:space="preserve">/2019-2 QUE FUE INTERPUESTO </w:t>
      </w:r>
      <w:r w:rsidR="00506CEC" w:rsidRPr="007E46AF">
        <w:rPr>
          <w:rFonts w:cs="Arial"/>
          <w:color w:val="2E74B5" w:themeColor="accent1" w:themeShade="BF"/>
          <w:sz w:val="14"/>
          <w:szCs w:val="14"/>
        </w:rPr>
        <w:t>CONTRA EL</w:t>
      </w:r>
      <w:r w:rsidR="00CE254C" w:rsidRPr="007E46AF">
        <w:rPr>
          <w:rFonts w:cs="Arial"/>
          <w:color w:val="2E74B5" w:themeColor="accent1" w:themeShade="BF"/>
          <w:sz w:val="14"/>
          <w:szCs w:val="14"/>
        </w:rPr>
        <w:t xml:space="preserve"> MUNICIPIO DE </w:t>
      </w:r>
      <w:r w:rsidR="00506CEC" w:rsidRPr="007E46AF">
        <w:rPr>
          <w:rFonts w:cs="Arial"/>
          <w:color w:val="2E74B5" w:themeColor="accent1" w:themeShade="BF"/>
          <w:sz w:val="14"/>
          <w:szCs w:val="14"/>
        </w:rPr>
        <w:t xml:space="preserve">SOLEDAD DE GRACIANO SÁNCHEZ </w:t>
      </w:r>
      <w:r w:rsidR="00CE254C" w:rsidRPr="007E46AF">
        <w:rPr>
          <w:rFonts w:cs="Arial"/>
          <w:color w:val="2E74B5" w:themeColor="accent1" w:themeShade="BF"/>
          <w:sz w:val="14"/>
          <w:szCs w:val="14"/>
        </w:rPr>
        <w:t xml:space="preserve">Y QUE FUE APROBADA EN LA SESIÓN </w:t>
      </w:r>
      <w:r w:rsidR="00943F4F">
        <w:rPr>
          <w:rFonts w:cs="Arial"/>
          <w:color w:val="2E74B5" w:themeColor="accent1" w:themeShade="BF"/>
          <w:sz w:val="14"/>
          <w:szCs w:val="14"/>
        </w:rPr>
        <w:t>EXTRA</w:t>
      </w:r>
      <w:r w:rsidR="00CE254C" w:rsidRPr="007E46AF">
        <w:rPr>
          <w:rFonts w:cs="Arial"/>
          <w:color w:val="2E74B5" w:themeColor="accent1" w:themeShade="BF"/>
          <w:sz w:val="14"/>
          <w:szCs w:val="14"/>
        </w:rPr>
        <w:t xml:space="preserve">ORDINARIA DEL </w:t>
      </w:r>
      <w:r w:rsidR="00943F4F">
        <w:rPr>
          <w:rFonts w:cs="Arial"/>
          <w:color w:val="2E74B5" w:themeColor="accent1" w:themeShade="BF"/>
          <w:sz w:val="14"/>
          <w:szCs w:val="14"/>
        </w:rPr>
        <w:t xml:space="preserve">19 DIECINUEVE </w:t>
      </w:r>
      <w:r w:rsidR="00A85499">
        <w:rPr>
          <w:rFonts w:cs="Arial"/>
          <w:color w:val="2E74B5" w:themeColor="accent1" w:themeShade="BF"/>
          <w:sz w:val="14"/>
          <w:szCs w:val="14"/>
        </w:rPr>
        <w:t>DE FEBRERO</w:t>
      </w:r>
      <w:r w:rsidR="00506CEC" w:rsidRPr="007E46AF">
        <w:rPr>
          <w:rFonts w:cs="Arial"/>
          <w:color w:val="2E74B5" w:themeColor="accent1" w:themeShade="BF"/>
          <w:sz w:val="14"/>
          <w:szCs w:val="14"/>
        </w:rPr>
        <w:t xml:space="preserve"> DE 2020 DOS MIL VEINTE</w:t>
      </w:r>
      <w:r w:rsidR="00CE254C" w:rsidRPr="008E0659">
        <w:rPr>
          <w:rFonts w:cs="Arial"/>
          <w:color w:val="2E74B5" w:themeColor="accent1" w:themeShade="BF"/>
          <w:sz w:val="14"/>
          <w:szCs w:val="14"/>
        </w:rPr>
        <w:t>.</w:t>
      </w:r>
    </w:p>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p>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p>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p>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p>
    <w:p w:rsidR="00464CFF" w:rsidRPr="008E0659" w:rsidRDefault="00943F4F" w:rsidP="00A85499">
      <w:pPr>
        <w:pStyle w:val="corte4fondo"/>
        <w:tabs>
          <w:tab w:val="left" w:pos="567"/>
        </w:tabs>
        <w:spacing w:line="276" w:lineRule="auto"/>
        <w:ind w:firstLine="0"/>
        <w:rPr>
          <w:rFonts w:cs="Arial"/>
          <w:color w:val="2E74B5" w:themeColor="accent1" w:themeShade="BF"/>
          <w:sz w:val="14"/>
          <w:szCs w:val="14"/>
        </w:rPr>
      </w:pPr>
      <w:r>
        <w:rPr>
          <w:rFonts w:cs="Arial"/>
          <w:i/>
          <w:color w:val="2E74B5" w:themeColor="accent1" w:themeShade="BF"/>
          <w:sz w:val="14"/>
          <w:szCs w:val="14"/>
        </w:rPr>
        <w:t>MSR/L´</w:t>
      </w:r>
      <w:r w:rsidR="00464CFF" w:rsidRPr="008E0659">
        <w:rPr>
          <w:rFonts w:cs="Arial"/>
          <w:i/>
          <w:color w:val="2E74B5" w:themeColor="accent1" w:themeShade="BF"/>
          <w:sz w:val="14"/>
          <w:szCs w:val="14"/>
        </w:rPr>
        <w:t xml:space="preserve">MEMH </w:t>
      </w:r>
    </w:p>
    <w:p w:rsidR="00464CFF" w:rsidRPr="008E0659" w:rsidRDefault="00464CFF" w:rsidP="00A85499">
      <w:pPr>
        <w:spacing w:after="0"/>
        <w:rPr>
          <w:rFonts w:ascii="Arial" w:hAnsi="Arial" w:cs="Arial"/>
          <w:color w:val="2E74B5" w:themeColor="accent1" w:themeShade="BF"/>
          <w:sz w:val="24"/>
          <w:szCs w:val="24"/>
        </w:rPr>
      </w:pPr>
    </w:p>
    <w:sectPr w:rsidR="00464CFF" w:rsidRPr="008E0659" w:rsidSect="000057A7">
      <w:headerReference w:type="default" r:id="rId14"/>
      <w:pgSz w:w="12242" w:h="20163" w:code="5"/>
      <w:pgMar w:top="2835" w:right="851" w:bottom="2268"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570C" w:rsidRDefault="007F570C" w:rsidP="00464CFF">
      <w:pPr>
        <w:spacing w:after="0" w:line="240" w:lineRule="auto"/>
      </w:pPr>
      <w:r>
        <w:separator/>
      </w:r>
    </w:p>
  </w:endnote>
  <w:endnote w:type="continuationSeparator" w:id="0">
    <w:p w:rsidR="007F570C" w:rsidRDefault="007F570C" w:rsidP="00464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570C" w:rsidRDefault="007F570C" w:rsidP="00464CFF">
      <w:pPr>
        <w:spacing w:after="0" w:line="240" w:lineRule="auto"/>
      </w:pPr>
      <w:r>
        <w:separator/>
      </w:r>
    </w:p>
  </w:footnote>
  <w:footnote w:type="continuationSeparator" w:id="0">
    <w:p w:rsidR="007F570C" w:rsidRDefault="007F570C" w:rsidP="00464CFF">
      <w:pPr>
        <w:spacing w:after="0" w:line="240" w:lineRule="auto"/>
      </w:pPr>
      <w:r>
        <w:continuationSeparator/>
      </w:r>
    </w:p>
  </w:footnote>
  <w:footnote w:id="1">
    <w:p w:rsidR="00464CFF" w:rsidRPr="00357B42" w:rsidRDefault="00464CFF" w:rsidP="00464CFF">
      <w:pPr>
        <w:pStyle w:val="Textonotapie"/>
        <w:jc w:val="both"/>
        <w:rPr>
          <w:rFonts w:ascii="Arial" w:hAnsi="Arial" w:cs="Arial"/>
          <w:sz w:val="16"/>
          <w:szCs w:val="16"/>
        </w:rPr>
      </w:pPr>
      <w:r w:rsidRPr="00357B42">
        <w:rPr>
          <w:rStyle w:val="Refdenotaalpie"/>
          <w:rFonts w:ascii="Arial" w:hAnsi="Arial" w:cs="Arial"/>
          <w:color w:val="2E74B5" w:themeColor="accent1" w:themeShade="BF"/>
          <w:sz w:val="16"/>
          <w:szCs w:val="16"/>
        </w:rPr>
        <w:footnoteRef/>
      </w:r>
      <w:r w:rsidR="003A505C">
        <w:rPr>
          <w:rFonts w:ascii="Arial" w:hAnsi="Arial" w:cs="Arial"/>
          <w:color w:val="2E74B5" w:themeColor="accent1" w:themeShade="BF"/>
          <w:sz w:val="16"/>
          <w:szCs w:val="16"/>
        </w:rPr>
        <w:t xml:space="preserve"> Visible en la foja 2</w:t>
      </w:r>
      <w:r w:rsidRPr="00357B42">
        <w:rPr>
          <w:rFonts w:ascii="Arial" w:hAnsi="Arial" w:cs="Arial"/>
          <w:color w:val="2E74B5" w:themeColor="accent1" w:themeShade="BF"/>
          <w:sz w:val="16"/>
          <w:szCs w:val="16"/>
        </w:rPr>
        <w:t xml:space="preserve"> de autos. </w:t>
      </w:r>
    </w:p>
  </w:footnote>
  <w:footnote w:id="2">
    <w:p w:rsidR="00464CFF" w:rsidRPr="00357B42" w:rsidRDefault="00464CFF" w:rsidP="00464CFF">
      <w:pPr>
        <w:pStyle w:val="Textonotapie"/>
      </w:pPr>
      <w:r w:rsidRPr="00357B42">
        <w:rPr>
          <w:rStyle w:val="Refdenotaalpie"/>
          <w:color w:val="2E74B5" w:themeColor="accent1" w:themeShade="BF"/>
        </w:rPr>
        <w:footnoteRef/>
      </w:r>
      <w:r w:rsidRPr="00357B42">
        <w:rPr>
          <w:color w:val="2E74B5" w:themeColor="accent1" w:themeShade="BF"/>
        </w:rPr>
        <w:t xml:space="preserve"> </w:t>
      </w:r>
      <w:r w:rsidRPr="00357B42">
        <w:rPr>
          <w:rFonts w:ascii="Arial" w:hAnsi="Arial" w:cs="Arial"/>
          <w:color w:val="2E74B5" w:themeColor="accent1" w:themeShade="BF"/>
          <w:sz w:val="16"/>
          <w:szCs w:val="16"/>
        </w:rPr>
        <w:t xml:space="preserve">Visible a fojas 4 y 6 de autos. </w:t>
      </w:r>
    </w:p>
  </w:footnote>
  <w:footnote w:id="3">
    <w:p w:rsidR="00797537" w:rsidRPr="00492664" w:rsidRDefault="00797537" w:rsidP="00797537">
      <w:pPr>
        <w:pStyle w:val="Textonotapie"/>
        <w:spacing w:line="240" w:lineRule="auto"/>
        <w:jc w:val="both"/>
        <w:rPr>
          <w:rFonts w:ascii="Arial" w:hAnsi="Arial" w:cs="Arial"/>
          <w:sz w:val="18"/>
          <w:szCs w:val="18"/>
          <w:lang w:val="es-ES"/>
        </w:rPr>
      </w:pPr>
      <w:r w:rsidRPr="00357B42">
        <w:rPr>
          <w:rStyle w:val="Refdenotaalpie"/>
          <w:rFonts w:ascii="Arial" w:hAnsi="Arial" w:cs="Arial"/>
          <w:color w:val="2E74B5" w:themeColor="accent1" w:themeShade="BF"/>
          <w:sz w:val="18"/>
          <w:szCs w:val="18"/>
        </w:rPr>
        <w:footnoteRef/>
      </w:r>
      <w:r w:rsidRPr="00357B42">
        <w:rPr>
          <w:rFonts w:ascii="Arial" w:hAnsi="Arial" w:cs="Arial"/>
          <w:color w:val="2E74B5" w:themeColor="accent1" w:themeShade="BF"/>
          <w:sz w:val="18"/>
          <w:szCs w:val="18"/>
        </w:rPr>
        <w:t xml:space="preserve"> ARTÍCULO 170. La CEGAIP resolverá el recurso de revisión en un plazo que no podrá exceder de treinta días, contados a partir de la admisión del mismo, en los términos que establezca la ley respectiva, plazo que podrá ampliarse por una sola vez y hasta por un periodo de veinte días.</w:t>
      </w:r>
    </w:p>
  </w:footnote>
  <w:footnote w:id="4">
    <w:p w:rsidR="00943F4F" w:rsidRPr="000B6AA3" w:rsidRDefault="00943F4F" w:rsidP="00943F4F">
      <w:pPr>
        <w:pStyle w:val="Textonotapie"/>
        <w:jc w:val="both"/>
        <w:rPr>
          <w:rFonts w:ascii="Arial" w:hAnsi="Arial" w:cs="Arial"/>
          <w:color w:val="2E74B5" w:themeColor="accent1" w:themeShade="BF"/>
          <w:sz w:val="14"/>
          <w:szCs w:val="14"/>
        </w:rPr>
      </w:pPr>
      <w:r w:rsidRPr="000B6AA3">
        <w:rPr>
          <w:rStyle w:val="Refdenotaalpie"/>
          <w:rFonts w:ascii="Arial" w:hAnsi="Arial" w:cs="Arial"/>
          <w:color w:val="2E74B5" w:themeColor="accent1" w:themeShade="BF"/>
          <w:sz w:val="14"/>
          <w:szCs w:val="14"/>
        </w:rPr>
        <w:footnoteRef/>
      </w:r>
      <w:r w:rsidRPr="000B6AA3">
        <w:rPr>
          <w:rFonts w:ascii="Arial" w:hAnsi="Arial" w:cs="Arial"/>
          <w:b/>
          <w:bCs/>
          <w:color w:val="2E74B5" w:themeColor="accent1" w:themeShade="BF"/>
          <w:sz w:val="14"/>
          <w:szCs w:val="14"/>
        </w:rPr>
        <w:t xml:space="preserve">ARTÍCULO 1°. </w:t>
      </w:r>
      <w:r w:rsidRPr="000B6AA3">
        <w:rPr>
          <w:rFonts w:ascii="Arial" w:hAnsi="Arial" w:cs="Arial"/>
          <w:color w:val="2E74B5" w:themeColor="accent1" w:themeShade="BF"/>
          <w:sz w:val="14"/>
          <w:szCs w:val="14"/>
        </w:rPr>
        <w:t>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Información Pública.</w:t>
      </w:r>
    </w:p>
    <w:p w:rsidR="00943F4F" w:rsidRPr="000B6AA3" w:rsidRDefault="00943F4F" w:rsidP="00943F4F">
      <w:pPr>
        <w:pStyle w:val="Textonotapie"/>
        <w:jc w:val="both"/>
        <w:rPr>
          <w:rFonts w:ascii="Arial" w:hAnsi="Arial" w:cs="Arial"/>
          <w:color w:val="2E74B5" w:themeColor="accent1" w:themeShade="BF"/>
          <w:sz w:val="14"/>
          <w:szCs w:val="14"/>
        </w:rPr>
      </w:pPr>
      <w:r w:rsidRPr="000B6AA3">
        <w:rPr>
          <w:rFonts w:ascii="Arial" w:hAnsi="Arial" w:cs="Arial"/>
          <w:color w:val="2E74B5" w:themeColor="accent1" w:themeShade="BF"/>
          <w:sz w:val="14"/>
          <w:szCs w:val="14"/>
        </w:rPr>
        <w:t xml:space="preserve">Tiene por objeto transparentar el ejercicio de la función pública y establecer los principios, bases generales y procedimientos para garantizar a toda persona el derecho humano de acceso a la información en posesión de cualquier autoridad, entidad, órgano y organismo de los poderes, Legislativo; Ejecutivo; y Judicial; organismos autónomos; partidos políticos; fideicomisos y fondos públicos; así como de cualquier persona física, moral o sindicato que reciba y ejerza recursos públicos o realice actos de autoridad en el ámbito estatal y municipal.  </w:t>
      </w:r>
    </w:p>
    <w:p w:rsidR="00943F4F" w:rsidRPr="000B6AA3" w:rsidRDefault="00943F4F" w:rsidP="00943F4F">
      <w:pPr>
        <w:pStyle w:val="Textonotapie"/>
        <w:jc w:val="both"/>
        <w:rPr>
          <w:rFonts w:ascii="Arial" w:hAnsi="Arial" w:cs="Arial"/>
          <w:color w:val="2E74B5" w:themeColor="accent1" w:themeShade="BF"/>
          <w:sz w:val="14"/>
          <w:szCs w:val="14"/>
        </w:rPr>
      </w:pPr>
      <w:r w:rsidRPr="000B6AA3">
        <w:rPr>
          <w:rFonts w:ascii="Arial" w:hAnsi="Arial" w:cs="Arial"/>
          <w:color w:val="2E74B5" w:themeColor="accent1" w:themeShade="BF"/>
          <w:sz w:val="14"/>
          <w:szCs w:val="14"/>
        </w:rPr>
        <w:t>La Ley General de Transparencia y Acceso a la Información Pública, los lineamientos que determine el Sistema Nacional de Transparencia, la Constitución Política del Estado de San Luis Potosí, la Ley de Responsabilidades Administrativas para el Estado de San Luis Potosí, el Código Procesal Administrativo para el Estado de San Luis Potosí, y demás disposiciones relacionadas con el derecho de acceso a la información y la protección de datos personales, se aplicarán de manera supletoria en lo no previsto por esta Ley.</w:t>
      </w:r>
    </w:p>
  </w:footnote>
  <w:footnote w:id="5">
    <w:p w:rsidR="00943F4F" w:rsidRPr="008878E8" w:rsidRDefault="00943F4F" w:rsidP="00943F4F">
      <w:pPr>
        <w:pStyle w:val="Default"/>
        <w:jc w:val="both"/>
        <w:rPr>
          <w:color w:val="2E74B5" w:themeColor="accent1" w:themeShade="BF"/>
          <w:sz w:val="14"/>
          <w:szCs w:val="14"/>
        </w:rPr>
      </w:pPr>
      <w:r w:rsidRPr="008878E8">
        <w:rPr>
          <w:rStyle w:val="Refdenotaalpie"/>
          <w:color w:val="2E74B5" w:themeColor="accent1" w:themeShade="BF"/>
          <w:sz w:val="14"/>
          <w:szCs w:val="14"/>
        </w:rPr>
        <w:footnoteRef/>
      </w:r>
      <w:r w:rsidRPr="008878E8">
        <w:rPr>
          <w:color w:val="2E74B5" w:themeColor="accent1" w:themeShade="BF"/>
          <w:sz w:val="14"/>
          <w:szCs w:val="14"/>
        </w:rPr>
        <w:t xml:space="preserve"> </w:t>
      </w:r>
      <w:r w:rsidRPr="008878E8">
        <w:rPr>
          <w:b/>
          <w:bCs/>
          <w:color w:val="2E74B5" w:themeColor="accent1" w:themeShade="BF"/>
          <w:sz w:val="14"/>
          <w:szCs w:val="14"/>
        </w:rPr>
        <w:t xml:space="preserve">ARTÍCULO 60. </w:t>
      </w:r>
      <w:r w:rsidRPr="008878E8">
        <w:rPr>
          <w:color w:val="2E74B5" w:themeColor="accent1" w:themeShade="BF"/>
          <w:sz w:val="14"/>
          <w:szCs w:val="14"/>
        </w:rPr>
        <w:t xml:space="preserve">En la formulación, producción, procesamiento, administración, archivo y resguardo de la información, debe atenderse al principio de la máxima publicidad, con el objeto de facilitar el acceso de cualquier persona a su conocimiento. </w:t>
      </w:r>
    </w:p>
    <w:p w:rsidR="00943F4F" w:rsidRPr="008878E8" w:rsidRDefault="00943F4F" w:rsidP="00943F4F">
      <w:pPr>
        <w:pStyle w:val="Default"/>
        <w:jc w:val="both"/>
        <w:rPr>
          <w:color w:val="2E74B5" w:themeColor="accent1" w:themeShade="BF"/>
          <w:sz w:val="14"/>
          <w:szCs w:val="14"/>
        </w:rPr>
      </w:pPr>
      <w:r w:rsidRPr="008878E8">
        <w:rPr>
          <w:color w:val="2E74B5" w:themeColor="accent1" w:themeShade="BF"/>
          <w:sz w:val="14"/>
          <w:szCs w:val="14"/>
        </w:rPr>
        <w:t xml:space="preserve">La obligación de entregarla no implica el procesamiento, ni la adecuación de la información al interés del solicitante, salvo la producción de versiones públicas del documento; </w:t>
      </w:r>
    </w:p>
    <w:p w:rsidR="00943F4F" w:rsidRPr="008878E8" w:rsidRDefault="00943F4F" w:rsidP="00943F4F">
      <w:pPr>
        <w:pStyle w:val="Textonotapie"/>
        <w:spacing w:line="240" w:lineRule="auto"/>
        <w:jc w:val="both"/>
        <w:rPr>
          <w:color w:val="2E74B5" w:themeColor="accent1" w:themeShade="BF"/>
          <w:sz w:val="14"/>
          <w:szCs w:val="14"/>
        </w:rPr>
      </w:pPr>
      <w:r w:rsidRPr="008878E8">
        <w:rPr>
          <w:color w:val="2E74B5" w:themeColor="accent1" w:themeShade="BF"/>
          <w:sz w:val="14"/>
          <w:szCs w:val="14"/>
        </w:rPr>
        <w:t>El tratamiento de documentación histórica deberá hacerse en términos establecidos en el artículo 50 de esta Ley.</w:t>
      </w:r>
    </w:p>
  </w:footnote>
  <w:footnote w:id="6">
    <w:p w:rsidR="00943F4F" w:rsidRPr="008878E8" w:rsidRDefault="00943F4F" w:rsidP="00943F4F">
      <w:pPr>
        <w:pStyle w:val="Default"/>
        <w:jc w:val="both"/>
        <w:rPr>
          <w:color w:val="2E74B5" w:themeColor="accent1" w:themeShade="BF"/>
          <w:sz w:val="14"/>
          <w:szCs w:val="14"/>
        </w:rPr>
      </w:pPr>
      <w:r w:rsidRPr="008878E8">
        <w:rPr>
          <w:rStyle w:val="Refdenotaalpie"/>
          <w:color w:val="2E74B5" w:themeColor="accent1" w:themeShade="BF"/>
          <w:sz w:val="14"/>
          <w:szCs w:val="14"/>
        </w:rPr>
        <w:footnoteRef/>
      </w:r>
      <w:r w:rsidRPr="008878E8">
        <w:rPr>
          <w:color w:val="2E74B5" w:themeColor="accent1" w:themeShade="BF"/>
          <w:sz w:val="14"/>
          <w:szCs w:val="14"/>
        </w:rPr>
        <w:t xml:space="preserve"> </w:t>
      </w:r>
      <w:r w:rsidRPr="008878E8">
        <w:rPr>
          <w:b/>
          <w:bCs/>
          <w:color w:val="2E74B5" w:themeColor="accent1" w:themeShade="BF"/>
          <w:sz w:val="14"/>
          <w:szCs w:val="14"/>
        </w:rPr>
        <w:t xml:space="preserve">ARTÍCULO 61. </w:t>
      </w:r>
      <w:r w:rsidRPr="008878E8">
        <w:rPr>
          <w:color w:val="2E74B5" w:themeColor="accent1" w:themeShade="BF"/>
          <w:sz w:val="14"/>
          <w:szCs w:val="14"/>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rsidR="00943F4F" w:rsidRPr="008878E8" w:rsidRDefault="00943F4F" w:rsidP="00943F4F">
      <w:pPr>
        <w:pStyle w:val="Textonotapie"/>
        <w:spacing w:line="240" w:lineRule="auto"/>
        <w:jc w:val="both"/>
        <w:rPr>
          <w:color w:val="2E74B5" w:themeColor="accent1" w:themeShade="BF"/>
          <w:sz w:val="14"/>
          <w:szCs w:val="14"/>
        </w:rPr>
      </w:pPr>
      <w:r w:rsidRPr="008878E8">
        <w:rPr>
          <w:color w:val="2E74B5" w:themeColor="accent1" w:themeShade="BF"/>
          <w:sz w:val="14"/>
          <w:szCs w:val="14"/>
        </w:rPr>
        <w:t>La obligación de los sujetos obligados de proporcionar información no comprende el procesamiento de la misma, ni el presentarla conforme al interés del solicitante.</w:t>
      </w:r>
    </w:p>
  </w:footnote>
  <w:footnote w:id="7">
    <w:p w:rsidR="00943F4F" w:rsidRPr="008878E8" w:rsidRDefault="00943F4F" w:rsidP="00943F4F">
      <w:pPr>
        <w:pStyle w:val="Default"/>
        <w:jc w:val="both"/>
        <w:rPr>
          <w:color w:val="2E74B5" w:themeColor="accent1" w:themeShade="BF"/>
          <w:sz w:val="14"/>
          <w:szCs w:val="14"/>
        </w:rPr>
      </w:pPr>
      <w:r w:rsidRPr="008878E8">
        <w:rPr>
          <w:rStyle w:val="Refdenotaalpie"/>
          <w:color w:val="2E74B5" w:themeColor="accent1" w:themeShade="BF"/>
          <w:sz w:val="14"/>
          <w:szCs w:val="14"/>
        </w:rPr>
        <w:footnoteRef/>
      </w:r>
      <w:r w:rsidRPr="008878E8">
        <w:rPr>
          <w:color w:val="2E74B5" w:themeColor="accent1" w:themeShade="BF"/>
          <w:sz w:val="14"/>
          <w:szCs w:val="14"/>
        </w:rPr>
        <w:t xml:space="preserve"> </w:t>
      </w:r>
      <w:r w:rsidRPr="008878E8">
        <w:rPr>
          <w:b/>
          <w:bCs/>
          <w:color w:val="2E74B5" w:themeColor="accent1" w:themeShade="BF"/>
          <w:sz w:val="14"/>
          <w:szCs w:val="14"/>
        </w:rPr>
        <w:t xml:space="preserve">ARTÍCULO 62. </w:t>
      </w:r>
      <w:r w:rsidRPr="008878E8">
        <w:rPr>
          <w:color w:val="2E74B5" w:themeColor="accent1" w:themeShade="BF"/>
          <w:sz w:val="14"/>
          <w:szCs w:val="14"/>
        </w:rPr>
        <w:t xml:space="preserve">Los sujetos obligados deberán atender al principio de máxima publicidad, permitiendo que la información pública se difunda en medios electrónicos que facilite su reproducción directa por el interesado o solicitante. En los demás casos, respetando el principio de gratuidad, los sujetos obligados observarán las cuotas que se fijen en sus respectivas Leyes de Ingresos por su reproducción. </w:t>
      </w:r>
    </w:p>
    <w:p w:rsidR="00943F4F" w:rsidRDefault="00943F4F" w:rsidP="00943F4F">
      <w:pPr>
        <w:pStyle w:val="Textonotapie"/>
        <w:spacing w:line="240" w:lineRule="auto"/>
        <w:jc w:val="both"/>
      </w:pPr>
      <w:r w:rsidRPr="008878E8">
        <w:rPr>
          <w:color w:val="2E74B5" w:themeColor="accent1" w:themeShade="BF"/>
          <w:sz w:val="14"/>
          <w:szCs w:val="14"/>
        </w:rPr>
        <w:t>Los sujetos obligados que por su naturaleza jurídica no cuenten con Ley de Ingresos, deberá remitirse a la Ley de Ingresos del Estado o Municipios, según corresponda.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D8B" w:rsidRDefault="00C93856" w:rsidP="000E7C87">
    <w:pPr>
      <w:pStyle w:val="Encabezado"/>
      <w:tabs>
        <w:tab w:val="left" w:pos="3969"/>
      </w:tabs>
      <w:jc w:val="right"/>
      <w:rPr>
        <w:rFonts w:ascii="Arial" w:hAnsi="Arial" w:cs="Arial"/>
      </w:rPr>
    </w:pPr>
    <w:r w:rsidRPr="00F23CCE">
      <w:rPr>
        <w:rFonts w:ascii="Arial" w:hAnsi="Arial" w:cs="Arial"/>
      </w:rPr>
      <w:t xml:space="preserve">                        </w:t>
    </w:r>
    <w:r>
      <w:rPr>
        <w:rFonts w:ascii="Arial" w:hAnsi="Arial" w:cs="Arial"/>
      </w:rPr>
      <w:t xml:space="preserve">                           </w:t>
    </w:r>
  </w:p>
  <w:p w:rsidR="002D4D06" w:rsidRPr="007A3D2F" w:rsidRDefault="00C93856" w:rsidP="000E7C87">
    <w:pPr>
      <w:pStyle w:val="Encabezado"/>
      <w:tabs>
        <w:tab w:val="left" w:pos="3969"/>
      </w:tabs>
      <w:jc w:val="right"/>
      <w:rPr>
        <w:rFonts w:ascii="Arial" w:hAnsi="Arial" w:cs="Arial"/>
        <w:sz w:val="20"/>
        <w:szCs w:val="20"/>
      </w:rPr>
    </w:pPr>
    <w:r>
      <w:rPr>
        <w:rFonts w:ascii="Arial" w:hAnsi="Arial" w:cs="Arial"/>
      </w:rPr>
      <w:t xml:space="preserve"> </w:t>
    </w:r>
    <w:r w:rsidR="009B4ECC" w:rsidRPr="007A3D2F">
      <w:rPr>
        <w:rFonts w:ascii="Arial" w:hAnsi="Arial" w:cs="Arial"/>
        <w:sz w:val="20"/>
        <w:szCs w:val="20"/>
      </w:rPr>
      <w:fldChar w:fldCharType="begin"/>
    </w:r>
    <w:r w:rsidRPr="007A3D2F">
      <w:rPr>
        <w:rFonts w:ascii="Arial" w:hAnsi="Arial" w:cs="Arial"/>
        <w:sz w:val="20"/>
        <w:szCs w:val="20"/>
      </w:rPr>
      <w:instrText xml:space="preserve"> PAGE   \* MERGEFORMAT </w:instrText>
    </w:r>
    <w:r w:rsidR="009B4ECC" w:rsidRPr="007A3D2F">
      <w:rPr>
        <w:rFonts w:ascii="Arial" w:hAnsi="Arial" w:cs="Arial"/>
        <w:sz w:val="20"/>
        <w:szCs w:val="20"/>
      </w:rPr>
      <w:fldChar w:fldCharType="separate"/>
    </w:r>
    <w:r w:rsidR="005F16F8">
      <w:rPr>
        <w:rFonts w:ascii="Arial" w:hAnsi="Arial" w:cs="Arial"/>
        <w:noProof/>
        <w:sz w:val="20"/>
        <w:szCs w:val="20"/>
      </w:rPr>
      <w:t>13</w:t>
    </w:r>
    <w:r w:rsidR="009B4ECC" w:rsidRPr="007A3D2F">
      <w:rPr>
        <w:rFonts w:ascii="Arial" w:hAnsi="Arial" w:cs="Arial"/>
        <w:sz w:val="20"/>
        <w:szCs w:val="20"/>
      </w:rPr>
      <w:fldChar w:fldCharType="end"/>
    </w:r>
    <w:r w:rsidRPr="007A3D2F">
      <w:rPr>
        <w:rFonts w:ascii="Arial" w:hAnsi="Arial" w:cs="Arial"/>
        <w:sz w:val="20"/>
        <w:szCs w:val="20"/>
      </w:rPr>
      <w:t xml:space="preserve">                          </w:t>
    </w:r>
    <w:r w:rsidRPr="007A3D2F">
      <w:rPr>
        <w:rFonts w:ascii="Arial" w:hAnsi="Arial" w:cs="Arial"/>
        <w:b/>
        <w:color w:val="2E74B5" w:themeColor="accent1" w:themeShade="BF"/>
        <w:sz w:val="20"/>
        <w:szCs w:val="20"/>
      </w:rPr>
      <w:t xml:space="preserve">RECURSO DE REVISIÓN  </w:t>
    </w:r>
    <w:r w:rsidR="00AD0CD5">
      <w:rPr>
        <w:rFonts w:ascii="Arial" w:hAnsi="Arial" w:cs="Arial"/>
        <w:b/>
        <w:color w:val="2E74B5" w:themeColor="accent1" w:themeShade="BF"/>
        <w:sz w:val="20"/>
        <w:szCs w:val="20"/>
      </w:rPr>
      <w:t>23</w:t>
    </w:r>
    <w:r w:rsidR="000D3167">
      <w:rPr>
        <w:rFonts w:ascii="Arial" w:hAnsi="Arial" w:cs="Arial"/>
        <w:b/>
        <w:color w:val="2E74B5" w:themeColor="accent1" w:themeShade="BF"/>
        <w:sz w:val="20"/>
        <w:szCs w:val="20"/>
      </w:rPr>
      <w:t>29</w:t>
    </w:r>
    <w:r w:rsidRPr="007A3D2F">
      <w:rPr>
        <w:rFonts w:ascii="Arial" w:hAnsi="Arial" w:cs="Arial"/>
        <w:b/>
        <w:color w:val="2E74B5" w:themeColor="accent1" w:themeShade="BF"/>
        <w:sz w:val="20"/>
        <w:szCs w:val="20"/>
      </w:rPr>
      <w:t>/201</w:t>
    </w:r>
    <w:r w:rsidR="00464CFF" w:rsidRPr="007A3D2F">
      <w:rPr>
        <w:rFonts w:ascii="Arial" w:hAnsi="Arial" w:cs="Arial"/>
        <w:b/>
        <w:color w:val="2E74B5" w:themeColor="accent1" w:themeShade="BF"/>
        <w:sz w:val="20"/>
        <w:szCs w:val="20"/>
      </w:rPr>
      <w:t>9</w:t>
    </w:r>
    <w:r w:rsidRPr="007A3D2F">
      <w:rPr>
        <w:rFonts w:ascii="Arial" w:hAnsi="Arial" w:cs="Arial"/>
        <w:b/>
        <w:color w:val="2E74B5" w:themeColor="accent1" w:themeShade="BF"/>
        <w:sz w:val="20"/>
        <w:szCs w:val="20"/>
      </w:rPr>
      <w:t>-2</w:t>
    </w:r>
    <w:r w:rsidR="005409D2">
      <w:rPr>
        <w:rFonts w:ascii="Arial" w:hAnsi="Arial" w:cs="Arial"/>
        <w:b/>
        <w:color w:val="2E74B5" w:themeColor="accent1" w:themeShade="BF"/>
        <w:sz w:val="20"/>
        <w:szCs w:val="20"/>
      </w:rPr>
      <w:t xml:space="preserve"> SICOM</w:t>
    </w:r>
  </w:p>
  <w:p w:rsidR="002D4D06" w:rsidRDefault="005F16F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70FB2"/>
    <w:multiLevelType w:val="hybridMultilevel"/>
    <w:tmpl w:val="A90EFB8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2" w15:restartNumberingAfterBreak="0">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901AFF"/>
    <w:multiLevelType w:val="hybridMultilevel"/>
    <w:tmpl w:val="BB96016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1B7933C1"/>
    <w:multiLevelType w:val="hybridMultilevel"/>
    <w:tmpl w:val="7ECCDC7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4AAB57BD"/>
    <w:multiLevelType w:val="hybridMultilevel"/>
    <w:tmpl w:val="5D7E1E8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7"/>
  </w:num>
  <w:num w:numId="2">
    <w:abstractNumId w:val="5"/>
  </w:num>
  <w:num w:numId="3">
    <w:abstractNumId w:val="8"/>
  </w:num>
  <w:num w:numId="4">
    <w:abstractNumId w:val="1"/>
  </w:num>
  <w:num w:numId="5">
    <w:abstractNumId w:val="2"/>
  </w:num>
  <w:num w:numId="6">
    <w:abstractNumId w:val="4"/>
  </w:num>
  <w:num w:numId="7">
    <w:abstractNumId w:val="3"/>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CFF"/>
    <w:rsid w:val="000057A7"/>
    <w:rsid w:val="000314A6"/>
    <w:rsid w:val="00035AC5"/>
    <w:rsid w:val="000674D4"/>
    <w:rsid w:val="000B2926"/>
    <w:rsid w:val="000C0B35"/>
    <w:rsid w:val="000D3167"/>
    <w:rsid w:val="000F0B29"/>
    <w:rsid w:val="0010751C"/>
    <w:rsid w:val="001148D3"/>
    <w:rsid w:val="0016033C"/>
    <w:rsid w:val="00186D81"/>
    <w:rsid w:val="00190144"/>
    <w:rsid w:val="001A2102"/>
    <w:rsid w:val="002254A3"/>
    <w:rsid w:val="00283D92"/>
    <w:rsid w:val="002A3DCE"/>
    <w:rsid w:val="002C0E19"/>
    <w:rsid w:val="002E1533"/>
    <w:rsid w:val="003019F6"/>
    <w:rsid w:val="003101BD"/>
    <w:rsid w:val="00345035"/>
    <w:rsid w:val="003533B4"/>
    <w:rsid w:val="00357B42"/>
    <w:rsid w:val="003960D6"/>
    <w:rsid w:val="003A505C"/>
    <w:rsid w:val="003D4D66"/>
    <w:rsid w:val="003E3105"/>
    <w:rsid w:val="00464CFF"/>
    <w:rsid w:val="0046571B"/>
    <w:rsid w:val="00465EC0"/>
    <w:rsid w:val="0046646B"/>
    <w:rsid w:val="00490F30"/>
    <w:rsid w:val="00492664"/>
    <w:rsid w:val="00495B62"/>
    <w:rsid w:val="004A44A4"/>
    <w:rsid w:val="004C574B"/>
    <w:rsid w:val="005005BB"/>
    <w:rsid w:val="00506CEC"/>
    <w:rsid w:val="005409D2"/>
    <w:rsid w:val="005627A6"/>
    <w:rsid w:val="00580918"/>
    <w:rsid w:val="00590617"/>
    <w:rsid w:val="005C5E20"/>
    <w:rsid w:val="005F16F8"/>
    <w:rsid w:val="00651886"/>
    <w:rsid w:val="00686AE3"/>
    <w:rsid w:val="00693C53"/>
    <w:rsid w:val="00700120"/>
    <w:rsid w:val="007243F3"/>
    <w:rsid w:val="00767CFB"/>
    <w:rsid w:val="00777E8F"/>
    <w:rsid w:val="00797537"/>
    <w:rsid w:val="007A3D2F"/>
    <w:rsid w:val="007B11D9"/>
    <w:rsid w:val="007D05B2"/>
    <w:rsid w:val="007D12F3"/>
    <w:rsid w:val="007D30FE"/>
    <w:rsid w:val="007E46AF"/>
    <w:rsid w:val="007F570C"/>
    <w:rsid w:val="00857F0B"/>
    <w:rsid w:val="008A6B1D"/>
    <w:rsid w:val="008E0659"/>
    <w:rsid w:val="008E4CFB"/>
    <w:rsid w:val="008E5710"/>
    <w:rsid w:val="008E71E0"/>
    <w:rsid w:val="00910DCB"/>
    <w:rsid w:val="00917D16"/>
    <w:rsid w:val="00943F4F"/>
    <w:rsid w:val="00965DCD"/>
    <w:rsid w:val="00986A9E"/>
    <w:rsid w:val="00987E97"/>
    <w:rsid w:val="00992C6A"/>
    <w:rsid w:val="00995B21"/>
    <w:rsid w:val="009960FA"/>
    <w:rsid w:val="009B4ECC"/>
    <w:rsid w:val="009D1D8B"/>
    <w:rsid w:val="009D1E5E"/>
    <w:rsid w:val="00A06B34"/>
    <w:rsid w:val="00A10C09"/>
    <w:rsid w:val="00A57D46"/>
    <w:rsid w:val="00A85499"/>
    <w:rsid w:val="00AB3595"/>
    <w:rsid w:val="00AD0CD5"/>
    <w:rsid w:val="00B6317E"/>
    <w:rsid w:val="00BD21BA"/>
    <w:rsid w:val="00BF36B4"/>
    <w:rsid w:val="00BF7A01"/>
    <w:rsid w:val="00C35954"/>
    <w:rsid w:val="00C80993"/>
    <w:rsid w:val="00C93856"/>
    <w:rsid w:val="00CB674C"/>
    <w:rsid w:val="00CC6DA3"/>
    <w:rsid w:val="00CE192D"/>
    <w:rsid w:val="00CE21E9"/>
    <w:rsid w:val="00CE254C"/>
    <w:rsid w:val="00CF5457"/>
    <w:rsid w:val="00D12A66"/>
    <w:rsid w:val="00D2407B"/>
    <w:rsid w:val="00D31410"/>
    <w:rsid w:val="00D62CEB"/>
    <w:rsid w:val="00DA46BE"/>
    <w:rsid w:val="00DB1F9E"/>
    <w:rsid w:val="00DD5ECB"/>
    <w:rsid w:val="00E07F6F"/>
    <w:rsid w:val="00E220EC"/>
    <w:rsid w:val="00E83142"/>
    <w:rsid w:val="00E93482"/>
    <w:rsid w:val="00EB3AFD"/>
    <w:rsid w:val="00EE4D2D"/>
    <w:rsid w:val="00EF4402"/>
    <w:rsid w:val="00F00CAC"/>
    <w:rsid w:val="00F24087"/>
    <w:rsid w:val="00F97455"/>
    <w:rsid w:val="00FA0ABD"/>
    <w:rsid w:val="00FA2BF7"/>
    <w:rsid w:val="00FB1A19"/>
    <w:rsid w:val="00FD4A3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E20EA"/>
  <w15:docId w15:val="{B40D040E-8818-403A-8D85-33D201B7E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4CFF"/>
    <w:pPr>
      <w:spacing w:after="200" w:line="276" w:lineRule="auto"/>
    </w:pPr>
    <w:rPr>
      <w:rFonts w:ascii="Calibri" w:eastAsia="Calibri" w:hAnsi="Calibri" w:cs="Times New Roman"/>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464CFF"/>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464CFF"/>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464CFF"/>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464CFF"/>
    <w:rPr>
      <w:rFonts w:ascii="Arial" w:eastAsia="Times New Roman" w:hAnsi="Arial" w:cs="Times New Roman"/>
      <w:b/>
      <w:caps/>
      <w:sz w:val="30"/>
      <w:szCs w:val="20"/>
      <w:lang w:eastAsia="es-MX"/>
    </w:rPr>
  </w:style>
  <w:style w:type="character" w:customStyle="1" w:styleId="corte4fondoCar1">
    <w:name w:val="corte4 fondo Car1"/>
    <w:link w:val="corte4fondo"/>
    <w:rsid w:val="00464CFF"/>
    <w:rPr>
      <w:rFonts w:ascii="Arial" w:eastAsia="Times New Roman" w:hAnsi="Arial" w:cs="Times New Roman"/>
      <w:sz w:val="30"/>
      <w:szCs w:val="20"/>
      <w:lang w:eastAsia="es-MX"/>
    </w:rPr>
  </w:style>
  <w:style w:type="character" w:customStyle="1" w:styleId="corte1datosCar">
    <w:name w:val="corte1 datos Car"/>
    <w:link w:val="corte1datos"/>
    <w:rsid w:val="00464CFF"/>
    <w:rPr>
      <w:rFonts w:ascii="Arial" w:eastAsia="Times New Roman" w:hAnsi="Arial" w:cs="Times New Roman"/>
      <w:b/>
      <w:caps/>
      <w:sz w:val="30"/>
      <w:szCs w:val="20"/>
      <w:lang w:eastAsia="es-MX"/>
    </w:rPr>
  </w:style>
  <w:style w:type="paragraph" w:styleId="Encabezado">
    <w:name w:val="header"/>
    <w:basedOn w:val="Normal"/>
    <w:link w:val="EncabezadoCar"/>
    <w:unhideWhenUsed/>
    <w:rsid w:val="00464CFF"/>
    <w:pPr>
      <w:tabs>
        <w:tab w:val="center" w:pos="4419"/>
        <w:tab w:val="right" w:pos="8838"/>
      </w:tabs>
      <w:spacing w:after="0" w:line="240" w:lineRule="auto"/>
    </w:pPr>
  </w:style>
  <w:style w:type="character" w:customStyle="1" w:styleId="EncabezadoCar">
    <w:name w:val="Encabezado Car"/>
    <w:basedOn w:val="Fuentedeprrafopredeter"/>
    <w:link w:val="Encabezado"/>
    <w:rsid w:val="00464CFF"/>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64CFF"/>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64CFF"/>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64CFF"/>
    <w:rPr>
      <w:rFonts w:ascii="Calibri" w:eastAsia="Calibri" w:hAnsi="Calibri" w:cs="Times New Roman"/>
      <w:sz w:val="20"/>
      <w:szCs w:val="20"/>
    </w:rPr>
  </w:style>
  <w:style w:type="paragraph" w:styleId="NormalWeb">
    <w:name w:val="Normal (Web)"/>
    <w:basedOn w:val="Normal"/>
    <w:uiPriority w:val="99"/>
    <w:rsid w:val="00464CFF"/>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464CF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4CFF"/>
    <w:rPr>
      <w:rFonts w:ascii="Calibri" w:eastAsia="Calibri" w:hAnsi="Calibri" w:cs="Times New Roman"/>
    </w:rPr>
  </w:style>
  <w:style w:type="character" w:styleId="Hipervnculo">
    <w:name w:val="Hyperlink"/>
    <w:basedOn w:val="Fuentedeprrafopredeter"/>
    <w:uiPriority w:val="99"/>
    <w:unhideWhenUsed/>
    <w:rsid w:val="004C574B"/>
    <w:rPr>
      <w:color w:val="0000FF"/>
      <w:u w:val="single"/>
    </w:rPr>
  </w:style>
  <w:style w:type="paragraph" w:styleId="Textodeglobo">
    <w:name w:val="Balloon Text"/>
    <w:basedOn w:val="Normal"/>
    <w:link w:val="TextodegloboCar"/>
    <w:uiPriority w:val="99"/>
    <w:semiHidden/>
    <w:unhideWhenUsed/>
    <w:rsid w:val="00E220E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220EC"/>
    <w:rPr>
      <w:rFonts w:ascii="Tahoma" w:eastAsia="Calibri" w:hAnsi="Tahoma" w:cs="Tahoma"/>
      <w:sz w:val="16"/>
      <w:szCs w:val="16"/>
    </w:rPr>
  </w:style>
  <w:style w:type="paragraph" w:customStyle="1" w:styleId="Default">
    <w:name w:val="Default"/>
    <w:rsid w:val="00BF7A01"/>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uiPriority w:val="34"/>
    <w:qFormat/>
    <w:rsid w:val="005809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632271">
      <w:bodyDiv w:val="1"/>
      <w:marLeft w:val="0"/>
      <w:marRight w:val="0"/>
      <w:marTop w:val="0"/>
      <w:marBottom w:val="0"/>
      <w:divBdr>
        <w:top w:val="none" w:sz="0" w:space="0" w:color="auto"/>
        <w:left w:val="none" w:sz="0" w:space="0" w:color="auto"/>
        <w:bottom w:val="none" w:sz="0" w:space="0" w:color="auto"/>
        <w:right w:val="none" w:sz="0" w:space="0" w:color="auto"/>
      </w:divBdr>
    </w:div>
    <w:div w:id="1028028283">
      <w:bodyDiv w:val="1"/>
      <w:marLeft w:val="0"/>
      <w:marRight w:val="0"/>
      <w:marTop w:val="0"/>
      <w:marBottom w:val="0"/>
      <w:divBdr>
        <w:top w:val="none" w:sz="0" w:space="0" w:color="auto"/>
        <w:left w:val="none" w:sz="0" w:space="0" w:color="auto"/>
        <w:bottom w:val="none" w:sz="0" w:space="0" w:color="auto"/>
        <w:right w:val="none" w:sz="0" w:space="0" w:color="auto"/>
      </w:divBdr>
    </w:div>
    <w:div w:id="2048286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unicipiosoledad.gob.mx/transparencia/71"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municipiosoledad.gob.mx/transparencia/49"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D97826-740F-452C-9C96-4714C7339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13</Pages>
  <Words>3798</Words>
  <Characters>20889</Characters>
  <Application>Microsoft Office Word</Application>
  <DocSecurity>0</DocSecurity>
  <Lines>174</Lines>
  <Paragraphs>49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Ponencia 2</cp:lastModifiedBy>
  <cp:revision>5</cp:revision>
  <cp:lastPrinted>2020-02-07T20:21:00Z</cp:lastPrinted>
  <dcterms:created xsi:type="dcterms:W3CDTF">2020-02-24T15:56:00Z</dcterms:created>
  <dcterms:modified xsi:type="dcterms:W3CDTF">2020-02-26T18:23:00Z</dcterms:modified>
</cp:coreProperties>
</file>