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661D" w:rsidRDefault="00C4661D" w:rsidP="00C4661D">
      <w:r>
        <w:rPr>
          <w:noProof/>
          <w:lang w:eastAsia="es-MX"/>
        </w:rPr>
        <w:drawing>
          <wp:anchor distT="0" distB="0" distL="114300" distR="114300" simplePos="0" relativeHeight="251651584" behindDoc="0" locked="0" layoutInCell="1" allowOverlap="1">
            <wp:simplePos x="0" y="0"/>
            <wp:positionH relativeFrom="margin">
              <wp:posOffset>-937260</wp:posOffset>
            </wp:positionH>
            <wp:positionV relativeFrom="margin">
              <wp:posOffset>-414020</wp:posOffset>
            </wp:positionV>
            <wp:extent cx="7515225" cy="1209675"/>
            <wp:effectExtent l="0" t="0" r="0" b="0"/>
            <wp:wrapSquare wrapText="bothSides"/>
            <wp:docPr id="2" name="0 Imagen" descr="Transparenc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ansparencia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5225" cy="12096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4661D" w:rsidRDefault="00C4661D" w:rsidP="00C4661D"/>
    <w:p w:rsidR="00C4661D" w:rsidRPr="00C4661D" w:rsidRDefault="00C4661D" w:rsidP="00C4661D">
      <w:pPr>
        <w:rPr>
          <w:rFonts w:ascii="Century Gothic" w:hAnsi="Century Gothic"/>
          <w:sz w:val="28"/>
          <w:szCs w:val="28"/>
        </w:rPr>
      </w:pPr>
    </w:p>
    <w:p w:rsidR="00C4661D" w:rsidRPr="00C4661D" w:rsidRDefault="00C4661D" w:rsidP="00C4661D">
      <w:pPr>
        <w:jc w:val="both"/>
        <w:rPr>
          <w:rFonts w:ascii="Century Gothic" w:hAnsi="Century Gothic"/>
          <w:sz w:val="28"/>
          <w:szCs w:val="28"/>
        </w:rPr>
      </w:pPr>
      <w:r w:rsidRPr="00C4661D">
        <w:rPr>
          <w:rFonts w:ascii="Century Gothic" w:hAnsi="Century Gothic"/>
          <w:sz w:val="28"/>
          <w:szCs w:val="28"/>
        </w:rPr>
        <w:t xml:space="preserve">El Instituto de Capacitación para el Trabajo del Estado (ICAT), </w:t>
      </w:r>
      <w:r w:rsidR="00B25923">
        <w:rPr>
          <w:rFonts w:ascii="Century Gothic" w:hAnsi="Century Gothic"/>
          <w:sz w:val="28"/>
          <w:szCs w:val="28"/>
        </w:rPr>
        <w:t>en el mes que nos ocupa</w:t>
      </w:r>
      <w:r w:rsidRPr="00C4661D">
        <w:rPr>
          <w:rFonts w:ascii="Century Gothic" w:hAnsi="Century Gothic"/>
          <w:sz w:val="28"/>
          <w:szCs w:val="28"/>
        </w:rPr>
        <w:t xml:space="preserve"> se informa</w:t>
      </w:r>
      <w:r w:rsidR="00B25923">
        <w:rPr>
          <w:rFonts w:ascii="Century Gothic" w:hAnsi="Century Gothic"/>
          <w:sz w:val="28"/>
          <w:szCs w:val="28"/>
        </w:rPr>
        <w:t xml:space="preserve"> que</w:t>
      </w:r>
      <w:r w:rsidRPr="00C4661D">
        <w:rPr>
          <w:rFonts w:ascii="Century Gothic" w:hAnsi="Century Gothic"/>
          <w:sz w:val="28"/>
          <w:szCs w:val="28"/>
        </w:rPr>
        <w:t xml:space="preserve"> no </w:t>
      </w:r>
      <w:r w:rsidR="00B25923">
        <w:rPr>
          <w:rFonts w:ascii="Century Gothic" w:hAnsi="Century Gothic"/>
          <w:sz w:val="28"/>
          <w:szCs w:val="28"/>
        </w:rPr>
        <w:t xml:space="preserve">se </w:t>
      </w:r>
      <w:r w:rsidRPr="00C4661D">
        <w:rPr>
          <w:rFonts w:ascii="Century Gothic" w:hAnsi="Century Gothic"/>
          <w:sz w:val="28"/>
          <w:szCs w:val="28"/>
        </w:rPr>
        <w:t>ha generado información acerca de</w:t>
      </w:r>
      <w:r w:rsidR="003A4B74">
        <w:rPr>
          <w:rFonts w:ascii="Century Gothic" w:hAnsi="Century Gothic"/>
          <w:sz w:val="28"/>
          <w:szCs w:val="28"/>
        </w:rPr>
        <w:t xml:space="preserve"> </w:t>
      </w:r>
      <w:r w:rsidR="007901D6" w:rsidRPr="007901D6">
        <w:rPr>
          <w:rFonts w:ascii="Century Gothic" w:hAnsi="Century Gothic"/>
          <w:sz w:val="28"/>
          <w:szCs w:val="28"/>
        </w:rPr>
        <w:t>Estudios financiados con recursos públicos</w:t>
      </w:r>
      <w:r w:rsidR="007901D6">
        <w:rPr>
          <w:rFonts w:ascii="Century Gothic" w:hAnsi="Century Gothic"/>
          <w:sz w:val="28"/>
          <w:szCs w:val="28"/>
        </w:rPr>
        <w:t>;</w:t>
      </w:r>
      <w:r w:rsidR="003A4B74">
        <w:rPr>
          <w:rFonts w:ascii="Century Gothic" w:hAnsi="Century Gothic"/>
          <w:sz w:val="28"/>
          <w:szCs w:val="28"/>
        </w:rPr>
        <w:t xml:space="preserve"> ya que no se encuentra facultada dentro del artículo 12 del Reglamento Interno del Instituto</w:t>
      </w:r>
      <w:r w:rsidR="007901D6">
        <w:rPr>
          <w:rFonts w:ascii="Century Gothic" w:hAnsi="Century Gothic"/>
          <w:sz w:val="28"/>
          <w:szCs w:val="28"/>
        </w:rPr>
        <w:t>,</w:t>
      </w:r>
      <w:r w:rsidR="0045608A">
        <w:rPr>
          <w:rFonts w:ascii="Century Gothic" w:hAnsi="Century Gothic"/>
          <w:sz w:val="28"/>
          <w:szCs w:val="28"/>
        </w:rPr>
        <w:t xml:space="preserve"> para financiar con recursos públicos estudios, </w:t>
      </w:r>
      <w:bookmarkStart w:id="0" w:name="_GoBack"/>
      <w:bookmarkEnd w:id="0"/>
      <w:r w:rsidR="00BA5107">
        <w:rPr>
          <w:rFonts w:ascii="Century Gothic" w:hAnsi="Century Gothic"/>
          <w:sz w:val="28"/>
          <w:szCs w:val="28"/>
        </w:rPr>
        <w:t xml:space="preserve">aunado a ello, </w:t>
      </w:r>
      <w:r w:rsidRPr="00C4661D">
        <w:rPr>
          <w:rFonts w:ascii="Century Gothic" w:hAnsi="Century Gothic"/>
          <w:sz w:val="28"/>
          <w:szCs w:val="28"/>
        </w:rPr>
        <w:t xml:space="preserve">se </w:t>
      </w:r>
      <w:r w:rsidR="00B25923" w:rsidRPr="00C4661D">
        <w:rPr>
          <w:rFonts w:ascii="Century Gothic" w:hAnsi="Century Gothic"/>
          <w:sz w:val="28"/>
          <w:szCs w:val="28"/>
        </w:rPr>
        <w:t>advierte</w:t>
      </w:r>
      <w:r w:rsidRPr="00C4661D">
        <w:rPr>
          <w:rFonts w:ascii="Century Gothic" w:hAnsi="Century Gothic"/>
          <w:sz w:val="28"/>
          <w:szCs w:val="28"/>
        </w:rPr>
        <w:t xml:space="preserve"> que los campos que comprenden esas disposiciones fueron llenados con la finalidad de respetar el formato de las celdas según se solicita en los citados lineamientos.</w:t>
      </w:r>
    </w:p>
    <w:p w:rsidR="005E347C" w:rsidRPr="00C4661D" w:rsidRDefault="005E347C">
      <w:pPr>
        <w:rPr>
          <w:rFonts w:ascii="Century Gothic" w:hAnsi="Century Gothic"/>
          <w:sz w:val="28"/>
          <w:szCs w:val="28"/>
        </w:rPr>
      </w:pPr>
    </w:p>
    <w:p w:rsidR="00DE276F" w:rsidRDefault="00DE276F"/>
    <w:p w:rsidR="00DE276F" w:rsidRDefault="00DE276F"/>
    <w:p w:rsidR="00DE276F" w:rsidRDefault="00C4661D" w:rsidP="00C4661D">
      <w:pPr>
        <w:jc w:val="center"/>
      </w:pPr>
      <w:r>
        <w:rPr>
          <w:noProof/>
          <w:lang w:eastAsia="es-MX"/>
        </w:rPr>
        <w:drawing>
          <wp:anchor distT="0" distB="0" distL="114300" distR="114300" simplePos="0" relativeHeight="251663872" behindDoc="0" locked="0" layoutInCell="1" allowOverlap="1">
            <wp:simplePos x="0" y="0"/>
            <wp:positionH relativeFrom="margin">
              <wp:posOffset>1882140</wp:posOffset>
            </wp:positionH>
            <wp:positionV relativeFrom="margin">
              <wp:posOffset>7435850</wp:posOffset>
            </wp:positionV>
            <wp:extent cx="1257300" cy="941070"/>
            <wp:effectExtent l="0" t="0" r="0" b="0"/>
            <wp:wrapSquare wrapText="bothSides"/>
            <wp:docPr id="3" name="0 Imagen" descr="LOGOic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icat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941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E276F" w:rsidRDefault="00DE276F"/>
    <w:p w:rsidR="00DE276F" w:rsidRPr="006719B5" w:rsidRDefault="00DE276F" w:rsidP="00DE276F">
      <w:pPr>
        <w:jc w:val="center"/>
        <w:rPr>
          <w:b/>
          <w:sz w:val="52"/>
        </w:rPr>
      </w:pPr>
    </w:p>
    <w:sectPr w:rsidR="00DE276F" w:rsidRPr="006719B5" w:rsidSect="005E347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76F"/>
    <w:rsid w:val="00294993"/>
    <w:rsid w:val="003A4B74"/>
    <w:rsid w:val="003E254F"/>
    <w:rsid w:val="0045608A"/>
    <w:rsid w:val="0046341E"/>
    <w:rsid w:val="00470DAD"/>
    <w:rsid w:val="004A54A4"/>
    <w:rsid w:val="005E347C"/>
    <w:rsid w:val="006719B5"/>
    <w:rsid w:val="00735A75"/>
    <w:rsid w:val="007901D6"/>
    <w:rsid w:val="008C6244"/>
    <w:rsid w:val="00993FB0"/>
    <w:rsid w:val="00B25923"/>
    <w:rsid w:val="00B56026"/>
    <w:rsid w:val="00BA5107"/>
    <w:rsid w:val="00C4661D"/>
    <w:rsid w:val="00DD4224"/>
    <w:rsid w:val="00DE2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BB861A0-92B1-40F1-B6C1-2523E44EA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347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E27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E27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2020-03-12T19:37:00Z</dcterms:created>
  <dcterms:modified xsi:type="dcterms:W3CDTF">2020-03-12T19:37:00Z</dcterms:modified>
</cp:coreProperties>
</file>