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0674F" w14:textId="77777777" w:rsidR="009D390A" w:rsidRDefault="009D390A" w:rsidP="00F52309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33C4FAFD" w14:textId="07F80CB5" w:rsidR="00F52309" w:rsidRDefault="00F52309" w:rsidP="00F52309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 w:rsidR="00F77DCB">
        <w:rPr>
          <w:rFonts w:ascii="Calibri" w:hAnsi="Calibri" w:cs="Calibri"/>
          <w:b/>
          <w:sz w:val="44"/>
          <w:szCs w:val="44"/>
          <w:u w:val="single"/>
        </w:rPr>
        <w:t>XXX</w:t>
      </w:r>
    </w:p>
    <w:p w14:paraId="26DD7A2D" w14:textId="77777777" w:rsidR="008170BD" w:rsidRDefault="008170BD" w:rsidP="00F52309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19A4E804" w14:textId="77777777" w:rsidR="00F52309" w:rsidRPr="009D390A" w:rsidRDefault="00F52309" w:rsidP="009D390A">
      <w:pPr>
        <w:jc w:val="both"/>
        <w:rPr>
          <w:bCs/>
          <w:sz w:val="32"/>
          <w:szCs w:val="32"/>
        </w:rPr>
      </w:pPr>
    </w:p>
    <w:p w14:paraId="5741D358" w14:textId="6585B4F8" w:rsidR="00F52309" w:rsidRPr="009D390A" w:rsidRDefault="009D390A" w:rsidP="009D390A">
      <w:pPr>
        <w:spacing w:line="360" w:lineRule="auto"/>
        <w:jc w:val="both"/>
        <w:rPr>
          <w:rFonts w:ascii="Calibri" w:hAnsi="Calibri" w:cs="Calibri"/>
          <w:bCs/>
          <w:sz w:val="32"/>
          <w:szCs w:val="32"/>
        </w:rPr>
      </w:pPr>
      <w:r w:rsidRPr="009D390A">
        <w:rPr>
          <w:rFonts w:ascii="Calibri" w:hAnsi="Calibri" w:cs="Calibri"/>
          <w:bCs/>
          <w:sz w:val="32"/>
          <w:szCs w:val="32"/>
        </w:rPr>
        <w:t xml:space="preserve">En apego al artículo 37 de la Ley de Fiscalización y rendición de Cuentas </w:t>
      </w:r>
      <w:r w:rsidRPr="009D390A">
        <w:rPr>
          <w:rFonts w:ascii="Calibri" w:hAnsi="Calibri" w:cs="Calibri"/>
          <w:bCs/>
          <w:sz w:val="32"/>
          <w:szCs w:val="32"/>
        </w:rPr>
        <w:t>Públicas</w:t>
      </w:r>
      <w:r w:rsidRPr="009D390A">
        <w:rPr>
          <w:rFonts w:ascii="Calibri" w:hAnsi="Calibri" w:cs="Calibri"/>
          <w:bCs/>
          <w:sz w:val="32"/>
          <w:szCs w:val="32"/>
        </w:rPr>
        <w:t xml:space="preserve"> del Estado de San Luis Potosí publicada en el </w:t>
      </w:r>
      <w:r>
        <w:rPr>
          <w:rFonts w:ascii="Calibri" w:hAnsi="Calibri" w:cs="Calibri"/>
          <w:bCs/>
          <w:sz w:val="32"/>
          <w:szCs w:val="32"/>
        </w:rPr>
        <w:t>P</w:t>
      </w:r>
      <w:r w:rsidRPr="009D390A">
        <w:rPr>
          <w:rFonts w:ascii="Calibri" w:hAnsi="Calibri" w:cs="Calibri"/>
          <w:bCs/>
          <w:sz w:val="32"/>
          <w:szCs w:val="32"/>
        </w:rPr>
        <w:t>eriódico Oficial del Estado el 10 de abril del 2017, este Órgano Fiscalizador, notifico en fechas 7 de Diciembre del 2018, la C</w:t>
      </w:r>
      <w:r>
        <w:rPr>
          <w:rFonts w:ascii="Calibri" w:hAnsi="Calibri" w:cs="Calibri"/>
          <w:bCs/>
          <w:sz w:val="32"/>
          <w:szCs w:val="32"/>
        </w:rPr>
        <w:t>é</w:t>
      </w:r>
      <w:r w:rsidRPr="009D390A">
        <w:rPr>
          <w:rFonts w:ascii="Calibri" w:hAnsi="Calibri" w:cs="Calibri"/>
          <w:bCs/>
          <w:sz w:val="32"/>
          <w:szCs w:val="32"/>
        </w:rPr>
        <w:t xml:space="preserve">dula del Desahogo </w:t>
      </w:r>
      <w:r>
        <w:rPr>
          <w:rFonts w:ascii="Calibri" w:hAnsi="Calibri" w:cs="Calibri"/>
          <w:bCs/>
          <w:sz w:val="32"/>
          <w:szCs w:val="32"/>
        </w:rPr>
        <w:t>F</w:t>
      </w:r>
      <w:r w:rsidRPr="009D390A">
        <w:rPr>
          <w:rFonts w:ascii="Calibri" w:hAnsi="Calibri" w:cs="Calibri"/>
          <w:bCs/>
          <w:sz w:val="32"/>
          <w:szCs w:val="32"/>
        </w:rPr>
        <w:t xml:space="preserve">inal de Observaciones, quedando formalmente notificado el pronunciamiento de esta Auditoria Superior del Estado, sobre las respuestas emitidas por el Poder Legislativo de las </w:t>
      </w:r>
      <w:r>
        <w:rPr>
          <w:rFonts w:ascii="Calibri" w:hAnsi="Calibri" w:cs="Calibri"/>
          <w:bCs/>
          <w:sz w:val="32"/>
          <w:szCs w:val="32"/>
        </w:rPr>
        <w:t>a</w:t>
      </w:r>
      <w:r w:rsidRPr="009D390A">
        <w:rPr>
          <w:rFonts w:ascii="Calibri" w:hAnsi="Calibri" w:cs="Calibri"/>
          <w:bCs/>
          <w:sz w:val="32"/>
          <w:szCs w:val="32"/>
        </w:rPr>
        <w:t>cciones y recomendaciones contenidas en el informe individual de Auditoria, en las que se asientan los resultados que fueron solventados y los que no, así como los motivos por los que no se consideraron solventados; de los resultados que no fueron solventado</w:t>
      </w:r>
      <w:r>
        <w:rPr>
          <w:rFonts w:ascii="Calibri" w:hAnsi="Calibri" w:cs="Calibri"/>
          <w:bCs/>
          <w:sz w:val="32"/>
          <w:szCs w:val="32"/>
        </w:rPr>
        <w:t>s</w:t>
      </w:r>
      <w:r w:rsidRPr="009D390A">
        <w:rPr>
          <w:rFonts w:ascii="Calibri" w:hAnsi="Calibri" w:cs="Calibri"/>
          <w:bCs/>
          <w:sz w:val="32"/>
          <w:szCs w:val="32"/>
        </w:rPr>
        <w:t xml:space="preserve">, se procederá a la promoción de la acciones conducentes ante las autoridades correspondientes. </w:t>
      </w:r>
    </w:p>
    <w:sectPr w:rsidR="00F52309" w:rsidRPr="009D390A" w:rsidSect="00F52309">
      <w:headerReference w:type="default" r:id="rId6"/>
      <w:footerReference w:type="default" r:id="rId7"/>
      <w:pgSz w:w="12240" w:h="15840" w:code="1"/>
      <w:pgMar w:top="851" w:right="851" w:bottom="851" w:left="851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3BDD7E" w14:textId="77777777" w:rsidR="00000000" w:rsidRDefault="009D390A">
      <w:r>
        <w:separator/>
      </w:r>
    </w:p>
  </w:endnote>
  <w:endnote w:type="continuationSeparator" w:id="0">
    <w:p w14:paraId="0969A854" w14:textId="77777777" w:rsidR="00000000" w:rsidRDefault="009D3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7C0AA3" w14:textId="77777777" w:rsidR="001F5487" w:rsidRDefault="00D0337A" w:rsidP="00177710">
    <w:pPr>
      <w:pStyle w:val="Piedepgina"/>
      <w:jc w:val="center"/>
      <w:rPr>
        <w:rFonts w:ascii="Arial" w:hAnsi="Arial" w:cs="Arial"/>
        <w:color w:val="000000"/>
        <w:sz w:val="15"/>
        <w:szCs w:val="15"/>
      </w:rPr>
    </w:pPr>
    <w:r w:rsidRPr="00AB08FF">
      <w:rPr>
        <w:rFonts w:ascii="Agency FB" w:hAnsi="Agency FB" w:cs="Arial"/>
        <w:color w:val="FFFFFF"/>
        <w:sz w:val="28"/>
        <w:szCs w:val="28"/>
      </w:rPr>
      <w:t>“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55C617" w14:textId="77777777" w:rsidR="00000000" w:rsidRDefault="009D390A">
      <w:r>
        <w:separator/>
      </w:r>
    </w:p>
  </w:footnote>
  <w:footnote w:type="continuationSeparator" w:id="0">
    <w:p w14:paraId="1333AB5A" w14:textId="77777777" w:rsidR="00000000" w:rsidRDefault="009D39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238D30" w14:textId="77777777" w:rsidR="001F5487" w:rsidRPr="00772882" w:rsidRDefault="00D0337A" w:rsidP="00177710">
    <w:pPr>
      <w:pStyle w:val="Encabezado"/>
      <w:ind w:left="-1701"/>
      <w:jc w:val="right"/>
      <w:rPr>
        <w:rFonts w:ascii="Century Gothic" w:hAnsi="Century Gothic"/>
        <w:sz w:val="2"/>
        <w:szCs w:val="2"/>
      </w:rPr>
    </w:pPr>
    <w:r>
      <w:rPr>
        <w:rFonts w:ascii="Century Gothic" w:hAnsi="Century Gothic"/>
        <w:noProof/>
        <w:sz w:val="2"/>
        <w:szCs w:val="2"/>
        <w:lang w:val="es-MX" w:eastAsia="es-MX"/>
      </w:rPr>
      <w:drawing>
        <wp:inline distT="0" distB="0" distL="0" distR="0" wp14:anchorId="19A2F2C6" wp14:editId="1B4844EA">
          <wp:extent cx="8307421" cy="1675765"/>
          <wp:effectExtent l="0" t="0" r="0" b="635"/>
          <wp:docPr id="1" name="Imagen 1" descr="-AVISO-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-AVISO-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7183" cy="16777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309"/>
    <w:rsid w:val="008170BD"/>
    <w:rsid w:val="009D390A"/>
    <w:rsid w:val="00A07537"/>
    <w:rsid w:val="00BC4719"/>
    <w:rsid w:val="00D0337A"/>
    <w:rsid w:val="00F52309"/>
    <w:rsid w:val="00F77DCB"/>
    <w:rsid w:val="00FC4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F2618"/>
  <w15:chartTrackingRefBased/>
  <w15:docId w15:val="{778D71E5-93DC-43C7-B533-0700F0EA7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23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F5230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F5230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F5230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F52309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Francisco Pinocely</dc:creator>
  <cp:keywords/>
  <dc:description/>
  <cp:lastModifiedBy>normapescina@outlook.es</cp:lastModifiedBy>
  <cp:revision>3</cp:revision>
  <dcterms:created xsi:type="dcterms:W3CDTF">2020-05-01T17:26:00Z</dcterms:created>
  <dcterms:modified xsi:type="dcterms:W3CDTF">2020-05-01T17:30:00Z</dcterms:modified>
</cp:coreProperties>
</file>