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253487C" w14:textId="77777777" w:rsidR="008F732E" w:rsidRDefault="008F732E" w:rsidP="008F732E">
      <w:pPr>
        <w:jc w:val="both"/>
        <w:rPr>
          <w:rFonts w:ascii="Tahoma" w:hAnsi="Tahoma" w:cs="Tahoma"/>
          <w:sz w:val="32"/>
        </w:rPr>
      </w:pPr>
    </w:p>
    <w:p w14:paraId="0010A8F3" w14:textId="77777777" w:rsidR="008F732E" w:rsidRDefault="008F732E" w:rsidP="008F732E">
      <w:pPr>
        <w:jc w:val="both"/>
        <w:rPr>
          <w:rFonts w:ascii="Tahoma" w:hAnsi="Tahoma" w:cs="Tahoma"/>
          <w:sz w:val="32"/>
        </w:rPr>
      </w:pPr>
    </w:p>
    <w:p w14:paraId="1A2E14F9" w14:textId="77777777" w:rsidR="008F732E" w:rsidRDefault="008F732E" w:rsidP="008F732E">
      <w:pPr>
        <w:jc w:val="both"/>
        <w:rPr>
          <w:rFonts w:ascii="Tahoma" w:hAnsi="Tahoma" w:cs="Tahoma"/>
          <w:sz w:val="32"/>
        </w:rPr>
      </w:pPr>
    </w:p>
    <w:p w14:paraId="74E74BC1" w14:textId="77777777" w:rsidR="008F732E" w:rsidRDefault="008F732E" w:rsidP="008F732E">
      <w:pPr>
        <w:jc w:val="both"/>
        <w:rPr>
          <w:rFonts w:ascii="Tahoma" w:hAnsi="Tahoma" w:cs="Tahoma"/>
          <w:sz w:val="32"/>
        </w:rPr>
      </w:pPr>
    </w:p>
    <w:p w14:paraId="6852148E" w14:textId="77777777" w:rsidR="008F732E" w:rsidRDefault="008F732E" w:rsidP="008F732E">
      <w:pPr>
        <w:jc w:val="both"/>
        <w:rPr>
          <w:rFonts w:ascii="Tahoma" w:hAnsi="Tahoma" w:cs="Tahoma"/>
          <w:sz w:val="32"/>
        </w:rPr>
      </w:pPr>
    </w:p>
    <w:p w14:paraId="2FEB7383" w14:textId="77777777" w:rsidR="008F732E" w:rsidRDefault="008F732E" w:rsidP="008F732E">
      <w:pPr>
        <w:jc w:val="both"/>
        <w:rPr>
          <w:rFonts w:ascii="Tahoma" w:hAnsi="Tahoma" w:cs="Tahoma"/>
          <w:sz w:val="32"/>
        </w:rPr>
      </w:pPr>
    </w:p>
    <w:p w14:paraId="76BB3FF4" w14:textId="34943CFE" w:rsidR="005027D6" w:rsidRPr="008F732E" w:rsidRDefault="008F732E" w:rsidP="008F732E">
      <w:pPr>
        <w:jc w:val="both"/>
        <w:rPr>
          <w:rFonts w:ascii="Tahoma" w:hAnsi="Tahoma" w:cs="Tahoma"/>
          <w:sz w:val="32"/>
        </w:rPr>
      </w:pPr>
      <w:r w:rsidRPr="008F732E">
        <w:rPr>
          <w:rFonts w:ascii="Tahoma" w:hAnsi="Tahoma" w:cs="Tahoma"/>
          <w:sz w:val="32"/>
        </w:rPr>
        <w:t xml:space="preserve">El Consejo Estatal de Población genera sus programas de acuerdo con el Programa Especial de Población (PEP) publicado en el Periódico Oficial del Gobierno del Estado de San Luis Potosí el 26 de diciembre de 2016 y se desagregan el Programa Operativo Anual en curso en la cual no se contempla una partida presupuestal específica para otros programas, por lo que esta información no se genera. </w:t>
      </w:r>
      <w:bookmarkStart w:id="0" w:name="_GoBack"/>
      <w:bookmarkEnd w:id="0"/>
    </w:p>
    <w:sectPr w:rsidR="005027D6" w:rsidRPr="008F732E">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F732E"/>
    <w:rsid w:val="000964F1"/>
    <w:rsid w:val="004577F4"/>
    <w:rsid w:val="004B3607"/>
    <w:rsid w:val="004E70DC"/>
    <w:rsid w:val="005027D6"/>
    <w:rsid w:val="00623E32"/>
    <w:rsid w:val="008F732E"/>
    <w:rsid w:val="00CC4766"/>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E544EC"/>
  <w15:chartTrackingRefBased/>
  <w15:docId w15:val="{352F72C0-27E2-414F-A96D-DE911604D0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61</Words>
  <Characters>338</Characters>
  <Application>Microsoft Office Word</Application>
  <DocSecurity>0</DocSecurity>
  <Lines>2</Lines>
  <Paragraphs>1</Paragraphs>
  <ScaleCrop>false</ScaleCrop>
  <Company/>
  <LinksUpToDate>false</LinksUpToDate>
  <CharactersWithSpaces>398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ss</dc:creator>
  <cp:keywords/>
  <dc:description/>
  <cp:lastModifiedBy>Norah Vázquez</cp:lastModifiedBy>
  <cp:revision>4</cp:revision>
  <dcterms:created xsi:type="dcterms:W3CDTF">2020-02-06T19:56:00Z</dcterms:created>
  <dcterms:modified xsi:type="dcterms:W3CDTF">2020-02-06T19:56:00Z</dcterms:modified>
</cp:coreProperties>
</file>