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</w:t>
      </w:r>
      <w:bookmarkStart w:id="0" w:name="_GoBack"/>
      <w:bookmarkEnd w:id="0"/>
      <w:r w:rsidRPr="00B22B10">
        <w:t xml:space="preserve"> VI dice  Los criterios e indicadores de sustentabilidad, deforestación y degradación de los ecosistemas forestales.</w:t>
      </w:r>
      <w:r w:rsidR="00BE74E0">
        <w:t xml:space="preserve">, la presente información corresponde al </w:t>
      </w:r>
      <w:r>
        <w:t>mes de junio</w:t>
      </w:r>
      <w:r w:rsidR="00AE548E">
        <w:t xml:space="preserve"> 2019</w:t>
      </w:r>
      <w:r w:rsidR="00BE74E0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AE548E"/>
    <w:rsid w:val="00B1030D"/>
    <w:rsid w:val="00B22B10"/>
    <w:rsid w:val="00BE74E0"/>
    <w:rsid w:val="00E7020E"/>
    <w:rsid w:val="00F6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5</cp:revision>
  <dcterms:created xsi:type="dcterms:W3CDTF">2018-09-11T20:11:00Z</dcterms:created>
  <dcterms:modified xsi:type="dcterms:W3CDTF">2019-12-03T19:14:00Z</dcterms:modified>
</cp:coreProperties>
</file>