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05B" w:rsidRDefault="003D0157">
      <w:hyperlink r:id="rId4" w:history="1">
        <w:r>
          <w:rPr>
            <w:rStyle w:val="Hipervnculo"/>
          </w:rPr>
          <w:t>https://www.aseslp.gob.mx/PaginaWebDocs/Conocenos/MarcoNormativo/Presupuestos/Ingresos/IngresosMpios/Ingresos2019/Tamuin10012019.pdf</w:t>
        </w:r>
      </w:hyperlink>
      <w:bookmarkStart w:id="0" w:name="_GoBack"/>
      <w:bookmarkEnd w:id="0"/>
    </w:p>
    <w:sectPr w:rsidR="00A550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157"/>
    <w:rsid w:val="003D0157"/>
    <w:rsid w:val="00A5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D13C85-EBD3-4A87-A41A-9F65B4C9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D01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seslp.gob.mx/PaginaWebDocs/Conocenos/MarcoNormativo/Presupuestos/Ingresos/IngresosMpios/Ingresos2019/Tamuin10012019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2019-10-05T16:27:00Z</dcterms:created>
  <dcterms:modified xsi:type="dcterms:W3CDTF">2019-10-05T16:28:00Z</dcterms:modified>
</cp:coreProperties>
</file>