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43F" w:rsidRPr="004A65DD" w:rsidRDefault="006C043F" w:rsidP="006C043F">
      <w:pPr>
        <w:pStyle w:val="Ttulo"/>
        <w:spacing w:before="0" w:after="0"/>
        <w:jc w:val="right"/>
        <w:rPr>
          <w:rFonts w:ascii="Arial" w:hAnsi="Arial" w:cs="Arial"/>
          <w:color w:val="2E74B5" w:themeColor="accent1" w:themeShade="BF"/>
          <w:sz w:val="24"/>
          <w:szCs w:val="24"/>
        </w:rPr>
      </w:pPr>
      <w:r w:rsidRPr="004A65DD">
        <w:rPr>
          <w:rFonts w:ascii="Arial" w:hAnsi="Arial" w:cs="Arial"/>
          <w:color w:val="2E74B5" w:themeColor="accent1" w:themeShade="BF"/>
        </w:rPr>
        <w:t xml:space="preserve">   </w:t>
      </w:r>
      <w:r w:rsidRPr="004A65DD">
        <w:rPr>
          <w:rFonts w:ascii="Arial" w:hAnsi="Arial" w:cs="Arial"/>
          <w:color w:val="2E74B5" w:themeColor="accent1" w:themeShade="BF"/>
          <w:sz w:val="24"/>
          <w:szCs w:val="24"/>
        </w:rPr>
        <w:t xml:space="preserve">  RECURSO DE REVISIÓN </w:t>
      </w:r>
      <w:r w:rsidR="00282FCC" w:rsidRPr="00282FCC">
        <w:rPr>
          <w:rFonts w:ascii="Arial" w:hAnsi="Arial" w:cs="Arial"/>
          <w:color w:val="2E74B5" w:themeColor="accent1" w:themeShade="BF"/>
          <w:sz w:val="24"/>
          <w:szCs w:val="24"/>
        </w:rPr>
        <w:t>8</w:t>
      </w:r>
      <w:r w:rsidR="00EF3616">
        <w:rPr>
          <w:rFonts w:ascii="Arial" w:hAnsi="Arial" w:cs="Arial"/>
          <w:color w:val="2E74B5" w:themeColor="accent1" w:themeShade="BF"/>
          <w:sz w:val="24"/>
          <w:szCs w:val="24"/>
        </w:rPr>
        <w:t>39</w:t>
      </w:r>
      <w:r w:rsidRPr="00282FCC">
        <w:rPr>
          <w:rFonts w:ascii="Arial" w:hAnsi="Arial" w:cs="Arial"/>
          <w:color w:val="2E74B5" w:themeColor="accent1" w:themeShade="BF"/>
          <w:sz w:val="24"/>
          <w:szCs w:val="24"/>
        </w:rPr>
        <w:t>/</w:t>
      </w:r>
      <w:r w:rsidRPr="004A65DD">
        <w:rPr>
          <w:rFonts w:ascii="Arial" w:hAnsi="Arial" w:cs="Arial"/>
          <w:color w:val="2E74B5" w:themeColor="accent1" w:themeShade="BF"/>
          <w:sz w:val="24"/>
          <w:szCs w:val="24"/>
        </w:rPr>
        <w:t>2019-2</w:t>
      </w:r>
    </w:p>
    <w:p w:rsidR="006C043F" w:rsidRPr="004A65DD" w:rsidRDefault="006C043F" w:rsidP="006C043F">
      <w:pPr>
        <w:pStyle w:val="corte1datos"/>
        <w:spacing w:line="276" w:lineRule="auto"/>
        <w:jc w:val="right"/>
        <w:rPr>
          <w:rFonts w:cs="Arial"/>
          <w:color w:val="2E74B5" w:themeColor="accent1" w:themeShade="BF"/>
          <w:sz w:val="24"/>
          <w:szCs w:val="24"/>
        </w:rPr>
      </w:pPr>
    </w:p>
    <w:p w:rsidR="006C043F" w:rsidRPr="004A65DD" w:rsidRDefault="006C043F" w:rsidP="006C043F">
      <w:pPr>
        <w:pStyle w:val="corte2ponente"/>
        <w:spacing w:line="276" w:lineRule="auto"/>
        <w:jc w:val="right"/>
        <w:rPr>
          <w:rFonts w:cs="Arial"/>
          <w:color w:val="2E74B5" w:themeColor="accent1" w:themeShade="BF"/>
          <w:sz w:val="24"/>
          <w:szCs w:val="24"/>
        </w:rPr>
      </w:pPr>
      <w:r w:rsidRPr="004A65DD">
        <w:rPr>
          <w:rFonts w:cs="Arial"/>
          <w:color w:val="2E74B5" w:themeColor="accent1" w:themeShade="BF"/>
          <w:sz w:val="24"/>
          <w:szCs w:val="24"/>
        </w:rPr>
        <w:t xml:space="preserve">COMISIONADO PONENTE: </w:t>
      </w:r>
    </w:p>
    <w:p w:rsidR="006C043F" w:rsidRPr="004A65DD" w:rsidRDefault="006C043F" w:rsidP="006C043F">
      <w:pPr>
        <w:pStyle w:val="corte2ponente"/>
        <w:spacing w:line="276" w:lineRule="auto"/>
        <w:jc w:val="right"/>
        <w:rPr>
          <w:rFonts w:cs="Arial"/>
          <w:color w:val="2E74B5" w:themeColor="accent1" w:themeShade="BF"/>
          <w:sz w:val="24"/>
          <w:szCs w:val="24"/>
        </w:rPr>
      </w:pPr>
      <w:r w:rsidRPr="004A65DD">
        <w:rPr>
          <w:rFonts w:cs="Arial"/>
          <w:color w:val="2E74B5" w:themeColor="accent1" w:themeShade="BF"/>
          <w:sz w:val="24"/>
          <w:szCs w:val="24"/>
        </w:rPr>
        <w:t>LIC. PAULINA SÁNCHEZ PÉREZ DEL POZO</w:t>
      </w:r>
    </w:p>
    <w:p w:rsidR="006C043F" w:rsidRPr="004A65DD" w:rsidRDefault="006C043F" w:rsidP="006C043F">
      <w:pPr>
        <w:pStyle w:val="corte2ponente"/>
        <w:spacing w:line="276" w:lineRule="auto"/>
        <w:jc w:val="right"/>
        <w:rPr>
          <w:rFonts w:cs="Arial"/>
          <w:color w:val="2E74B5" w:themeColor="accent1" w:themeShade="BF"/>
          <w:sz w:val="24"/>
          <w:szCs w:val="24"/>
        </w:rPr>
      </w:pPr>
    </w:p>
    <w:p w:rsidR="006C043F" w:rsidRPr="004A65DD" w:rsidRDefault="00282FCC" w:rsidP="00282FCC">
      <w:pPr>
        <w:pStyle w:val="corte2ponente"/>
        <w:spacing w:line="276" w:lineRule="auto"/>
        <w:jc w:val="right"/>
        <w:rPr>
          <w:rFonts w:cs="Arial"/>
          <w:color w:val="2E74B5" w:themeColor="accent1" w:themeShade="BF"/>
          <w:sz w:val="24"/>
          <w:szCs w:val="24"/>
        </w:rPr>
      </w:pPr>
      <w:r>
        <w:rPr>
          <w:rFonts w:cs="Arial"/>
          <w:color w:val="2E74B5" w:themeColor="accent1" w:themeShade="BF"/>
          <w:sz w:val="24"/>
          <w:szCs w:val="24"/>
        </w:rPr>
        <w:t>SUJETO OBLIGADO: PARTIDO MOVIMIENTO DE REGENERACIÓN NACIONAL</w:t>
      </w:r>
      <w:r w:rsidR="006C043F" w:rsidRPr="004A65DD">
        <w:rPr>
          <w:rFonts w:cs="Arial"/>
          <w:caps w:val="0"/>
          <w:color w:val="2E74B5" w:themeColor="accent1" w:themeShade="BF"/>
          <w:sz w:val="24"/>
          <w:szCs w:val="24"/>
        </w:rPr>
        <w:t>.</w:t>
      </w:r>
    </w:p>
    <w:p w:rsidR="006C043F" w:rsidRPr="004A65DD" w:rsidRDefault="006C043F" w:rsidP="006C043F">
      <w:pPr>
        <w:pStyle w:val="corte2ponente"/>
        <w:spacing w:line="276" w:lineRule="auto"/>
        <w:jc w:val="right"/>
        <w:rPr>
          <w:rFonts w:cs="Arial"/>
          <w:color w:val="2E74B5" w:themeColor="accent1" w:themeShade="BF"/>
          <w:sz w:val="24"/>
          <w:szCs w:val="24"/>
        </w:rPr>
      </w:pPr>
    </w:p>
    <w:p w:rsidR="006C043F" w:rsidRPr="004A65DD" w:rsidRDefault="006C043F" w:rsidP="006C043F">
      <w:pPr>
        <w:pStyle w:val="corte2ponente"/>
        <w:spacing w:line="276" w:lineRule="auto"/>
        <w:rPr>
          <w:rFonts w:cs="Arial"/>
          <w:color w:val="2E74B5" w:themeColor="accent1" w:themeShade="BF"/>
          <w:sz w:val="24"/>
          <w:szCs w:val="24"/>
        </w:rPr>
      </w:pPr>
    </w:p>
    <w:p w:rsidR="006C043F" w:rsidRPr="004A65DD" w:rsidRDefault="006C043F" w:rsidP="006C043F">
      <w:pPr>
        <w:pStyle w:val="corte2ponente"/>
        <w:spacing w:line="276" w:lineRule="auto"/>
        <w:rPr>
          <w:rFonts w:cs="Arial"/>
          <w:color w:val="2E74B5" w:themeColor="accent1" w:themeShade="BF"/>
          <w:sz w:val="24"/>
          <w:szCs w:val="24"/>
        </w:rPr>
      </w:pPr>
    </w:p>
    <w:p w:rsidR="006C043F" w:rsidRPr="004A65DD" w:rsidRDefault="006C043F" w:rsidP="006C043F">
      <w:pPr>
        <w:pStyle w:val="corte4fondo"/>
        <w:spacing w:line="276" w:lineRule="auto"/>
        <w:ind w:firstLine="0"/>
        <w:rPr>
          <w:rFonts w:cs="Arial"/>
          <w:b/>
          <w:color w:val="2E74B5" w:themeColor="accent1" w:themeShade="BF"/>
          <w:sz w:val="24"/>
          <w:szCs w:val="24"/>
          <w:vertAlign w:val="subscript"/>
        </w:rPr>
      </w:pPr>
      <w:r w:rsidRPr="004A65DD">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sidR="00282FCC">
        <w:rPr>
          <w:rFonts w:cs="Arial"/>
          <w:color w:val="2E74B5" w:themeColor="accent1" w:themeShade="BF"/>
          <w:sz w:val="24"/>
          <w:szCs w:val="24"/>
        </w:rPr>
        <w:t>O</w:t>
      </w:r>
      <w:r w:rsidRPr="004A65DD">
        <w:rPr>
          <w:rFonts w:cs="Arial"/>
          <w:color w:val="2E74B5" w:themeColor="accent1" w:themeShade="BF"/>
          <w:sz w:val="24"/>
          <w:szCs w:val="24"/>
        </w:rPr>
        <w:t xml:space="preserve">rdinaria de </w:t>
      </w:r>
      <w:r w:rsidR="00282FCC">
        <w:rPr>
          <w:rFonts w:cs="Arial"/>
          <w:color w:val="2E74B5" w:themeColor="accent1" w:themeShade="BF"/>
          <w:sz w:val="24"/>
          <w:szCs w:val="24"/>
        </w:rPr>
        <w:t>05 cinco de agosto</w:t>
      </w:r>
      <w:r>
        <w:rPr>
          <w:rFonts w:cs="Arial"/>
          <w:color w:val="2E74B5" w:themeColor="accent1" w:themeShade="BF"/>
          <w:sz w:val="24"/>
          <w:szCs w:val="24"/>
        </w:rPr>
        <w:t xml:space="preserve"> </w:t>
      </w:r>
      <w:r w:rsidRPr="004A65DD">
        <w:rPr>
          <w:rFonts w:cs="Arial"/>
          <w:color w:val="2E74B5" w:themeColor="accent1" w:themeShade="BF"/>
          <w:sz w:val="24"/>
          <w:szCs w:val="24"/>
        </w:rPr>
        <w:t xml:space="preserve">de 2019 dos mil diecinueve. </w:t>
      </w:r>
      <w:r w:rsidRPr="004A65DD">
        <w:rPr>
          <w:rFonts w:cs="Arial"/>
          <w:b/>
          <w:color w:val="2E74B5" w:themeColor="accent1" w:themeShade="BF"/>
          <w:sz w:val="24"/>
          <w:szCs w:val="24"/>
          <w:vertAlign w:val="subscript"/>
        </w:rPr>
        <w:t xml:space="preserve"> </w:t>
      </w:r>
    </w:p>
    <w:p w:rsidR="006C043F" w:rsidRPr="004A65DD" w:rsidRDefault="006C043F" w:rsidP="006C043F">
      <w:pPr>
        <w:pStyle w:val="corte4fondo"/>
        <w:spacing w:line="276" w:lineRule="auto"/>
        <w:ind w:firstLine="0"/>
        <w:rPr>
          <w:rFonts w:cs="Arial"/>
          <w:b/>
          <w:color w:val="2E74B5" w:themeColor="accent1" w:themeShade="BF"/>
          <w:sz w:val="24"/>
          <w:szCs w:val="24"/>
        </w:rPr>
      </w:pPr>
    </w:p>
    <w:p w:rsidR="006C043F" w:rsidRPr="004A65DD"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VISTOS</w:t>
      </w:r>
      <w:r w:rsidRPr="004A65DD">
        <w:rPr>
          <w:rFonts w:cs="Arial"/>
          <w:color w:val="2E74B5" w:themeColor="accent1" w:themeShade="BF"/>
          <w:sz w:val="24"/>
          <w:szCs w:val="24"/>
        </w:rPr>
        <w:t>, para resolver, los autos del recurso de revisión identificado al rubro; y</w:t>
      </w:r>
    </w:p>
    <w:p w:rsidR="006C043F" w:rsidRPr="004A65DD" w:rsidRDefault="006C043F" w:rsidP="006C043F">
      <w:pPr>
        <w:pStyle w:val="corte4fondo"/>
        <w:spacing w:line="276" w:lineRule="auto"/>
        <w:rPr>
          <w:rFonts w:cs="Arial"/>
          <w:color w:val="2E74B5" w:themeColor="accent1" w:themeShade="BF"/>
          <w:sz w:val="24"/>
          <w:szCs w:val="24"/>
        </w:rPr>
      </w:pPr>
    </w:p>
    <w:p w:rsidR="006C043F" w:rsidRPr="004A65DD" w:rsidRDefault="006C043F" w:rsidP="006C043F">
      <w:pPr>
        <w:pStyle w:val="corte4fondo"/>
        <w:spacing w:line="276" w:lineRule="auto"/>
        <w:jc w:val="center"/>
        <w:rPr>
          <w:rFonts w:cs="Arial"/>
          <w:color w:val="2E74B5" w:themeColor="accent1" w:themeShade="BF"/>
          <w:sz w:val="24"/>
          <w:szCs w:val="24"/>
        </w:rPr>
      </w:pPr>
      <w:r w:rsidRPr="004A65DD">
        <w:rPr>
          <w:rFonts w:cs="Arial"/>
          <w:b/>
          <w:color w:val="2E74B5" w:themeColor="accent1" w:themeShade="BF"/>
          <w:sz w:val="24"/>
          <w:szCs w:val="24"/>
        </w:rPr>
        <w:t>R E S U L T A N D O</w:t>
      </w:r>
      <w:r w:rsidRPr="004A65DD">
        <w:rPr>
          <w:rFonts w:cs="Arial"/>
          <w:color w:val="2E74B5" w:themeColor="accent1" w:themeShade="BF"/>
          <w:sz w:val="24"/>
          <w:szCs w:val="24"/>
        </w:rPr>
        <w:t>:</w:t>
      </w:r>
    </w:p>
    <w:p w:rsidR="006C043F" w:rsidRPr="004A65DD" w:rsidRDefault="006C043F" w:rsidP="006C043F">
      <w:pPr>
        <w:pStyle w:val="corte4fondo"/>
        <w:spacing w:line="276" w:lineRule="auto"/>
        <w:jc w:val="center"/>
        <w:rPr>
          <w:rFonts w:cs="Arial"/>
          <w:color w:val="2E74B5" w:themeColor="accent1" w:themeShade="BF"/>
          <w:sz w:val="24"/>
          <w:szCs w:val="24"/>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 xml:space="preserve">PRIMERO. Solicitud de acceso a la información pública. </w:t>
      </w:r>
      <w:r w:rsidRPr="004A65DD">
        <w:rPr>
          <w:rFonts w:ascii="Arial" w:eastAsia="Times New Roman" w:hAnsi="Arial" w:cs="Arial"/>
          <w:color w:val="2E74B5" w:themeColor="accent1" w:themeShade="BF"/>
          <w:sz w:val="24"/>
          <w:szCs w:val="24"/>
          <w:lang w:eastAsia="es-MX"/>
        </w:rPr>
        <w:t>Según consta en la Plataforma Nacional d</w:t>
      </w:r>
      <w:r>
        <w:rPr>
          <w:rFonts w:ascii="Arial" w:eastAsia="Times New Roman" w:hAnsi="Arial" w:cs="Arial"/>
          <w:color w:val="2E74B5" w:themeColor="accent1" w:themeShade="BF"/>
          <w:sz w:val="24"/>
          <w:szCs w:val="24"/>
          <w:lang w:eastAsia="es-MX"/>
        </w:rPr>
        <w:t xml:space="preserve">e Transparencia en el folio </w:t>
      </w:r>
      <w:r w:rsidR="00282FCC">
        <w:rPr>
          <w:rFonts w:ascii="Arial" w:eastAsia="Times New Roman" w:hAnsi="Arial" w:cs="Arial"/>
          <w:color w:val="2E74B5" w:themeColor="accent1" w:themeShade="BF"/>
          <w:sz w:val="24"/>
          <w:szCs w:val="24"/>
          <w:lang w:eastAsia="es-MX"/>
        </w:rPr>
        <w:t>00</w:t>
      </w:r>
      <w:r w:rsidR="001A28A1">
        <w:rPr>
          <w:rFonts w:ascii="Arial" w:eastAsia="Times New Roman" w:hAnsi="Arial" w:cs="Arial"/>
          <w:color w:val="2E74B5" w:themeColor="accent1" w:themeShade="BF"/>
          <w:sz w:val="24"/>
          <w:szCs w:val="24"/>
          <w:lang w:eastAsia="es-MX"/>
        </w:rPr>
        <w:t>54</w:t>
      </w:r>
      <w:r w:rsidR="006C7F58">
        <w:rPr>
          <w:rFonts w:ascii="Arial" w:eastAsia="Times New Roman" w:hAnsi="Arial" w:cs="Arial"/>
          <w:color w:val="2E74B5" w:themeColor="accent1" w:themeShade="BF"/>
          <w:sz w:val="24"/>
          <w:szCs w:val="24"/>
          <w:lang w:eastAsia="es-MX"/>
        </w:rPr>
        <w:t>4419</w:t>
      </w:r>
      <w:r w:rsidRPr="004A65DD">
        <w:rPr>
          <w:rFonts w:ascii="Arial" w:eastAsia="Times New Roman" w:hAnsi="Arial" w:cs="Arial"/>
          <w:b/>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 xml:space="preserve">cero, cero,  </w:t>
      </w:r>
      <w:r w:rsidR="00282FCC">
        <w:rPr>
          <w:rFonts w:ascii="Arial" w:eastAsia="Times New Roman" w:hAnsi="Arial" w:cs="Arial"/>
          <w:color w:val="2E74B5" w:themeColor="accent1" w:themeShade="BF"/>
          <w:sz w:val="24"/>
          <w:szCs w:val="24"/>
          <w:lang w:eastAsia="es-MX"/>
        </w:rPr>
        <w:t xml:space="preserve">quinientos </w:t>
      </w:r>
      <w:r w:rsidR="004E51AE">
        <w:rPr>
          <w:rFonts w:ascii="Arial" w:eastAsia="Times New Roman" w:hAnsi="Arial" w:cs="Arial"/>
          <w:color w:val="2E74B5" w:themeColor="accent1" w:themeShade="BF"/>
          <w:sz w:val="24"/>
          <w:szCs w:val="24"/>
          <w:lang w:eastAsia="es-MX"/>
        </w:rPr>
        <w:t>cuarenta</w:t>
      </w:r>
      <w:r w:rsidR="00EE4A6A">
        <w:rPr>
          <w:rFonts w:ascii="Arial" w:eastAsia="Times New Roman" w:hAnsi="Arial" w:cs="Arial"/>
          <w:color w:val="2E74B5" w:themeColor="accent1" w:themeShade="BF"/>
          <w:sz w:val="24"/>
          <w:szCs w:val="24"/>
          <w:lang w:eastAsia="es-MX"/>
        </w:rPr>
        <w:t xml:space="preserve"> y </w:t>
      </w:r>
      <w:r w:rsidR="006C7F58">
        <w:rPr>
          <w:rFonts w:ascii="Arial" w:eastAsia="Times New Roman" w:hAnsi="Arial" w:cs="Arial"/>
          <w:color w:val="2E74B5" w:themeColor="accent1" w:themeShade="BF"/>
          <w:sz w:val="24"/>
          <w:szCs w:val="24"/>
          <w:lang w:eastAsia="es-MX"/>
        </w:rPr>
        <w:t>cuatro</w:t>
      </w:r>
      <w:r w:rsidR="00022A76">
        <w:rPr>
          <w:rFonts w:ascii="Arial" w:eastAsia="Times New Roman" w:hAnsi="Arial" w:cs="Arial"/>
          <w:color w:val="2E74B5" w:themeColor="accent1" w:themeShade="BF"/>
          <w:sz w:val="24"/>
          <w:szCs w:val="24"/>
          <w:lang w:eastAsia="es-MX"/>
        </w:rPr>
        <w:t xml:space="preserve"> </w:t>
      </w:r>
      <w:r w:rsidR="00282FCC">
        <w:rPr>
          <w:rFonts w:ascii="Arial" w:eastAsia="Times New Roman" w:hAnsi="Arial" w:cs="Arial"/>
          <w:color w:val="2E74B5" w:themeColor="accent1" w:themeShade="BF"/>
          <w:sz w:val="24"/>
          <w:szCs w:val="24"/>
          <w:lang w:eastAsia="es-MX"/>
        </w:rPr>
        <w:t xml:space="preserve">mil, </w:t>
      </w:r>
      <w:r w:rsidR="006C7F58">
        <w:rPr>
          <w:rFonts w:ascii="Arial" w:eastAsia="Times New Roman" w:hAnsi="Arial" w:cs="Arial"/>
          <w:color w:val="2E74B5" w:themeColor="accent1" w:themeShade="BF"/>
          <w:sz w:val="24"/>
          <w:szCs w:val="24"/>
          <w:lang w:eastAsia="es-MX"/>
        </w:rPr>
        <w:t>cuatrocientos</w:t>
      </w:r>
      <w:r w:rsidR="00803097">
        <w:rPr>
          <w:rFonts w:ascii="Arial" w:eastAsia="Times New Roman" w:hAnsi="Arial" w:cs="Arial"/>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 xml:space="preserve">diecinueve, el </w:t>
      </w:r>
      <w:r w:rsidR="00282FCC">
        <w:rPr>
          <w:rFonts w:ascii="Arial" w:eastAsia="Times New Roman" w:hAnsi="Arial" w:cs="Arial"/>
          <w:color w:val="2E74B5" w:themeColor="accent1" w:themeShade="BF"/>
          <w:sz w:val="24"/>
          <w:szCs w:val="24"/>
          <w:lang w:eastAsia="es-MX"/>
        </w:rPr>
        <w:t>26 veintiséis de abril</w:t>
      </w:r>
      <w:r w:rsidR="00765FC8">
        <w:rPr>
          <w:rFonts w:ascii="Arial" w:eastAsia="Times New Roman" w:hAnsi="Arial" w:cs="Arial"/>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de 2019 dos mil diecinueve el</w:t>
      </w:r>
      <w:r w:rsidRPr="004A65DD">
        <w:rPr>
          <w:rFonts w:ascii="Arial" w:eastAsia="Times New Roman" w:hAnsi="Arial" w:cs="Arial"/>
          <w:b/>
          <w:color w:val="2E74B5" w:themeColor="accent1" w:themeShade="BF"/>
          <w:sz w:val="24"/>
          <w:szCs w:val="24"/>
          <w:lang w:eastAsia="es-MX"/>
        </w:rPr>
        <w:t xml:space="preserve"> </w:t>
      </w:r>
      <w:r w:rsidR="00282FCC">
        <w:rPr>
          <w:rFonts w:ascii="Arial" w:eastAsia="Times New Roman" w:hAnsi="Arial" w:cs="Arial"/>
          <w:b/>
          <w:color w:val="2E74B5" w:themeColor="accent1" w:themeShade="BF"/>
          <w:sz w:val="24"/>
          <w:szCs w:val="24"/>
          <w:lang w:eastAsia="es-MX"/>
        </w:rPr>
        <w:t>Partido Movimiento de Regeneración Nacional</w:t>
      </w:r>
      <w:r w:rsidR="00B1132B">
        <w:rPr>
          <w:rFonts w:ascii="Arial" w:eastAsia="Times New Roman" w:hAnsi="Arial" w:cs="Arial"/>
          <w:b/>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4A65DD">
        <w:rPr>
          <w:rFonts w:ascii="Arial" w:eastAsia="Times New Roman" w:hAnsi="Arial" w:cs="Arial"/>
          <w:color w:val="2E74B5" w:themeColor="accent1" w:themeShade="BF"/>
          <w:sz w:val="24"/>
          <w:szCs w:val="24"/>
          <w:vertAlign w:val="superscript"/>
          <w:lang w:eastAsia="es-MX"/>
        </w:rPr>
        <w:footnoteReference w:id="1"/>
      </w:r>
      <w:r w:rsidRPr="004A65DD">
        <w:rPr>
          <w:rFonts w:ascii="Arial" w:eastAsia="Times New Roman" w:hAnsi="Arial" w:cs="Arial"/>
          <w:color w:val="2E74B5" w:themeColor="accent1" w:themeShade="BF"/>
          <w:sz w:val="24"/>
          <w:szCs w:val="24"/>
          <w:lang w:eastAsia="es-MX"/>
        </w:rPr>
        <w:t>:</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Default="006C7F58" w:rsidP="006C043F">
      <w:pPr>
        <w:spacing w:after="0"/>
        <w:jc w:val="both"/>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5015230" cy="1673259"/>
            <wp:effectExtent l="1905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015230" cy="1673259"/>
                    </a:xfrm>
                    <a:prstGeom prst="rect">
                      <a:avLst/>
                    </a:prstGeom>
                    <a:noFill/>
                    <a:ln w="9525">
                      <a:noFill/>
                      <a:miter lim="800000"/>
                      <a:headEnd/>
                      <a:tailEnd/>
                    </a:ln>
                  </pic:spPr>
                </pic:pic>
              </a:graphicData>
            </a:graphic>
          </wp:inline>
        </w:drawing>
      </w:r>
    </w:p>
    <w:p w:rsidR="00B1132B" w:rsidRPr="004A65DD" w:rsidRDefault="00B1132B" w:rsidP="006C043F">
      <w:pPr>
        <w:spacing w:after="0"/>
        <w:jc w:val="both"/>
        <w:rPr>
          <w:rFonts w:ascii="Arial" w:eastAsia="Times New Roman" w:hAnsi="Arial" w:cs="Arial"/>
          <w:color w:val="2E74B5" w:themeColor="accent1" w:themeShade="BF"/>
          <w:sz w:val="24"/>
          <w:szCs w:val="24"/>
          <w:lang w:eastAsia="es-MX"/>
        </w:rPr>
      </w:pPr>
    </w:p>
    <w:p w:rsidR="006C043F" w:rsidRPr="004A65DD" w:rsidRDefault="009A51D0" w:rsidP="009A51D0">
      <w:pPr>
        <w:spacing w:after="0"/>
        <w:ind w:firstLine="709"/>
        <w:jc w:val="both"/>
        <w:rPr>
          <w:rFonts w:ascii="Arial" w:hAnsi="Arial" w:cs="Arial"/>
          <w:i/>
          <w:color w:val="2E74B5" w:themeColor="accent1" w:themeShade="BF"/>
          <w:sz w:val="20"/>
          <w:szCs w:val="20"/>
        </w:rPr>
      </w:pPr>
      <w:r w:rsidRPr="004A65DD">
        <w:rPr>
          <w:rFonts w:ascii="Arial" w:hAnsi="Arial" w:cs="Arial"/>
          <w:i/>
          <w:color w:val="2E74B5" w:themeColor="accent1" w:themeShade="BF"/>
          <w:sz w:val="20"/>
          <w:szCs w:val="20"/>
        </w:rPr>
        <w:t>“…</w:t>
      </w:r>
      <w:r w:rsidR="006C7F58" w:rsidRPr="006C7F58">
        <w:rPr>
          <w:rFonts w:ascii="Arial" w:hAnsi="Arial" w:cs="Arial"/>
          <w:i/>
          <w:color w:val="2E74B5" w:themeColor="accent1" w:themeShade="BF"/>
          <w:sz w:val="20"/>
          <w:szCs w:val="20"/>
        </w:rPr>
        <w:t xml:space="preserve">Conforme a la LTAIPSLP, solicito la información referente a las aportaciones realizadas por privados a la campaña del candidato de este partido político por el municipio de </w:t>
      </w:r>
      <w:proofErr w:type="spellStart"/>
      <w:r w:rsidR="006C7F58" w:rsidRPr="006C7F58">
        <w:rPr>
          <w:rFonts w:ascii="Arial" w:hAnsi="Arial" w:cs="Arial"/>
          <w:i/>
          <w:color w:val="2E74B5" w:themeColor="accent1" w:themeShade="BF"/>
          <w:sz w:val="20"/>
          <w:szCs w:val="20"/>
        </w:rPr>
        <w:t>matlapa</w:t>
      </w:r>
      <w:proofErr w:type="spellEnd"/>
      <w:r w:rsidR="006C7F58" w:rsidRPr="006C7F58">
        <w:rPr>
          <w:rFonts w:ascii="Arial" w:hAnsi="Arial" w:cs="Arial"/>
          <w:i/>
          <w:color w:val="2E74B5" w:themeColor="accent1" w:themeShade="BF"/>
          <w:sz w:val="20"/>
          <w:szCs w:val="20"/>
        </w:rPr>
        <w:t>, en el periodo electoral 2017-2018, en San Luis Potosí, incluyendo nombre de quien aporto, si fue en especie o económico el apoyo y su distribución en dicha campaña</w:t>
      </w:r>
      <w:r w:rsidR="001D2F80" w:rsidRPr="001D2F80">
        <w:rPr>
          <w:rFonts w:ascii="Arial" w:hAnsi="Arial" w:cs="Arial"/>
          <w:i/>
          <w:color w:val="2E74B5" w:themeColor="accent1" w:themeShade="BF"/>
          <w:sz w:val="20"/>
          <w:szCs w:val="20"/>
        </w:rPr>
        <w:t>…</w:t>
      </w:r>
      <w:r w:rsidR="006C043F" w:rsidRPr="004A65DD">
        <w:rPr>
          <w:rFonts w:ascii="Arial" w:hAnsi="Arial" w:cs="Arial"/>
          <w:i/>
          <w:color w:val="2E74B5" w:themeColor="accent1" w:themeShade="BF"/>
          <w:sz w:val="20"/>
          <w:szCs w:val="20"/>
        </w:rPr>
        <w:t>”</w:t>
      </w:r>
    </w:p>
    <w:p w:rsidR="006C043F" w:rsidRPr="004A65DD" w:rsidRDefault="006C043F" w:rsidP="006C043F">
      <w:pPr>
        <w:spacing w:after="0"/>
        <w:ind w:firstLine="709"/>
        <w:jc w:val="both"/>
        <w:rPr>
          <w:rFonts w:ascii="Arial" w:hAnsi="Arial" w:cs="Arial"/>
          <w:i/>
          <w:color w:val="2E74B5" w:themeColor="accent1" w:themeShade="BF"/>
          <w:sz w:val="24"/>
          <w:szCs w:val="24"/>
        </w:rPr>
      </w:pPr>
    </w:p>
    <w:p w:rsidR="006C043F"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 xml:space="preserve">SEGUNDO. </w:t>
      </w:r>
      <w:r w:rsidRPr="00390A0B">
        <w:rPr>
          <w:rFonts w:cs="Arial"/>
          <w:b/>
          <w:color w:val="2E74B5" w:themeColor="accent1" w:themeShade="BF"/>
          <w:sz w:val="24"/>
          <w:szCs w:val="24"/>
        </w:rPr>
        <w:t xml:space="preserve">Respuesta a la solicitud de acceso a la información pública. </w:t>
      </w:r>
      <w:r w:rsidRPr="00390A0B">
        <w:rPr>
          <w:rFonts w:cs="Arial"/>
          <w:color w:val="2E74B5" w:themeColor="accent1" w:themeShade="BF"/>
          <w:sz w:val="24"/>
          <w:szCs w:val="24"/>
        </w:rPr>
        <w:t xml:space="preserve">El </w:t>
      </w:r>
      <w:r w:rsidR="006C301F" w:rsidRPr="00390A0B">
        <w:rPr>
          <w:rFonts w:cs="Arial"/>
          <w:color w:val="2E74B5" w:themeColor="accent1" w:themeShade="BF"/>
          <w:sz w:val="24"/>
          <w:szCs w:val="24"/>
        </w:rPr>
        <w:t>2</w:t>
      </w:r>
      <w:r w:rsidR="009A51D0" w:rsidRPr="00390A0B">
        <w:rPr>
          <w:rFonts w:cs="Arial"/>
          <w:color w:val="2E74B5" w:themeColor="accent1" w:themeShade="BF"/>
          <w:sz w:val="24"/>
          <w:szCs w:val="24"/>
        </w:rPr>
        <w:t>7</w:t>
      </w:r>
      <w:r w:rsidR="006C301F" w:rsidRPr="00390A0B">
        <w:rPr>
          <w:rFonts w:cs="Arial"/>
          <w:color w:val="2E74B5" w:themeColor="accent1" w:themeShade="BF"/>
          <w:sz w:val="24"/>
          <w:szCs w:val="24"/>
        </w:rPr>
        <w:t xml:space="preserve"> </w:t>
      </w:r>
      <w:r w:rsidR="009A51D0" w:rsidRPr="00390A0B">
        <w:rPr>
          <w:rFonts w:cs="Arial"/>
          <w:color w:val="2E74B5" w:themeColor="accent1" w:themeShade="BF"/>
          <w:sz w:val="24"/>
          <w:szCs w:val="24"/>
        </w:rPr>
        <w:t>veintisiete</w:t>
      </w:r>
      <w:r w:rsidR="006C301F" w:rsidRPr="00390A0B">
        <w:rPr>
          <w:rFonts w:cs="Arial"/>
          <w:color w:val="2E74B5" w:themeColor="accent1" w:themeShade="BF"/>
          <w:sz w:val="24"/>
          <w:szCs w:val="24"/>
        </w:rPr>
        <w:t xml:space="preserve"> de </w:t>
      </w:r>
      <w:r w:rsidR="009A51D0" w:rsidRPr="00390A0B">
        <w:rPr>
          <w:rFonts w:cs="Arial"/>
          <w:color w:val="2E74B5" w:themeColor="accent1" w:themeShade="BF"/>
          <w:sz w:val="24"/>
          <w:szCs w:val="24"/>
        </w:rPr>
        <w:t>abril</w:t>
      </w:r>
      <w:r w:rsidR="006C301F" w:rsidRPr="00390A0B">
        <w:rPr>
          <w:rFonts w:cs="Arial"/>
          <w:color w:val="2E74B5" w:themeColor="accent1" w:themeShade="BF"/>
          <w:sz w:val="24"/>
          <w:szCs w:val="24"/>
        </w:rPr>
        <w:t xml:space="preserve"> </w:t>
      </w:r>
      <w:r w:rsidRPr="00390A0B">
        <w:rPr>
          <w:rFonts w:cs="Arial"/>
          <w:color w:val="2E74B5" w:themeColor="accent1" w:themeShade="BF"/>
          <w:sz w:val="24"/>
          <w:szCs w:val="24"/>
        </w:rPr>
        <w:t>de 2019 dos mil diecinueve</w:t>
      </w:r>
      <w:r w:rsidRPr="004A65DD">
        <w:rPr>
          <w:rFonts w:cs="Arial"/>
          <w:color w:val="2E74B5" w:themeColor="accent1" w:themeShade="BF"/>
          <w:sz w:val="24"/>
          <w:szCs w:val="24"/>
        </w:rPr>
        <w:t xml:space="preserve"> el sujeto obligado</w:t>
      </w:r>
      <w:r w:rsidRPr="004A65DD">
        <w:rPr>
          <w:rFonts w:cs="Arial"/>
          <w:b/>
          <w:color w:val="2E74B5" w:themeColor="accent1" w:themeShade="BF"/>
          <w:sz w:val="24"/>
          <w:szCs w:val="24"/>
        </w:rPr>
        <w:t xml:space="preserve"> </w:t>
      </w:r>
      <w:r w:rsidRPr="004A65DD">
        <w:rPr>
          <w:rFonts w:cs="Arial"/>
          <w:color w:val="2E74B5" w:themeColor="accent1" w:themeShade="BF"/>
          <w:sz w:val="24"/>
          <w:szCs w:val="24"/>
        </w:rPr>
        <w:t>notificó al solicitante, por el mismo medio electrónico, la respuesta a la solicitud de acceso a la información pública, misma que es como sigue</w:t>
      </w:r>
      <w:r w:rsidRPr="004A65DD">
        <w:rPr>
          <w:rFonts w:cs="Arial"/>
          <w:color w:val="2E74B5" w:themeColor="accent1" w:themeShade="BF"/>
          <w:sz w:val="24"/>
          <w:szCs w:val="24"/>
          <w:vertAlign w:val="superscript"/>
        </w:rPr>
        <w:footnoteReference w:id="2"/>
      </w:r>
      <w:r w:rsidRPr="004A65DD">
        <w:rPr>
          <w:rFonts w:cs="Arial"/>
          <w:color w:val="2E74B5" w:themeColor="accent1" w:themeShade="BF"/>
          <w:sz w:val="24"/>
          <w:szCs w:val="24"/>
        </w:rPr>
        <w:t>:</w:t>
      </w:r>
    </w:p>
    <w:p w:rsidR="006C301F" w:rsidRDefault="006C301F" w:rsidP="006C043F">
      <w:pPr>
        <w:pStyle w:val="corte4fondo"/>
        <w:spacing w:line="276" w:lineRule="auto"/>
        <w:rPr>
          <w:rFonts w:cs="Arial"/>
          <w:color w:val="2E74B5" w:themeColor="accent1" w:themeShade="BF"/>
          <w:sz w:val="24"/>
          <w:szCs w:val="24"/>
        </w:rPr>
      </w:pPr>
    </w:p>
    <w:p w:rsidR="006C301F" w:rsidRPr="004A65DD" w:rsidRDefault="006C7F58" w:rsidP="006C301F">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lastRenderedPageBreak/>
        <w:drawing>
          <wp:inline distT="0" distB="0" distL="0" distR="0">
            <wp:extent cx="5026035" cy="1666240"/>
            <wp:effectExtent l="19050" t="0" r="3165" b="0"/>
            <wp:docPr id="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026035" cy="1666240"/>
                    </a:xfrm>
                    <a:prstGeom prst="rect">
                      <a:avLst/>
                    </a:prstGeom>
                    <a:noFill/>
                    <a:ln w="9525">
                      <a:noFill/>
                      <a:miter lim="800000"/>
                      <a:headEnd/>
                      <a:tailEnd/>
                    </a:ln>
                  </pic:spPr>
                </pic:pic>
              </a:graphicData>
            </a:graphic>
          </wp:inline>
        </w:drawing>
      </w:r>
    </w:p>
    <w:p w:rsidR="006C043F" w:rsidRPr="004A65DD" w:rsidRDefault="006C043F" w:rsidP="006C043F">
      <w:pPr>
        <w:pStyle w:val="corte4fondo"/>
        <w:spacing w:line="276" w:lineRule="auto"/>
        <w:rPr>
          <w:rFonts w:cs="Arial"/>
          <w:color w:val="2E74B5" w:themeColor="accent1" w:themeShade="BF"/>
          <w:sz w:val="24"/>
          <w:szCs w:val="24"/>
        </w:rPr>
      </w:pPr>
    </w:p>
    <w:p w:rsidR="006C7F58" w:rsidRPr="006C7F58" w:rsidRDefault="006C043F" w:rsidP="006C7F58">
      <w:pPr>
        <w:spacing w:after="0"/>
        <w:jc w:val="both"/>
        <w:rPr>
          <w:rFonts w:ascii="Arial" w:hAnsi="Arial" w:cs="Arial"/>
          <w:i/>
          <w:color w:val="2E74B5" w:themeColor="accent1" w:themeShade="BF"/>
          <w:sz w:val="20"/>
        </w:rPr>
      </w:pPr>
      <w:r w:rsidRPr="004A65DD">
        <w:rPr>
          <w:rFonts w:ascii="Arial" w:hAnsi="Arial" w:cs="Arial"/>
          <w:i/>
          <w:color w:val="2E74B5" w:themeColor="accent1" w:themeShade="BF"/>
          <w:sz w:val="20"/>
        </w:rPr>
        <w:t>“…</w:t>
      </w:r>
      <w:r w:rsidR="006C7F58" w:rsidRPr="006C7F58">
        <w:rPr>
          <w:rFonts w:ascii="Arial" w:hAnsi="Arial" w:cs="Arial"/>
          <w:i/>
          <w:color w:val="2E74B5" w:themeColor="accent1" w:themeShade="BF"/>
          <w:sz w:val="20"/>
        </w:rPr>
        <w:t>SAN LUIS POTOSI S.L.P. A  27 de Abril  2019</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 xml:space="preserve">Oficio 273/UTM/SLP/RSIP/2019           </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 xml:space="preserve">C. </w:t>
      </w:r>
      <w:r w:rsidRPr="006C7F58">
        <w:rPr>
          <w:rFonts w:ascii="Arial" w:hAnsi="Arial" w:cs="Arial"/>
          <w:i/>
          <w:sz w:val="20"/>
          <w:highlight w:val="black"/>
        </w:rPr>
        <w:t>alberto torres mendez</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00544419 de fecha 26 del mes de abril 2019, la cual quedó registrada en esta Unidad de Transparencia bajo el número 273/UTM/SLP/RSIP/2019, por este medio, Permítame informarle lo siguiente:</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https://sif-utf.ine.mx/sif_transparencia/app/transparenciaPublico/consulta?execution=e1s1</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https://sif-utf.ine.mx/sif_transparencia/app/transparenciaPublico/consulta?pr=3&amp;tpr=&amp;am=2&amp;ani=9&amp;en=24&amp;mn=58&amp;pp=93-3&amp;dtp=0&amp;dtps=10&amp;dtsf=V.NOMBRE&amp;dtso=ASCENDING&amp;cn=54372</w:t>
      </w:r>
    </w:p>
    <w:p w:rsidR="006C7F58" w:rsidRPr="006C7F58" w:rsidRDefault="006C7F58" w:rsidP="006C7F58">
      <w:pPr>
        <w:spacing w:after="0"/>
        <w:jc w:val="both"/>
        <w:rPr>
          <w:rFonts w:ascii="Arial" w:hAnsi="Arial" w:cs="Arial"/>
          <w:i/>
          <w:color w:val="2E74B5" w:themeColor="accent1" w:themeShade="BF"/>
          <w:sz w:val="20"/>
        </w:rPr>
      </w:pP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En espera de cumplir con las expectativas de su petición, reitero la disposición para servirle.</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ATENTAMENTE</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_________________________________</w:t>
      </w:r>
    </w:p>
    <w:p w:rsidR="006C7F58" w:rsidRPr="00C46826"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 xml:space="preserve">C. </w:t>
      </w:r>
      <w:r w:rsidRPr="00C46826">
        <w:rPr>
          <w:rFonts w:ascii="Arial" w:hAnsi="Arial" w:cs="Arial"/>
          <w:i/>
          <w:color w:val="2E74B5" w:themeColor="accent1" w:themeShade="BF"/>
          <w:sz w:val="20"/>
        </w:rPr>
        <w:t>TADEO MOLINA CANCINO</w:t>
      </w:r>
    </w:p>
    <w:p w:rsidR="006C7F58" w:rsidRPr="006C7F58"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TITULAR DE LA UNIDAD DE TRANSPARENCIA</w:t>
      </w:r>
    </w:p>
    <w:p w:rsidR="00736429" w:rsidRDefault="006C7F58" w:rsidP="006C7F58">
      <w:pPr>
        <w:spacing w:after="0"/>
        <w:jc w:val="both"/>
        <w:rPr>
          <w:rFonts w:ascii="Arial" w:hAnsi="Arial" w:cs="Arial"/>
          <w:i/>
          <w:color w:val="2E74B5" w:themeColor="accent1" w:themeShade="BF"/>
          <w:sz w:val="20"/>
        </w:rPr>
      </w:pPr>
      <w:r w:rsidRPr="006C7F58">
        <w:rPr>
          <w:rFonts w:ascii="Arial" w:hAnsi="Arial" w:cs="Arial"/>
          <w:i/>
          <w:color w:val="2E74B5" w:themeColor="accent1" w:themeShade="BF"/>
          <w:sz w:val="20"/>
        </w:rPr>
        <w:t>MORENA SAN LUIS POTOSÍ</w:t>
      </w:r>
      <w:r w:rsidR="00736429">
        <w:rPr>
          <w:rFonts w:ascii="Arial" w:hAnsi="Arial" w:cs="Arial"/>
          <w:i/>
          <w:color w:val="2E74B5" w:themeColor="accent1" w:themeShade="BF"/>
          <w:sz w:val="20"/>
        </w:rPr>
        <w:t>”</w:t>
      </w:r>
    </w:p>
    <w:p w:rsidR="00736429" w:rsidRDefault="00736429" w:rsidP="00736429">
      <w:pPr>
        <w:spacing w:after="0"/>
        <w:jc w:val="both"/>
        <w:rPr>
          <w:rFonts w:ascii="Arial" w:hAnsi="Arial" w:cs="Arial"/>
          <w:i/>
          <w:color w:val="2E74B5" w:themeColor="accent1" w:themeShade="BF"/>
          <w:sz w:val="20"/>
        </w:rPr>
      </w:pPr>
    </w:p>
    <w:p w:rsidR="00EA0767" w:rsidRPr="004E51AE" w:rsidRDefault="006C043F" w:rsidP="00736429">
      <w:pPr>
        <w:spacing w:after="0"/>
        <w:jc w:val="both"/>
        <w:rPr>
          <w:rFonts w:ascii="Arial" w:hAnsi="Arial" w:cs="Arial"/>
          <w:color w:val="2E74B5" w:themeColor="accent1" w:themeShade="BF"/>
          <w:sz w:val="24"/>
          <w:szCs w:val="24"/>
        </w:rPr>
      </w:pPr>
      <w:r w:rsidRPr="004E51AE">
        <w:rPr>
          <w:rFonts w:ascii="Arial" w:hAnsi="Arial" w:cs="Arial"/>
          <w:b/>
          <w:color w:val="2E74B5" w:themeColor="accent1" w:themeShade="BF"/>
          <w:sz w:val="24"/>
          <w:szCs w:val="24"/>
        </w:rPr>
        <w:t xml:space="preserve">TERCERO.  Interposición del recurso. </w:t>
      </w:r>
      <w:r w:rsidR="00EA0767" w:rsidRPr="004E51AE">
        <w:rPr>
          <w:rFonts w:ascii="Arial" w:hAnsi="Arial" w:cs="Arial"/>
          <w:color w:val="2E74B5" w:themeColor="accent1" w:themeShade="BF"/>
          <w:sz w:val="24"/>
          <w:szCs w:val="24"/>
        </w:rPr>
        <w:t xml:space="preserve">El </w:t>
      </w:r>
      <w:r w:rsidR="00D53AE4" w:rsidRPr="004E51AE">
        <w:rPr>
          <w:rFonts w:ascii="Arial" w:hAnsi="Arial" w:cs="Arial"/>
          <w:color w:val="2E74B5" w:themeColor="accent1" w:themeShade="BF"/>
          <w:sz w:val="24"/>
          <w:szCs w:val="24"/>
        </w:rPr>
        <w:t>30</w:t>
      </w:r>
      <w:r w:rsidR="00EA0767" w:rsidRPr="004E51AE">
        <w:rPr>
          <w:rFonts w:ascii="Arial" w:hAnsi="Arial" w:cs="Arial"/>
          <w:color w:val="2E74B5" w:themeColor="accent1" w:themeShade="BF"/>
          <w:sz w:val="24"/>
          <w:szCs w:val="24"/>
        </w:rPr>
        <w:t xml:space="preserve"> </w:t>
      </w:r>
      <w:r w:rsidR="00D53AE4" w:rsidRPr="004E51AE">
        <w:rPr>
          <w:rFonts w:ascii="Arial" w:hAnsi="Arial" w:cs="Arial"/>
          <w:color w:val="2E74B5" w:themeColor="accent1" w:themeShade="BF"/>
          <w:sz w:val="24"/>
          <w:szCs w:val="24"/>
        </w:rPr>
        <w:t>treinta</w:t>
      </w:r>
      <w:r w:rsidR="00EA0767" w:rsidRPr="004E51AE">
        <w:rPr>
          <w:rFonts w:ascii="Arial" w:hAnsi="Arial" w:cs="Arial"/>
          <w:color w:val="2E74B5" w:themeColor="accent1" w:themeShade="BF"/>
          <w:sz w:val="24"/>
          <w:szCs w:val="24"/>
        </w:rPr>
        <w:t xml:space="preserve"> de </w:t>
      </w:r>
      <w:r w:rsidR="00D53AE4" w:rsidRPr="004E51AE">
        <w:rPr>
          <w:rFonts w:ascii="Arial" w:hAnsi="Arial" w:cs="Arial"/>
          <w:color w:val="2E74B5" w:themeColor="accent1" w:themeShade="BF"/>
          <w:sz w:val="24"/>
          <w:szCs w:val="24"/>
        </w:rPr>
        <w:t>abril</w:t>
      </w:r>
      <w:r w:rsidR="00EA0767" w:rsidRPr="004E51AE">
        <w:rPr>
          <w:rFonts w:ascii="Arial" w:hAnsi="Arial" w:cs="Arial"/>
          <w:color w:val="2E74B5" w:themeColor="accent1" w:themeShade="BF"/>
          <w:sz w:val="24"/>
          <w:szCs w:val="24"/>
        </w:rPr>
        <w:t xml:space="preserve"> de</w:t>
      </w:r>
      <w:r w:rsidR="00280FE1" w:rsidRPr="004E51AE">
        <w:rPr>
          <w:rFonts w:ascii="Arial" w:hAnsi="Arial" w:cs="Arial"/>
          <w:color w:val="2E74B5" w:themeColor="accent1" w:themeShade="BF"/>
          <w:sz w:val="24"/>
          <w:szCs w:val="24"/>
        </w:rPr>
        <w:t xml:space="preserve"> 2019 dos mil diecinueve</w:t>
      </w:r>
      <w:r w:rsidR="00EA0767" w:rsidRPr="004E51AE">
        <w:rPr>
          <w:rFonts w:ascii="Arial" w:hAnsi="Arial" w:cs="Arial"/>
          <w:color w:val="2E74B5" w:themeColor="accent1" w:themeShade="BF"/>
          <w:sz w:val="24"/>
          <w:szCs w:val="24"/>
        </w:rPr>
        <w:t>, mediante registro RR000</w:t>
      </w:r>
      <w:r w:rsidR="006C7F58">
        <w:rPr>
          <w:rFonts w:ascii="Arial" w:hAnsi="Arial" w:cs="Arial"/>
          <w:color w:val="2E74B5" w:themeColor="accent1" w:themeShade="BF"/>
          <w:sz w:val="24"/>
          <w:szCs w:val="24"/>
        </w:rPr>
        <w:t>605</w:t>
      </w:r>
      <w:r w:rsidR="00803097">
        <w:rPr>
          <w:rFonts w:ascii="Arial" w:hAnsi="Arial" w:cs="Arial"/>
          <w:color w:val="2E74B5" w:themeColor="accent1" w:themeShade="BF"/>
          <w:sz w:val="24"/>
          <w:szCs w:val="24"/>
        </w:rPr>
        <w:t>19</w:t>
      </w:r>
      <w:r w:rsidR="00EA0767" w:rsidRPr="004E51AE">
        <w:rPr>
          <w:rFonts w:ascii="Arial" w:hAnsi="Arial" w:cs="Arial"/>
          <w:color w:val="2E74B5" w:themeColor="accent1" w:themeShade="BF"/>
          <w:sz w:val="24"/>
          <w:szCs w:val="24"/>
        </w:rPr>
        <w:t xml:space="preserve"> en la Plataforma Nacional de Transparencia, </w:t>
      </w:r>
      <w:r w:rsidR="003F4451">
        <w:rPr>
          <w:rFonts w:ascii="Arial" w:hAnsi="Arial" w:cs="Arial"/>
          <w:color w:val="2E74B5" w:themeColor="accent1" w:themeShade="BF"/>
          <w:sz w:val="24"/>
          <w:szCs w:val="24"/>
        </w:rPr>
        <w:t>e</w:t>
      </w:r>
      <w:r w:rsidR="00EA0767" w:rsidRPr="004E51AE">
        <w:rPr>
          <w:rFonts w:ascii="Arial" w:hAnsi="Arial" w:cs="Arial"/>
          <w:color w:val="2E74B5" w:themeColor="accent1" w:themeShade="BF"/>
          <w:sz w:val="24"/>
          <w:szCs w:val="24"/>
        </w:rPr>
        <w:t>l solicitante de la información interpuso recurso de revisión contra la respuesta mencionada en el punto anterior, mismo</w:t>
      </w:r>
      <w:r w:rsidR="00241CAA">
        <w:rPr>
          <w:rFonts w:ascii="Arial" w:hAnsi="Arial" w:cs="Arial"/>
          <w:color w:val="2E74B5" w:themeColor="accent1" w:themeShade="BF"/>
          <w:sz w:val="24"/>
          <w:szCs w:val="24"/>
        </w:rPr>
        <w:t xml:space="preserve"> que fue</w:t>
      </w:r>
      <w:r w:rsidR="00EA0767" w:rsidRPr="004E51AE">
        <w:rPr>
          <w:rFonts w:ascii="Arial" w:hAnsi="Arial" w:cs="Arial"/>
          <w:color w:val="2E74B5" w:themeColor="accent1" w:themeShade="BF"/>
          <w:sz w:val="24"/>
          <w:szCs w:val="24"/>
        </w:rPr>
        <w:t xml:space="preserve"> presentado ante la </w:t>
      </w:r>
      <w:r w:rsidR="00EA0767" w:rsidRPr="004E51AE">
        <w:rPr>
          <w:rFonts w:ascii="Arial" w:hAnsi="Arial" w:cs="Arial"/>
          <w:color w:val="2E74B5" w:themeColor="accent1" w:themeShade="BF"/>
          <w:sz w:val="24"/>
          <w:szCs w:val="24"/>
        </w:rPr>
        <w:lastRenderedPageBreak/>
        <w:t>Oficialía de Partes de esta Comisión Estatal de Garantía de Acceso a la Información Pública</w:t>
      </w:r>
      <w:r w:rsidR="00241CAA">
        <w:rPr>
          <w:rFonts w:ascii="Arial" w:hAnsi="Arial" w:cs="Arial"/>
          <w:color w:val="2E74B5" w:themeColor="accent1" w:themeShade="BF"/>
          <w:sz w:val="24"/>
          <w:szCs w:val="24"/>
        </w:rPr>
        <w:t xml:space="preserve"> el día 02 dos de mayo del año en curso, es decir al día hábil siguiente, de conformidad con el numeral 15 quince  del Código Procesal Administrativo para el Estado de San Luis Potosí aplicado de manera supletoria a la Ley de la Materia de acuerdo a su artículo 1° primero.</w:t>
      </w:r>
    </w:p>
    <w:p w:rsidR="006C043F" w:rsidRPr="004E51AE" w:rsidRDefault="006C043F" w:rsidP="006C043F">
      <w:pPr>
        <w:pStyle w:val="corte4fondo"/>
        <w:spacing w:line="276" w:lineRule="auto"/>
        <w:ind w:firstLine="708"/>
        <w:rPr>
          <w:rFonts w:cs="Arial"/>
          <w:color w:val="2E74B5" w:themeColor="accent1" w:themeShade="BF"/>
          <w:sz w:val="24"/>
          <w:szCs w:val="24"/>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hAnsi="Arial" w:cs="Arial"/>
          <w:b/>
          <w:color w:val="2E74B5" w:themeColor="accent1" w:themeShade="BF"/>
          <w:sz w:val="24"/>
          <w:szCs w:val="24"/>
        </w:rPr>
        <w:t>CUARTO.</w:t>
      </w:r>
      <w:r w:rsidRPr="004A65DD">
        <w:rPr>
          <w:rFonts w:ascii="Arial" w:eastAsia="Times New Roman" w:hAnsi="Arial" w:cs="Arial"/>
          <w:color w:val="2E74B5" w:themeColor="accent1" w:themeShade="BF"/>
          <w:sz w:val="24"/>
          <w:szCs w:val="24"/>
          <w:lang w:eastAsia="es-MX"/>
        </w:rPr>
        <w:t xml:space="preserve"> </w:t>
      </w:r>
      <w:r w:rsidRPr="004A65DD">
        <w:rPr>
          <w:rFonts w:ascii="Arial" w:eastAsia="Times New Roman" w:hAnsi="Arial" w:cs="Arial"/>
          <w:b/>
          <w:color w:val="2E74B5" w:themeColor="accent1" w:themeShade="BF"/>
          <w:sz w:val="24"/>
          <w:szCs w:val="24"/>
          <w:lang w:eastAsia="es-MX"/>
        </w:rPr>
        <w:t xml:space="preserve">Trámite del recurso de revisión ante esta Comisión Estatal de Garantía de Acceso a la Información Pública. </w:t>
      </w:r>
      <w:r w:rsidRPr="004A65DD">
        <w:rPr>
          <w:rFonts w:ascii="Arial" w:eastAsia="Times New Roman" w:hAnsi="Arial" w:cs="Arial"/>
          <w:color w:val="2E74B5" w:themeColor="accent1" w:themeShade="BF"/>
          <w:sz w:val="24"/>
          <w:szCs w:val="24"/>
          <w:lang w:eastAsia="es-MX"/>
        </w:rPr>
        <w:t xml:space="preserve">Mediante auto del </w:t>
      </w:r>
      <w:r w:rsidR="00580B73" w:rsidRPr="00580B73">
        <w:rPr>
          <w:rFonts w:ascii="Arial" w:hAnsi="Arial" w:cs="Arial"/>
          <w:color w:val="2E74B5" w:themeColor="accent1" w:themeShade="BF"/>
          <w:sz w:val="24"/>
          <w:szCs w:val="24"/>
        </w:rPr>
        <w:t>0</w:t>
      </w:r>
      <w:r w:rsidR="00772434">
        <w:rPr>
          <w:rFonts w:ascii="Arial" w:hAnsi="Arial" w:cs="Arial"/>
          <w:color w:val="2E74B5" w:themeColor="accent1" w:themeShade="BF"/>
          <w:sz w:val="24"/>
          <w:szCs w:val="24"/>
        </w:rPr>
        <w:t>7</w:t>
      </w:r>
      <w:r w:rsidR="00580B73" w:rsidRPr="00580B73">
        <w:rPr>
          <w:rFonts w:ascii="Arial" w:hAnsi="Arial" w:cs="Arial"/>
          <w:color w:val="2E74B5" w:themeColor="accent1" w:themeShade="BF"/>
          <w:sz w:val="24"/>
          <w:szCs w:val="24"/>
        </w:rPr>
        <w:t xml:space="preserve"> s</w:t>
      </w:r>
      <w:r w:rsidR="00772434">
        <w:rPr>
          <w:rFonts w:ascii="Arial" w:hAnsi="Arial" w:cs="Arial"/>
          <w:color w:val="2E74B5" w:themeColor="accent1" w:themeShade="BF"/>
          <w:sz w:val="24"/>
          <w:szCs w:val="24"/>
        </w:rPr>
        <w:t xml:space="preserve">iete </w:t>
      </w:r>
      <w:r w:rsidR="00580B73" w:rsidRPr="00580B73">
        <w:rPr>
          <w:rFonts w:ascii="Arial" w:hAnsi="Arial" w:cs="Arial"/>
          <w:color w:val="2E74B5" w:themeColor="accent1" w:themeShade="BF"/>
          <w:sz w:val="24"/>
          <w:szCs w:val="24"/>
        </w:rPr>
        <w:t>de mayo</w:t>
      </w:r>
      <w:r w:rsidR="00EA0767" w:rsidRPr="00580B73">
        <w:rPr>
          <w:rFonts w:ascii="Arial" w:hAnsi="Arial" w:cs="Arial"/>
          <w:color w:val="2E74B5" w:themeColor="accent1" w:themeShade="BF"/>
          <w:sz w:val="24"/>
          <w:szCs w:val="24"/>
        </w:rPr>
        <w:t xml:space="preserve"> </w:t>
      </w:r>
      <w:r w:rsidRPr="00580B73">
        <w:rPr>
          <w:rFonts w:ascii="Arial" w:hAnsi="Arial" w:cs="Arial"/>
          <w:color w:val="2E74B5" w:themeColor="accent1" w:themeShade="BF"/>
          <w:sz w:val="24"/>
          <w:szCs w:val="24"/>
        </w:rPr>
        <w:t>de 2019 dos mil diecinueve</w:t>
      </w:r>
      <w:r w:rsidRPr="004A65DD">
        <w:rPr>
          <w:rFonts w:ascii="Arial" w:hAnsi="Arial" w:cs="Arial"/>
          <w:color w:val="2E74B5" w:themeColor="accent1" w:themeShade="BF"/>
          <w:sz w:val="24"/>
          <w:szCs w:val="24"/>
        </w:rPr>
        <w:t xml:space="preserve"> </w:t>
      </w:r>
      <w:r w:rsidRPr="004A65DD">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6C043F" w:rsidRPr="004A65DD" w:rsidRDefault="006C043F" w:rsidP="006C043F">
      <w:pPr>
        <w:pStyle w:val="corte4fondo"/>
        <w:spacing w:line="276" w:lineRule="auto"/>
        <w:rPr>
          <w:rFonts w:cs="Arial"/>
          <w:i/>
          <w:color w:val="2E74B5" w:themeColor="accent1" w:themeShade="BF"/>
          <w:sz w:val="24"/>
          <w:szCs w:val="24"/>
        </w:rPr>
      </w:pPr>
    </w:p>
    <w:p w:rsidR="006C043F" w:rsidRPr="004A65DD"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 xml:space="preserve">QUINTO. Auto de admisión y trámite. </w:t>
      </w:r>
      <w:r w:rsidRPr="004A65DD">
        <w:rPr>
          <w:rFonts w:cs="Arial"/>
          <w:color w:val="2E74B5" w:themeColor="accent1" w:themeShade="BF"/>
          <w:sz w:val="24"/>
          <w:szCs w:val="24"/>
        </w:rPr>
        <w:t xml:space="preserve">Por proveído del </w:t>
      </w:r>
      <w:r w:rsidR="00E96922">
        <w:rPr>
          <w:rFonts w:cs="Arial"/>
          <w:color w:val="2E74B5" w:themeColor="accent1" w:themeShade="BF"/>
          <w:sz w:val="24"/>
          <w:szCs w:val="24"/>
        </w:rPr>
        <w:t>11</w:t>
      </w:r>
      <w:r w:rsidR="00803097">
        <w:rPr>
          <w:rFonts w:cs="Arial"/>
          <w:color w:val="2E74B5" w:themeColor="accent1" w:themeShade="BF"/>
          <w:sz w:val="24"/>
          <w:szCs w:val="24"/>
        </w:rPr>
        <w:t xml:space="preserve"> </w:t>
      </w:r>
      <w:r w:rsidR="00E96922">
        <w:rPr>
          <w:rFonts w:cs="Arial"/>
          <w:color w:val="2E74B5" w:themeColor="accent1" w:themeShade="BF"/>
          <w:sz w:val="24"/>
          <w:szCs w:val="24"/>
        </w:rPr>
        <w:t>once</w:t>
      </w:r>
      <w:r w:rsidR="00EA0767" w:rsidRPr="006A7473">
        <w:rPr>
          <w:rFonts w:cs="Arial"/>
          <w:color w:val="2E74B5" w:themeColor="accent1" w:themeShade="BF"/>
          <w:sz w:val="24"/>
          <w:szCs w:val="24"/>
        </w:rPr>
        <w:t xml:space="preserve"> de </w:t>
      </w:r>
      <w:r w:rsidR="00580B73" w:rsidRPr="006A7473">
        <w:rPr>
          <w:rFonts w:cs="Arial"/>
          <w:color w:val="2E74B5" w:themeColor="accent1" w:themeShade="BF"/>
          <w:sz w:val="24"/>
          <w:szCs w:val="24"/>
        </w:rPr>
        <w:t>junio</w:t>
      </w:r>
      <w:r w:rsidR="00EA0767" w:rsidRPr="006A7473">
        <w:rPr>
          <w:rFonts w:cs="Arial"/>
          <w:color w:val="2E74B5" w:themeColor="accent1" w:themeShade="BF"/>
          <w:sz w:val="24"/>
          <w:szCs w:val="24"/>
        </w:rPr>
        <w:t xml:space="preserve"> </w:t>
      </w:r>
      <w:r w:rsidRPr="006A7473">
        <w:rPr>
          <w:rFonts w:cs="Arial"/>
          <w:color w:val="2E74B5" w:themeColor="accent1" w:themeShade="BF"/>
          <w:sz w:val="24"/>
          <w:szCs w:val="24"/>
        </w:rPr>
        <w:t>de 2019 dos mil diecinueve</w:t>
      </w:r>
      <w:r w:rsidRPr="004A65DD">
        <w:rPr>
          <w:rFonts w:cs="Arial"/>
          <w:color w:val="2E74B5" w:themeColor="accent1" w:themeShade="BF"/>
          <w:sz w:val="24"/>
          <w:szCs w:val="24"/>
        </w:rPr>
        <w:t xml:space="preserve"> la Comisionad</w:t>
      </w:r>
      <w:r w:rsidR="00A6692A">
        <w:rPr>
          <w:rFonts w:cs="Arial"/>
          <w:color w:val="2E74B5" w:themeColor="accent1" w:themeShade="BF"/>
          <w:sz w:val="24"/>
          <w:szCs w:val="24"/>
        </w:rPr>
        <w:t>a</w:t>
      </w:r>
      <w:r w:rsidRPr="004A65DD">
        <w:rPr>
          <w:rFonts w:cs="Arial"/>
          <w:color w:val="2E74B5" w:themeColor="accent1" w:themeShade="BF"/>
          <w:sz w:val="24"/>
          <w:szCs w:val="24"/>
        </w:rPr>
        <w:t xml:space="preserve"> Ponente, acordó la admisión del recurso de revisión por actualizarse la</w:t>
      </w:r>
      <w:r>
        <w:rPr>
          <w:rFonts w:cs="Arial"/>
          <w:color w:val="2E74B5" w:themeColor="accent1" w:themeShade="BF"/>
          <w:sz w:val="24"/>
          <w:szCs w:val="24"/>
        </w:rPr>
        <w:t>s</w:t>
      </w:r>
      <w:r w:rsidRPr="004A65DD">
        <w:rPr>
          <w:rFonts w:cs="Arial"/>
          <w:color w:val="2E74B5" w:themeColor="accent1" w:themeShade="BF"/>
          <w:sz w:val="24"/>
          <w:szCs w:val="24"/>
        </w:rPr>
        <w:t xml:space="preserve"> hipótesis establecida</w:t>
      </w:r>
      <w:r>
        <w:rPr>
          <w:rFonts w:cs="Arial"/>
          <w:color w:val="2E74B5" w:themeColor="accent1" w:themeShade="BF"/>
          <w:sz w:val="24"/>
          <w:szCs w:val="24"/>
        </w:rPr>
        <w:t>s</w:t>
      </w:r>
      <w:r w:rsidRPr="004A65DD">
        <w:rPr>
          <w:rFonts w:cs="Arial"/>
          <w:color w:val="2E74B5" w:themeColor="accent1" w:themeShade="BF"/>
          <w:sz w:val="24"/>
          <w:szCs w:val="24"/>
        </w:rPr>
        <w:t xml:space="preserve"> en la</w:t>
      </w:r>
      <w:r>
        <w:rPr>
          <w:rFonts w:cs="Arial"/>
          <w:color w:val="2E74B5" w:themeColor="accent1" w:themeShade="BF"/>
          <w:sz w:val="24"/>
          <w:szCs w:val="24"/>
        </w:rPr>
        <w:t>s fracciones</w:t>
      </w:r>
      <w:r w:rsidRPr="004A65DD">
        <w:rPr>
          <w:rFonts w:cs="Arial"/>
          <w:color w:val="2E74B5" w:themeColor="accent1" w:themeShade="BF"/>
          <w:sz w:val="24"/>
          <w:szCs w:val="24"/>
        </w:rPr>
        <w:t xml:space="preserve"> </w:t>
      </w:r>
      <w:r w:rsidR="00580B73">
        <w:rPr>
          <w:rFonts w:cs="Arial"/>
          <w:color w:val="2E74B5" w:themeColor="accent1" w:themeShade="BF"/>
          <w:sz w:val="24"/>
          <w:szCs w:val="24"/>
        </w:rPr>
        <w:t>I</w:t>
      </w:r>
      <w:r>
        <w:rPr>
          <w:rFonts w:cs="Arial"/>
          <w:color w:val="2E74B5" w:themeColor="accent1" w:themeShade="BF"/>
          <w:sz w:val="24"/>
          <w:szCs w:val="24"/>
        </w:rPr>
        <w:t xml:space="preserve">I y </w:t>
      </w:r>
      <w:r w:rsidR="00580B73">
        <w:rPr>
          <w:rFonts w:cs="Arial"/>
          <w:color w:val="2E74B5" w:themeColor="accent1" w:themeShade="BF"/>
          <w:sz w:val="24"/>
          <w:szCs w:val="24"/>
        </w:rPr>
        <w:t>XII</w:t>
      </w:r>
      <w:r w:rsidRPr="004A65DD">
        <w:rPr>
          <w:rFonts w:cs="Arial"/>
          <w:color w:val="2E74B5" w:themeColor="accent1" w:themeShade="BF"/>
          <w:sz w:val="24"/>
          <w:szCs w:val="24"/>
        </w:rPr>
        <w:t xml:space="preserve"> del artículo 167 de la Ley de Transparencia y Acceso a la Información Pública del Estado, de la misma manera:</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pStyle w:val="Prrafodelista"/>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Registró en el Libro de Gobierno el presente expediente como RR-</w:t>
      </w:r>
      <w:r w:rsidR="00580B73" w:rsidRPr="006A7473">
        <w:rPr>
          <w:rFonts w:ascii="Arial" w:eastAsia="Times New Roman" w:hAnsi="Arial" w:cs="Arial"/>
          <w:color w:val="2E74B5" w:themeColor="accent1" w:themeShade="BF"/>
          <w:sz w:val="24"/>
          <w:szCs w:val="24"/>
          <w:lang w:eastAsia="es-MX"/>
        </w:rPr>
        <w:t>8</w:t>
      </w:r>
      <w:r w:rsidR="00E96922">
        <w:rPr>
          <w:rFonts w:ascii="Arial" w:eastAsia="Times New Roman" w:hAnsi="Arial" w:cs="Arial"/>
          <w:color w:val="2E74B5" w:themeColor="accent1" w:themeShade="BF"/>
          <w:sz w:val="24"/>
          <w:szCs w:val="24"/>
          <w:lang w:eastAsia="es-MX"/>
        </w:rPr>
        <w:t>39</w:t>
      </w:r>
      <w:r w:rsidRPr="006A7473">
        <w:rPr>
          <w:rFonts w:ascii="Arial" w:eastAsia="Times New Roman" w:hAnsi="Arial" w:cs="Arial"/>
          <w:color w:val="2E74B5" w:themeColor="accent1" w:themeShade="BF"/>
          <w:sz w:val="24"/>
          <w:szCs w:val="24"/>
          <w:lang w:eastAsia="es-MX"/>
        </w:rPr>
        <w:t>/2019</w:t>
      </w:r>
      <w:r w:rsidRPr="004A65DD">
        <w:rPr>
          <w:rFonts w:ascii="Arial" w:eastAsia="Times New Roman" w:hAnsi="Arial" w:cs="Arial"/>
          <w:color w:val="2E74B5" w:themeColor="accent1" w:themeShade="BF"/>
          <w:sz w:val="24"/>
          <w:szCs w:val="24"/>
          <w:lang w:eastAsia="es-MX"/>
        </w:rPr>
        <w:t>-2 Plataforma.</w:t>
      </w:r>
    </w:p>
    <w:p w:rsidR="006C043F" w:rsidRPr="004A65DD" w:rsidRDefault="006C043F" w:rsidP="006C043F">
      <w:pPr>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Admitió a trámite el presente recurso de revisión.</w:t>
      </w:r>
    </w:p>
    <w:p w:rsidR="006C043F" w:rsidRPr="004A65DD" w:rsidRDefault="006C043F" w:rsidP="006C043F">
      <w:pPr>
        <w:numPr>
          <w:ilvl w:val="0"/>
          <w:numId w:val="2"/>
        </w:numPr>
        <w:spacing w:after="0"/>
        <w:jc w:val="both"/>
        <w:rPr>
          <w:rFonts w:ascii="Arial" w:eastAsia="Times New Roman" w:hAnsi="Arial" w:cs="Arial"/>
          <w:b/>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Tuvo como sujeto obligado al</w:t>
      </w:r>
      <w:r w:rsidRPr="004A65DD">
        <w:rPr>
          <w:rFonts w:ascii="Arial" w:eastAsia="Times New Roman" w:hAnsi="Arial" w:cs="Arial"/>
          <w:b/>
          <w:color w:val="2E74B5" w:themeColor="accent1" w:themeShade="BF"/>
          <w:sz w:val="24"/>
          <w:szCs w:val="24"/>
          <w:lang w:eastAsia="es-MX"/>
        </w:rPr>
        <w:t xml:space="preserve"> </w:t>
      </w:r>
      <w:r w:rsidR="00580B73">
        <w:rPr>
          <w:rFonts w:ascii="Arial" w:eastAsia="Times New Roman" w:hAnsi="Arial" w:cs="Arial"/>
          <w:b/>
          <w:color w:val="2E74B5" w:themeColor="accent1" w:themeShade="BF"/>
          <w:sz w:val="24"/>
          <w:szCs w:val="24"/>
          <w:lang w:eastAsia="es-MX"/>
        </w:rPr>
        <w:t>PARTIDO MOVIMIENTO DE REGENERACIÓN NACIONAL, POR CONDUCTO DE SU TITULAR</w:t>
      </w:r>
      <w:r w:rsidRPr="004A65DD">
        <w:rPr>
          <w:rFonts w:ascii="Arial" w:eastAsia="Times New Roman" w:hAnsi="Arial" w:cs="Arial"/>
          <w:b/>
          <w:color w:val="2E74B5" w:themeColor="accent1" w:themeShade="BF"/>
          <w:sz w:val="24"/>
          <w:szCs w:val="24"/>
          <w:lang w:eastAsia="es-MX"/>
        </w:rPr>
        <w:t xml:space="preserve"> A TRAVÉS DEL TITULAR DE LA UNIDAD DE TRANSPARENCIA.</w:t>
      </w:r>
    </w:p>
    <w:p w:rsidR="006C043F" w:rsidRPr="004A65DD" w:rsidRDefault="006C043F" w:rsidP="006C043F">
      <w:pPr>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Se le tuvo al recurrente por señalada dirección electrónica para oír notificaciones.</w:t>
      </w:r>
    </w:p>
    <w:p w:rsidR="006C043F" w:rsidRDefault="006C043F" w:rsidP="006C043F">
      <w:pPr>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 xml:space="preserve">Se puso a disposición de las partes el expediente para que en un plazo máximo de 7 siete días manifestaran lo que a su derecho conviniera –ofrecer pruebas y alegar–.  </w:t>
      </w:r>
    </w:p>
    <w:p w:rsidR="006C043F" w:rsidRPr="004A65DD" w:rsidRDefault="006C043F" w:rsidP="00241B7E">
      <w:pPr>
        <w:spacing w:after="0"/>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numPr>
          <w:ilvl w:val="0"/>
          <w:numId w:val="1"/>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Se encontraba en sus archivos.</w:t>
      </w:r>
    </w:p>
    <w:p w:rsidR="006C043F" w:rsidRPr="004A65DD" w:rsidRDefault="006C043F" w:rsidP="006C043F">
      <w:pPr>
        <w:numPr>
          <w:ilvl w:val="0"/>
          <w:numId w:val="1"/>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6C043F" w:rsidRPr="004A65DD" w:rsidRDefault="006C043F" w:rsidP="006C043F">
      <w:pPr>
        <w:numPr>
          <w:ilvl w:val="0"/>
          <w:numId w:val="1"/>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6C043F"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3829F6" w:rsidRDefault="00571DEF" w:rsidP="00427E48">
      <w:pPr>
        <w:pStyle w:val="NormalWeb"/>
        <w:shd w:val="clear" w:color="auto" w:fill="FFFFFF" w:themeFill="background1"/>
        <w:spacing w:before="0" w:beforeAutospacing="0" w:after="0" w:afterAutospacing="0" w:line="345" w:lineRule="atLeast"/>
        <w:ind w:firstLine="708"/>
        <w:jc w:val="both"/>
        <w:rPr>
          <w:rFonts w:ascii="Arial" w:hAnsi="Arial" w:cs="Arial"/>
          <w:color w:val="2E74B5"/>
          <w:shd w:val="clear" w:color="auto" w:fill="FFFF00"/>
        </w:rPr>
      </w:pPr>
      <w:r w:rsidRPr="00427E48">
        <w:rPr>
          <w:rFonts w:ascii="Arial" w:hAnsi="Arial" w:cs="Arial"/>
          <w:color w:val="2E74B5"/>
          <w:shd w:val="clear" w:color="auto" w:fill="FFFFFF" w:themeFill="background1"/>
        </w:rPr>
        <w:t xml:space="preserve">Finalmente, en virtud de que el recurrente manifestó su deseo de denunciar el incumplimiento a las obligaciones de transparencia de la autoridad aquí responsable, debido a la falta de información que se advierte en lo que respecta al artículo 90, fracción X, de la Ley Estatal de la materia; la Comisionada ordenó remitir el expediente a la Unidad de Denuncias </w:t>
      </w:r>
      <w:r w:rsidR="00C46826">
        <w:rPr>
          <w:rFonts w:ascii="Arial" w:hAnsi="Arial" w:cs="Arial"/>
          <w:color w:val="2E74B5"/>
          <w:shd w:val="clear" w:color="auto" w:fill="FFFFFF" w:themeFill="background1"/>
        </w:rPr>
        <w:t xml:space="preserve">para que de resultar procedente y conforme a su normativa resolviera sobre la denuncia a la que </w:t>
      </w:r>
      <w:r w:rsidR="00B073FC">
        <w:rPr>
          <w:rFonts w:ascii="Arial" w:hAnsi="Arial" w:cs="Arial"/>
          <w:color w:val="2E74B5"/>
          <w:shd w:val="clear" w:color="auto" w:fill="FFFFFF" w:themeFill="background1"/>
        </w:rPr>
        <w:t>a</w:t>
      </w:r>
      <w:r w:rsidR="00C46826">
        <w:rPr>
          <w:rFonts w:ascii="Arial" w:hAnsi="Arial" w:cs="Arial"/>
          <w:color w:val="2E74B5"/>
          <w:shd w:val="clear" w:color="auto" w:fill="FFFFFF" w:themeFill="background1"/>
        </w:rPr>
        <w:t>ludió el promovente.</w:t>
      </w:r>
      <w:r w:rsidRPr="00427E48">
        <w:rPr>
          <w:rFonts w:ascii="Arial" w:hAnsi="Arial" w:cs="Arial"/>
          <w:color w:val="2E74B5"/>
          <w:shd w:val="clear" w:color="auto" w:fill="FFFFFF" w:themeFill="background1"/>
        </w:rPr>
        <w:t>   </w:t>
      </w:r>
    </w:p>
    <w:p w:rsidR="00571DEF" w:rsidRPr="004A65DD" w:rsidRDefault="00571DEF" w:rsidP="003829F6">
      <w:pPr>
        <w:pStyle w:val="NormalWeb"/>
        <w:shd w:val="clear" w:color="auto" w:fill="FFFFFF"/>
        <w:spacing w:before="0" w:beforeAutospacing="0" w:after="0" w:afterAutospacing="0" w:line="345" w:lineRule="atLeast"/>
        <w:ind w:firstLine="708"/>
        <w:jc w:val="both"/>
        <w:rPr>
          <w:rFonts w:ascii="Arial" w:hAnsi="Arial" w:cs="Arial"/>
          <w:color w:val="2E74B5" w:themeColor="accent1" w:themeShade="BF"/>
        </w:rPr>
      </w:pPr>
    </w:p>
    <w:p w:rsidR="006C043F" w:rsidRPr="004A65DD" w:rsidRDefault="006C043F" w:rsidP="006C043F">
      <w:pPr>
        <w:pStyle w:val="corte4fondo"/>
        <w:tabs>
          <w:tab w:val="left" w:pos="0"/>
        </w:tabs>
        <w:spacing w:line="276" w:lineRule="auto"/>
        <w:ind w:firstLine="0"/>
        <w:rPr>
          <w:rFonts w:cs="Arial"/>
          <w:color w:val="2E74B5" w:themeColor="accent1" w:themeShade="BF"/>
          <w:sz w:val="24"/>
          <w:szCs w:val="24"/>
        </w:rPr>
      </w:pPr>
      <w:r w:rsidRPr="004A65DD">
        <w:rPr>
          <w:rFonts w:cs="Arial"/>
          <w:b/>
          <w:color w:val="2E74B5" w:themeColor="accent1" w:themeShade="BF"/>
          <w:sz w:val="24"/>
          <w:szCs w:val="24"/>
        </w:rPr>
        <w:tab/>
        <w:t>SEXTO. Informe del sujeto obligado</w:t>
      </w:r>
      <w:r w:rsidRPr="004A65DD">
        <w:rPr>
          <w:rFonts w:cs="Arial"/>
          <w:color w:val="2E74B5" w:themeColor="accent1" w:themeShade="BF"/>
          <w:sz w:val="24"/>
          <w:szCs w:val="24"/>
        </w:rPr>
        <w:t xml:space="preserve">. Por proveído del </w:t>
      </w:r>
      <w:r w:rsidR="00237288">
        <w:rPr>
          <w:rFonts w:cs="Arial"/>
          <w:color w:val="2E74B5" w:themeColor="accent1" w:themeShade="BF"/>
          <w:sz w:val="24"/>
          <w:szCs w:val="24"/>
        </w:rPr>
        <w:t>0</w:t>
      </w:r>
      <w:r w:rsidR="00241B7E">
        <w:rPr>
          <w:rFonts w:cs="Arial"/>
          <w:color w:val="2E74B5" w:themeColor="accent1" w:themeShade="BF"/>
          <w:sz w:val="24"/>
          <w:szCs w:val="24"/>
        </w:rPr>
        <w:t>1</w:t>
      </w:r>
      <w:r w:rsidR="000C5C31">
        <w:rPr>
          <w:rFonts w:cs="Arial"/>
          <w:color w:val="2E74B5" w:themeColor="accent1" w:themeShade="BF"/>
          <w:sz w:val="24"/>
          <w:szCs w:val="24"/>
        </w:rPr>
        <w:t xml:space="preserve"> </w:t>
      </w:r>
      <w:r w:rsidR="00241B7E">
        <w:rPr>
          <w:rFonts w:cs="Arial"/>
          <w:color w:val="2E74B5" w:themeColor="accent1" w:themeShade="BF"/>
          <w:sz w:val="24"/>
          <w:szCs w:val="24"/>
        </w:rPr>
        <w:t>uno de jul</w:t>
      </w:r>
      <w:r w:rsidR="00237288">
        <w:rPr>
          <w:rFonts w:cs="Arial"/>
          <w:color w:val="2E74B5" w:themeColor="accent1" w:themeShade="BF"/>
          <w:sz w:val="24"/>
          <w:szCs w:val="24"/>
        </w:rPr>
        <w:t xml:space="preserve">io </w:t>
      </w:r>
      <w:r w:rsidRPr="004A65DD">
        <w:rPr>
          <w:rFonts w:cs="Arial"/>
          <w:color w:val="2E74B5" w:themeColor="accent1" w:themeShade="BF"/>
          <w:sz w:val="24"/>
          <w:szCs w:val="24"/>
        </w:rPr>
        <w:t>de 2019 dos mil diecinueve la ponente del presente asunto tuvo:</w:t>
      </w:r>
    </w:p>
    <w:p w:rsidR="006C043F" w:rsidRPr="004A65DD" w:rsidRDefault="006C043F" w:rsidP="006C043F">
      <w:pPr>
        <w:pStyle w:val="corte4fondo"/>
        <w:spacing w:line="276" w:lineRule="auto"/>
        <w:ind w:firstLine="567"/>
        <w:rPr>
          <w:rFonts w:cs="Arial"/>
          <w:b/>
          <w:color w:val="2E74B5" w:themeColor="accent1" w:themeShade="BF"/>
          <w:sz w:val="24"/>
          <w:szCs w:val="24"/>
        </w:rPr>
      </w:pPr>
    </w:p>
    <w:p w:rsidR="006C043F" w:rsidRPr="004A65DD" w:rsidRDefault="006C043F" w:rsidP="006C043F">
      <w:pPr>
        <w:pStyle w:val="corte4fondo"/>
        <w:numPr>
          <w:ilvl w:val="0"/>
          <w:numId w:val="4"/>
        </w:numPr>
        <w:spacing w:line="276" w:lineRule="auto"/>
        <w:rPr>
          <w:rFonts w:cs="Arial"/>
          <w:color w:val="2E74B5" w:themeColor="accent1" w:themeShade="BF"/>
          <w:sz w:val="24"/>
          <w:szCs w:val="24"/>
        </w:rPr>
      </w:pPr>
      <w:r w:rsidRPr="004A65DD">
        <w:rPr>
          <w:rFonts w:cs="Arial"/>
          <w:color w:val="2E74B5" w:themeColor="accent1" w:themeShade="BF"/>
          <w:sz w:val="24"/>
          <w:szCs w:val="24"/>
        </w:rPr>
        <w:t xml:space="preserve">Por recibido el oficio </w:t>
      </w:r>
      <w:r w:rsidR="00772434">
        <w:rPr>
          <w:rFonts w:cs="Arial"/>
          <w:color w:val="2E74B5" w:themeColor="accent1" w:themeShade="BF"/>
          <w:sz w:val="24"/>
          <w:szCs w:val="24"/>
        </w:rPr>
        <w:t>5</w:t>
      </w:r>
      <w:r w:rsidR="00E96922">
        <w:rPr>
          <w:rFonts w:cs="Arial"/>
          <w:color w:val="2E74B5" w:themeColor="accent1" w:themeShade="BF"/>
          <w:sz w:val="24"/>
          <w:szCs w:val="24"/>
        </w:rPr>
        <w:t>95</w:t>
      </w:r>
      <w:r w:rsidR="00237288" w:rsidRPr="00FF0E37">
        <w:rPr>
          <w:rFonts w:cs="Arial"/>
          <w:color w:val="2E74B5" w:themeColor="accent1" w:themeShade="BF"/>
          <w:sz w:val="24"/>
          <w:szCs w:val="24"/>
        </w:rPr>
        <w:t>/UT</w:t>
      </w:r>
      <w:r w:rsidR="00241B7E" w:rsidRPr="00FF0E37">
        <w:rPr>
          <w:rFonts w:cs="Arial"/>
          <w:color w:val="2E74B5" w:themeColor="accent1" w:themeShade="BF"/>
          <w:sz w:val="24"/>
          <w:szCs w:val="24"/>
        </w:rPr>
        <w:t>M/SLP/RSIP</w:t>
      </w:r>
      <w:r w:rsidR="00237288" w:rsidRPr="00FF0E37">
        <w:rPr>
          <w:rFonts w:cs="Arial"/>
          <w:color w:val="2E74B5" w:themeColor="accent1" w:themeShade="BF"/>
          <w:sz w:val="24"/>
          <w:szCs w:val="24"/>
        </w:rPr>
        <w:t>/20</w:t>
      </w:r>
      <w:r w:rsidRPr="00FF0E37">
        <w:rPr>
          <w:rFonts w:cs="Arial"/>
          <w:color w:val="2E74B5" w:themeColor="accent1" w:themeShade="BF"/>
          <w:sz w:val="24"/>
          <w:szCs w:val="24"/>
        </w:rPr>
        <w:t xml:space="preserve">19, firmado por </w:t>
      </w:r>
      <w:r w:rsidR="00237288" w:rsidRPr="00FF0E37">
        <w:rPr>
          <w:rFonts w:cs="Arial"/>
          <w:color w:val="2E74B5" w:themeColor="accent1" w:themeShade="BF"/>
          <w:sz w:val="24"/>
          <w:szCs w:val="24"/>
        </w:rPr>
        <w:t>el</w:t>
      </w:r>
      <w:r w:rsidRPr="00FF0E37">
        <w:rPr>
          <w:rFonts w:cs="Arial"/>
          <w:color w:val="2E74B5" w:themeColor="accent1" w:themeShade="BF"/>
          <w:sz w:val="24"/>
          <w:szCs w:val="24"/>
        </w:rPr>
        <w:t xml:space="preserve"> </w:t>
      </w:r>
      <w:r w:rsidRPr="00FF0E37">
        <w:rPr>
          <w:rFonts w:cs="Arial"/>
          <w:b/>
          <w:color w:val="2E74B5" w:themeColor="accent1" w:themeShade="BF"/>
          <w:sz w:val="24"/>
          <w:szCs w:val="24"/>
        </w:rPr>
        <w:t>TITULAR DE LA UNIDAD DE TRANSPARENCIA</w:t>
      </w:r>
      <w:r w:rsidRPr="004A65DD">
        <w:rPr>
          <w:rFonts w:cs="Arial"/>
          <w:color w:val="2E74B5" w:themeColor="accent1" w:themeShade="BF"/>
          <w:sz w:val="24"/>
          <w:szCs w:val="24"/>
        </w:rPr>
        <w:t xml:space="preserve"> del sujeto obligado, junto con anexos.</w:t>
      </w:r>
      <w:r w:rsidRPr="004A65DD">
        <w:rPr>
          <w:rFonts w:cs="Arial"/>
          <w:b/>
          <w:color w:val="2E74B5" w:themeColor="accent1" w:themeShade="BF"/>
          <w:sz w:val="24"/>
          <w:szCs w:val="24"/>
        </w:rPr>
        <w:t xml:space="preserve"> </w:t>
      </w:r>
    </w:p>
    <w:p w:rsidR="00427E48" w:rsidRDefault="006C043F" w:rsidP="006625D7">
      <w:pPr>
        <w:pStyle w:val="corte4fondo"/>
        <w:numPr>
          <w:ilvl w:val="0"/>
          <w:numId w:val="4"/>
        </w:numPr>
        <w:spacing w:line="276" w:lineRule="auto"/>
        <w:rPr>
          <w:rFonts w:cs="Arial"/>
          <w:color w:val="2E74B5" w:themeColor="accent1" w:themeShade="BF"/>
          <w:sz w:val="24"/>
          <w:szCs w:val="24"/>
        </w:rPr>
      </w:pPr>
      <w:r w:rsidRPr="00427E48">
        <w:rPr>
          <w:rFonts w:cs="Arial"/>
          <w:color w:val="2E74B5" w:themeColor="accent1" w:themeShade="BF"/>
          <w:sz w:val="24"/>
          <w:szCs w:val="24"/>
        </w:rPr>
        <w:t xml:space="preserve">Por reconocida su personalidad. </w:t>
      </w:r>
    </w:p>
    <w:p w:rsidR="006C043F" w:rsidRPr="00427E48" w:rsidRDefault="006C043F" w:rsidP="006625D7">
      <w:pPr>
        <w:pStyle w:val="corte4fondo"/>
        <w:numPr>
          <w:ilvl w:val="0"/>
          <w:numId w:val="4"/>
        </w:numPr>
        <w:spacing w:line="276" w:lineRule="auto"/>
        <w:rPr>
          <w:rFonts w:cs="Arial"/>
          <w:color w:val="2E74B5" w:themeColor="accent1" w:themeShade="BF"/>
          <w:sz w:val="24"/>
          <w:szCs w:val="24"/>
        </w:rPr>
      </w:pPr>
      <w:r w:rsidRPr="00427E48">
        <w:rPr>
          <w:rFonts w:cs="Arial"/>
          <w:color w:val="2E74B5" w:themeColor="accent1" w:themeShade="BF"/>
          <w:sz w:val="24"/>
          <w:szCs w:val="24"/>
        </w:rPr>
        <w:t>Por expresados los argumentos relacionados con el presente asunto.</w:t>
      </w:r>
    </w:p>
    <w:p w:rsidR="006C043F" w:rsidRPr="004A65DD" w:rsidRDefault="006C043F" w:rsidP="006C043F">
      <w:pPr>
        <w:pStyle w:val="corte4fondo"/>
        <w:numPr>
          <w:ilvl w:val="0"/>
          <w:numId w:val="4"/>
        </w:numPr>
        <w:spacing w:line="276" w:lineRule="auto"/>
        <w:rPr>
          <w:rFonts w:cs="Arial"/>
          <w:color w:val="2E74B5" w:themeColor="accent1" w:themeShade="BF"/>
          <w:sz w:val="24"/>
          <w:szCs w:val="24"/>
        </w:rPr>
      </w:pPr>
      <w:r w:rsidRPr="004A65DD">
        <w:rPr>
          <w:rFonts w:cs="Arial"/>
          <w:color w:val="2E74B5" w:themeColor="accent1" w:themeShade="BF"/>
          <w:sz w:val="24"/>
          <w:szCs w:val="24"/>
        </w:rPr>
        <w:t>Por ofrecidas las pruebas documentales que adjuntó al oficio de cuenta.</w:t>
      </w:r>
    </w:p>
    <w:p w:rsidR="006C043F" w:rsidRPr="004A65DD" w:rsidRDefault="006C043F" w:rsidP="006C043F">
      <w:pPr>
        <w:pStyle w:val="corte4fondo"/>
        <w:numPr>
          <w:ilvl w:val="0"/>
          <w:numId w:val="4"/>
        </w:numPr>
        <w:spacing w:line="276" w:lineRule="auto"/>
        <w:rPr>
          <w:rFonts w:cs="Arial"/>
          <w:color w:val="2E74B5" w:themeColor="accent1" w:themeShade="BF"/>
          <w:sz w:val="24"/>
          <w:szCs w:val="24"/>
        </w:rPr>
      </w:pPr>
      <w:r w:rsidRPr="004A65DD">
        <w:rPr>
          <w:rFonts w:cs="Arial"/>
          <w:color w:val="2E74B5" w:themeColor="accent1" w:themeShade="BF"/>
          <w:sz w:val="24"/>
          <w:szCs w:val="24"/>
        </w:rPr>
        <w:t>Por señalando domicilio para oír y recibir notificaciones.</w:t>
      </w:r>
    </w:p>
    <w:p w:rsidR="006C043F" w:rsidRPr="004A65DD" w:rsidRDefault="006C043F" w:rsidP="006C043F">
      <w:pPr>
        <w:pStyle w:val="corte4fondo"/>
        <w:spacing w:line="276" w:lineRule="auto"/>
        <w:rPr>
          <w:rFonts w:cs="Arial"/>
          <w:color w:val="2E74B5" w:themeColor="accent1" w:themeShade="BF"/>
          <w:sz w:val="24"/>
          <w:szCs w:val="24"/>
        </w:rPr>
      </w:pPr>
    </w:p>
    <w:p w:rsidR="006C043F" w:rsidRPr="00803097" w:rsidRDefault="006C043F" w:rsidP="006C043F">
      <w:pPr>
        <w:pStyle w:val="corte4fondo"/>
        <w:spacing w:line="276" w:lineRule="auto"/>
        <w:rPr>
          <w:rFonts w:cs="Arial"/>
          <w:color w:val="2E74B5" w:themeColor="accent1" w:themeShade="BF"/>
          <w:sz w:val="24"/>
          <w:szCs w:val="24"/>
          <w:lang w:val="es-ES"/>
        </w:rPr>
      </w:pPr>
    </w:p>
    <w:p w:rsidR="006C043F" w:rsidRPr="004A65DD" w:rsidRDefault="006C043F" w:rsidP="006C043F">
      <w:pPr>
        <w:spacing w:after="0"/>
        <w:ind w:firstLine="708"/>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Respecto de la parte recurrente, se advirtió que no compareció a realizar las manifestaciones que a su derecho conviniera – ofrecer pruebas y alegar.</w:t>
      </w:r>
    </w:p>
    <w:p w:rsidR="006C043F" w:rsidRPr="004A65DD" w:rsidRDefault="006C043F" w:rsidP="006C043F">
      <w:pPr>
        <w:pStyle w:val="corte4fondo"/>
        <w:spacing w:line="276" w:lineRule="auto"/>
        <w:rPr>
          <w:rFonts w:cs="Arial"/>
          <w:color w:val="2E74B5" w:themeColor="accent1" w:themeShade="BF"/>
          <w:sz w:val="24"/>
          <w:szCs w:val="24"/>
        </w:rPr>
      </w:pPr>
    </w:p>
    <w:p w:rsidR="006C043F" w:rsidRDefault="006C043F" w:rsidP="006C043F">
      <w:pPr>
        <w:pStyle w:val="corte4fondo"/>
        <w:tabs>
          <w:tab w:val="left" w:pos="0"/>
        </w:tabs>
        <w:spacing w:line="276" w:lineRule="auto"/>
        <w:ind w:firstLine="0"/>
        <w:rPr>
          <w:rFonts w:cs="Arial"/>
          <w:color w:val="2E74B5" w:themeColor="accent1" w:themeShade="BF"/>
          <w:sz w:val="24"/>
          <w:szCs w:val="24"/>
        </w:rPr>
      </w:pPr>
      <w:r w:rsidRPr="004A65DD">
        <w:rPr>
          <w:rFonts w:cs="Arial"/>
          <w:color w:val="2E74B5" w:themeColor="accent1" w:themeShade="BF"/>
          <w:sz w:val="24"/>
          <w:szCs w:val="24"/>
        </w:rPr>
        <w:tab/>
        <w:t>Para concluir, la ponente declaró cerrado el periodo de instrucción y procedió a elaborar el proyecto de resolución respectivo</w:t>
      </w:r>
    </w:p>
    <w:p w:rsidR="00803097" w:rsidRPr="004A65DD" w:rsidRDefault="00803097" w:rsidP="006C043F">
      <w:pPr>
        <w:pStyle w:val="corte4fondo"/>
        <w:tabs>
          <w:tab w:val="left" w:pos="0"/>
        </w:tabs>
        <w:spacing w:line="276" w:lineRule="auto"/>
        <w:ind w:firstLine="0"/>
        <w:rPr>
          <w:rFonts w:cs="Arial"/>
          <w:b/>
          <w:color w:val="2E74B5" w:themeColor="accent1" w:themeShade="BF"/>
          <w:sz w:val="24"/>
          <w:szCs w:val="24"/>
        </w:rPr>
      </w:pPr>
    </w:p>
    <w:p w:rsidR="006C043F" w:rsidRPr="004A65DD" w:rsidRDefault="006C043F" w:rsidP="006C043F">
      <w:pPr>
        <w:pStyle w:val="corte4fondo"/>
        <w:tabs>
          <w:tab w:val="left" w:pos="0"/>
        </w:tabs>
        <w:spacing w:line="276" w:lineRule="auto"/>
        <w:ind w:firstLine="0"/>
        <w:rPr>
          <w:rFonts w:cs="Arial"/>
          <w:color w:val="2E74B5" w:themeColor="accent1" w:themeShade="BF"/>
          <w:sz w:val="24"/>
          <w:szCs w:val="24"/>
        </w:rPr>
      </w:pPr>
    </w:p>
    <w:p w:rsidR="006C043F" w:rsidRPr="004A65DD" w:rsidRDefault="006C043F" w:rsidP="006C043F">
      <w:pPr>
        <w:autoSpaceDE w:val="0"/>
        <w:autoSpaceDN w:val="0"/>
        <w:adjustRightInd w:val="0"/>
        <w:spacing w:after="0"/>
        <w:jc w:val="center"/>
        <w:rPr>
          <w:rFonts w:ascii="Arial" w:hAnsi="Arial" w:cs="Arial"/>
          <w:b/>
          <w:color w:val="2E74B5" w:themeColor="accent1" w:themeShade="BF"/>
          <w:sz w:val="24"/>
          <w:szCs w:val="24"/>
        </w:rPr>
      </w:pPr>
      <w:r w:rsidRPr="004A65DD">
        <w:rPr>
          <w:rFonts w:ascii="Arial" w:hAnsi="Arial" w:cs="Arial"/>
          <w:b/>
          <w:color w:val="2E74B5" w:themeColor="accent1" w:themeShade="BF"/>
          <w:sz w:val="24"/>
          <w:szCs w:val="24"/>
        </w:rPr>
        <w:t>C O N S I D E R A N D O</w:t>
      </w:r>
    </w:p>
    <w:p w:rsidR="006C043F" w:rsidRPr="004A65DD" w:rsidRDefault="006C043F" w:rsidP="006C043F">
      <w:pPr>
        <w:autoSpaceDE w:val="0"/>
        <w:autoSpaceDN w:val="0"/>
        <w:adjustRightInd w:val="0"/>
        <w:spacing w:after="0"/>
        <w:jc w:val="center"/>
        <w:rPr>
          <w:rFonts w:ascii="Arial" w:hAnsi="Arial" w:cs="Arial"/>
          <w:color w:val="2E74B5" w:themeColor="accent1" w:themeShade="BF"/>
          <w:sz w:val="24"/>
          <w:szCs w:val="24"/>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 xml:space="preserve">PRIMERO. Competencia. </w:t>
      </w:r>
      <w:r w:rsidRPr="004A65DD">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 xml:space="preserve">SEGUNDO. Procedencia. </w:t>
      </w:r>
      <w:r w:rsidRPr="004A65DD">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TERCERO. Oportunidad del recurso</w:t>
      </w:r>
      <w:r w:rsidRPr="004A65DD">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682921" w:rsidRDefault="006C043F" w:rsidP="006C043F">
      <w:pPr>
        <w:numPr>
          <w:ilvl w:val="0"/>
          <w:numId w:val="3"/>
        </w:numPr>
        <w:spacing w:after="0"/>
        <w:jc w:val="both"/>
        <w:rPr>
          <w:rFonts w:ascii="Arial" w:eastAsia="Times New Roman" w:hAnsi="Arial" w:cs="Arial"/>
          <w:color w:val="2E74B5" w:themeColor="accent1" w:themeShade="BF"/>
          <w:sz w:val="24"/>
          <w:szCs w:val="24"/>
          <w:lang w:eastAsia="es-MX"/>
        </w:rPr>
      </w:pPr>
      <w:r w:rsidRPr="00682921">
        <w:rPr>
          <w:rFonts w:ascii="Arial" w:eastAsia="Times New Roman" w:hAnsi="Arial" w:cs="Arial"/>
          <w:color w:val="2E74B5" w:themeColor="accent1" w:themeShade="BF"/>
          <w:sz w:val="24"/>
          <w:szCs w:val="24"/>
          <w:lang w:eastAsia="es-MX"/>
        </w:rPr>
        <w:t>El 2</w:t>
      </w:r>
      <w:r w:rsidR="00FF0E37" w:rsidRPr="00682921">
        <w:rPr>
          <w:rFonts w:ascii="Arial" w:eastAsia="Times New Roman" w:hAnsi="Arial" w:cs="Arial"/>
          <w:color w:val="2E74B5" w:themeColor="accent1" w:themeShade="BF"/>
          <w:sz w:val="24"/>
          <w:szCs w:val="24"/>
          <w:lang w:eastAsia="es-MX"/>
        </w:rPr>
        <w:t>7</w:t>
      </w:r>
      <w:r w:rsidRPr="00682921">
        <w:rPr>
          <w:rFonts w:ascii="Arial" w:eastAsia="Times New Roman" w:hAnsi="Arial" w:cs="Arial"/>
          <w:color w:val="2E74B5" w:themeColor="accent1" w:themeShade="BF"/>
          <w:sz w:val="24"/>
          <w:szCs w:val="24"/>
          <w:lang w:eastAsia="es-MX"/>
        </w:rPr>
        <w:t xml:space="preserve"> veinti</w:t>
      </w:r>
      <w:r w:rsidR="00FF0E37" w:rsidRPr="00682921">
        <w:rPr>
          <w:rFonts w:ascii="Arial" w:eastAsia="Times New Roman" w:hAnsi="Arial" w:cs="Arial"/>
          <w:color w:val="2E74B5" w:themeColor="accent1" w:themeShade="BF"/>
          <w:sz w:val="24"/>
          <w:szCs w:val="24"/>
          <w:lang w:eastAsia="es-MX"/>
        </w:rPr>
        <w:t>siete</w:t>
      </w:r>
      <w:r w:rsidRPr="00682921">
        <w:rPr>
          <w:rFonts w:ascii="Arial" w:eastAsia="Times New Roman" w:hAnsi="Arial" w:cs="Arial"/>
          <w:color w:val="2E74B5" w:themeColor="accent1" w:themeShade="BF"/>
          <w:sz w:val="24"/>
          <w:szCs w:val="24"/>
          <w:lang w:eastAsia="es-MX"/>
        </w:rPr>
        <w:t xml:space="preserve"> de </w:t>
      </w:r>
      <w:r w:rsidR="00FF0E37" w:rsidRPr="00682921">
        <w:rPr>
          <w:rFonts w:ascii="Arial" w:eastAsia="Times New Roman" w:hAnsi="Arial" w:cs="Arial"/>
          <w:color w:val="2E74B5" w:themeColor="accent1" w:themeShade="BF"/>
          <w:sz w:val="24"/>
          <w:szCs w:val="24"/>
          <w:lang w:eastAsia="es-MX"/>
        </w:rPr>
        <w:t>abril</w:t>
      </w:r>
      <w:r w:rsidRPr="00682921">
        <w:rPr>
          <w:rFonts w:ascii="Arial" w:eastAsia="Times New Roman" w:hAnsi="Arial" w:cs="Arial"/>
          <w:color w:val="2E74B5" w:themeColor="accent1" w:themeShade="BF"/>
          <w:sz w:val="24"/>
          <w:szCs w:val="24"/>
          <w:lang w:eastAsia="es-MX"/>
        </w:rPr>
        <w:t xml:space="preserve"> de 2019 dos mil diecinueve el solicitante de la información fue notificado de la respuesta a su solicitud.</w:t>
      </w:r>
    </w:p>
    <w:p w:rsidR="006C043F" w:rsidRPr="00682921" w:rsidRDefault="006C043F" w:rsidP="006C043F">
      <w:pPr>
        <w:numPr>
          <w:ilvl w:val="0"/>
          <w:numId w:val="3"/>
        </w:numPr>
        <w:spacing w:after="0"/>
        <w:jc w:val="both"/>
        <w:rPr>
          <w:rFonts w:ascii="Arial" w:eastAsia="Times New Roman" w:hAnsi="Arial" w:cs="Arial"/>
          <w:color w:val="2E74B5" w:themeColor="accent1" w:themeShade="BF"/>
          <w:sz w:val="24"/>
          <w:szCs w:val="24"/>
          <w:lang w:eastAsia="es-MX"/>
        </w:rPr>
      </w:pPr>
      <w:r w:rsidRPr="00682921">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FF0E37" w:rsidRPr="00682921">
        <w:rPr>
          <w:rFonts w:ascii="Arial" w:eastAsia="Times New Roman" w:hAnsi="Arial" w:cs="Arial"/>
          <w:color w:val="2E74B5" w:themeColor="accent1" w:themeShade="BF"/>
          <w:sz w:val="24"/>
          <w:szCs w:val="24"/>
          <w:lang w:eastAsia="es-MX"/>
        </w:rPr>
        <w:t>29</w:t>
      </w:r>
      <w:r w:rsidRPr="00682921">
        <w:rPr>
          <w:rFonts w:ascii="Arial" w:eastAsia="Times New Roman" w:hAnsi="Arial" w:cs="Arial"/>
          <w:color w:val="2E74B5" w:themeColor="accent1" w:themeShade="BF"/>
          <w:sz w:val="24"/>
          <w:szCs w:val="24"/>
          <w:lang w:eastAsia="es-MX"/>
        </w:rPr>
        <w:t xml:space="preserve"> v</w:t>
      </w:r>
      <w:r w:rsidR="00FF0E37" w:rsidRPr="00682921">
        <w:rPr>
          <w:rFonts w:ascii="Arial" w:eastAsia="Times New Roman" w:hAnsi="Arial" w:cs="Arial"/>
          <w:color w:val="2E74B5" w:themeColor="accent1" w:themeShade="BF"/>
          <w:sz w:val="24"/>
          <w:szCs w:val="24"/>
          <w:lang w:eastAsia="es-MX"/>
        </w:rPr>
        <w:t>eintinueve</w:t>
      </w:r>
      <w:r w:rsidRPr="00682921">
        <w:rPr>
          <w:rFonts w:ascii="Arial" w:eastAsia="Times New Roman" w:hAnsi="Arial" w:cs="Arial"/>
          <w:color w:val="2E74B5" w:themeColor="accent1" w:themeShade="BF"/>
          <w:sz w:val="24"/>
          <w:szCs w:val="24"/>
          <w:lang w:eastAsia="es-MX"/>
        </w:rPr>
        <w:t xml:space="preserve"> de </w:t>
      </w:r>
      <w:r w:rsidR="00FF0E37" w:rsidRPr="00682921">
        <w:rPr>
          <w:rFonts w:ascii="Arial" w:eastAsia="Times New Roman" w:hAnsi="Arial" w:cs="Arial"/>
          <w:color w:val="2E74B5" w:themeColor="accent1" w:themeShade="BF"/>
          <w:sz w:val="24"/>
          <w:szCs w:val="24"/>
          <w:lang w:eastAsia="es-MX"/>
        </w:rPr>
        <w:t>abril</w:t>
      </w:r>
      <w:r w:rsidRPr="00682921">
        <w:rPr>
          <w:rFonts w:ascii="Arial" w:eastAsia="Times New Roman" w:hAnsi="Arial" w:cs="Arial"/>
          <w:color w:val="2E74B5" w:themeColor="accent1" w:themeShade="BF"/>
          <w:sz w:val="24"/>
          <w:szCs w:val="24"/>
          <w:lang w:eastAsia="es-MX"/>
        </w:rPr>
        <w:t xml:space="preserve"> de 2019 dos mil diecinueve al </w:t>
      </w:r>
      <w:r w:rsidR="00FF0E37" w:rsidRPr="00682921">
        <w:rPr>
          <w:rFonts w:ascii="Arial" w:eastAsia="Times New Roman" w:hAnsi="Arial" w:cs="Arial"/>
          <w:color w:val="2E74B5" w:themeColor="accent1" w:themeShade="BF"/>
          <w:sz w:val="24"/>
          <w:szCs w:val="24"/>
          <w:lang w:eastAsia="es-MX"/>
        </w:rPr>
        <w:t>21</w:t>
      </w:r>
      <w:r w:rsidR="00224528" w:rsidRPr="00682921">
        <w:rPr>
          <w:rFonts w:ascii="Arial" w:eastAsia="Times New Roman" w:hAnsi="Arial" w:cs="Arial"/>
          <w:color w:val="2E74B5" w:themeColor="accent1" w:themeShade="BF"/>
          <w:sz w:val="24"/>
          <w:szCs w:val="24"/>
          <w:lang w:eastAsia="es-MX"/>
        </w:rPr>
        <w:t xml:space="preserve"> </w:t>
      </w:r>
      <w:r w:rsidR="00FF0E37" w:rsidRPr="00682921">
        <w:rPr>
          <w:rFonts w:ascii="Arial" w:eastAsia="Times New Roman" w:hAnsi="Arial" w:cs="Arial"/>
          <w:color w:val="2E74B5" w:themeColor="accent1" w:themeShade="BF"/>
          <w:sz w:val="24"/>
          <w:szCs w:val="24"/>
          <w:lang w:eastAsia="es-MX"/>
        </w:rPr>
        <w:t>veintiuno</w:t>
      </w:r>
      <w:r w:rsidR="00224528" w:rsidRPr="00682921">
        <w:rPr>
          <w:rFonts w:ascii="Arial" w:eastAsia="Times New Roman" w:hAnsi="Arial" w:cs="Arial"/>
          <w:color w:val="2E74B5" w:themeColor="accent1" w:themeShade="BF"/>
          <w:sz w:val="24"/>
          <w:szCs w:val="24"/>
          <w:lang w:eastAsia="es-MX"/>
        </w:rPr>
        <w:t xml:space="preserve"> </w:t>
      </w:r>
      <w:r w:rsidR="003B32D5" w:rsidRPr="00682921">
        <w:rPr>
          <w:rFonts w:ascii="Arial" w:eastAsia="Times New Roman" w:hAnsi="Arial" w:cs="Arial"/>
          <w:color w:val="2E74B5" w:themeColor="accent1" w:themeShade="BF"/>
          <w:sz w:val="24"/>
          <w:szCs w:val="24"/>
          <w:lang w:eastAsia="es-MX"/>
        </w:rPr>
        <w:t>de ma</w:t>
      </w:r>
      <w:r w:rsidR="00FF0E37" w:rsidRPr="00682921">
        <w:rPr>
          <w:rFonts w:ascii="Arial" w:eastAsia="Times New Roman" w:hAnsi="Arial" w:cs="Arial"/>
          <w:color w:val="2E74B5" w:themeColor="accent1" w:themeShade="BF"/>
          <w:sz w:val="24"/>
          <w:szCs w:val="24"/>
          <w:lang w:eastAsia="es-MX"/>
        </w:rPr>
        <w:t>yo</w:t>
      </w:r>
      <w:r w:rsidRPr="00682921">
        <w:rPr>
          <w:rFonts w:ascii="Arial" w:eastAsia="Times New Roman" w:hAnsi="Arial" w:cs="Arial"/>
          <w:color w:val="2E74B5" w:themeColor="accent1" w:themeShade="BF"/>
          <w:sz w:val="24"/>
          <w:szCs w:val="24"/>
          <w:lang w:eastAsia="es-MX"/>
        </w:rPr>
        <w:t xml:space="preserve"> del presente año. </w:t>
      </w:r>
    </w:p>
    <w:p w:rsidR="006C043F" w:rsidRPr="00682921" w:rsidRDefault="006C043F" w:rsidP="006C043F">
      <w:pPr>
        <w:pStyle w:val="corte4fondo"/>
        <w:numPr>
          <w:ilvl w:val="0"/>
          <w:numId w:val="3"/>
        </w:numPr>
        <w:spacing w:line="276" w:lineRule="auto"/>
        <w:rPr>
          <w:rFonts w:cs="Arial"/>
          <w:color w:val="2E74B5" w:themeColor="accent1" w:themeShade="BF"/>
          <w:sz w:val="24"/>
          <w:szCs w:val="24"/>
        </w:rPr>
      </w:pPr>
      <w:r w:rsidRPr="00682921">
        <w:rPr>
          <w:rFonts w:cs="Arial"/>
          <w:color w:val="2E74B5" w:themeColor="accent1" w:themeShade="BF"/>
          <w:sz w:val="24"/>
          <w:szCs w:val="24"/>
        </w:rPr>
        <w:t>Se deben de descontar de dicho cómputo por ser inhábiles los días</w:t>
      </w:r>
      <w:r w:rsidR="00224528" w:rsidRPr="00682921">
        <w:rPr>
          <w:rFonts w:cs="Arial"/>
          <w:color w:val="2E74B5" w:themeColor="accent1" w:themeShade="BF"/>
          <w:sz w:val="24"/>
          <w:szCs w:val="24"/>
        </w:rPr>
        <w:t xml:space="preserve"> </w:t>
      </w:r>
      <w:r w:rsidR="00FF0E37" w:rsidRPr="00682921">
        <w:rPr>
          <w:rFonts w:cs="Arial"/>
          <w:color w:val="2E74B5" w:themeColor="accent1" w:themeShade="BF"/>
          <w:sz w:val="24"/>
          <w:szCs w:val="24"/>
        </w:rPr>
        <w:t>01</w:t>
      </w:r>
      <w:r w:rsidR="00224528" w:rsidRPr="00682921">
        <w:rPr>
          <w:rFonts w:cs="Arial"/>
          <w:color w:val="2E74B5" w:themeColor="accent1" w:themeShade="BF"/>
          <w:sz w:val="24"/>
          <w:szCs w:val="24"/>
        </w:rPr>
        <w:t xml:space="preserve"> </w:t>
      </w:r>
      <w:r w:rsidR="00FF0E37" w:rsidRPr="00682921">
        <w:rPr>
          <w:rFonts w:cs="Arial"/>
          <w:color w:val="2E74B5" w:themeColor="accent1" w:themeShade="BF"/>
          <w:sz w:val="24"/>
          <w:szCs w:val="24"/>
        </w:rPr>
        <w:t>uno</w:t>
      </w:r>
      <w:r w:rsidR="003829F6" w:rsidRPr="00682921">
        <w:rPr>
          <w:rFonts w:cs="Arial"/>
          <w:color w:val="2E74B5" w:themeColor="accent1" w:themeShade="BF"/>
          <w:sz w:val="24"/>
          <w:szCs w:val="24"/>
        </w:rPr>
        <w:t>, 04 cuatro, 05 cinco, 10 diez, 11 once, 12</w:t>
      </w:r>
      <w:r w:rsidRPr="00682921">
        <w:rPr>
          <w:rFonts w:cs="Arial"/>
          <w:color w:val="2E74B5" w:themeColor="accent1" w:themeShade="BF"/>
          <w:sz w:val="24"/>
          <w:szCs w:val="24"/>
        </w:rPr>
        <w:t xml:space="preserve"> </w:t>
      </w:r>
      <w:r w:rsidR="003829F6" w:rsidRPr="00682921">
        <w:rPr>
          <w:rFonts w:cs="Arial"/>
          <w:color w:val="2E74B5" w:themeColor="accent1" w:themeShade="BF"/>
          <w:sz w:val="24"/>
          <w:szCs w:val="24"/>
        </w:rPr>
        <w:t>doce, 18 dieciocho y 19 diecinueve</w:t>
      </w:r>
      <w:r w:rsidR="003B32D5" w:rsidRPr="00682921">
        <w:rPr>
          <w:rFonts w:cs="Arial"/>
          <w:color w:val="2E74B5" w:themeColor="accent1" w:themeShade="BF"/>
          <w:sz w:val="24"/>
          <w:szCs w:val="24"/>
        </w:rPr>
        <w:t xml:space="preserve"> de ma</w:t>
      </w:r>
      <w:r w:rsidR="003829F6" w:rsidRPr="00682921">
        <w:rPr>
          <w:rFonts w:cs="Arial"/>
          <w:color w:val="2E74B5" w:themeColor="accent1" w:themeShade="BF"/>
          <w:sz w:val="24"/>
          <w:szCs w:val="24"/>
        </w:rPr>
        <w:t xml:space="preserve">yo </w:t>
      </w:r>
      <w:r w:rsidRPr="00682921">
        <w:rPr>
          <w:rFonts w:cs="Arial"/>
          <w:color w:val="2E74B5" w:themeColor="accent1" w:themeShade="BF"/>
          <w:sz w:val="24"/>
          <w:szCs w:val="24"/>
        </w:rPr>
        <w:t>del año en curso.</w:t>
      </w:r>
    </w:p>
    <w:p w:rsidR="006C043F" w:rsidRPr="00682921" w:rsidRDefault="006C043F" w:rsidP="006C043F">
      <w:pPr>
        <w:pStyle w:val="corte4fondo"/>
        <w:numPr>
          <w:ilvl w:val="0"/>
          <w:numId w:val="3"/>
        </w:numPr>
        <w:spacing w:line="276" w:lineRule="auto"/>
        <w:rPr>
          <w:rFonts w:cs="Arial"/>
          <w:color w:val="2E74B5" w:themeColor="accent1" w:themeShade="BF"/>
          <w:sz w:val="24"/>
          <w:szCs w:val="24"/>
        </w:rPr>
      </w:pPr>
      <w:r w:rsidRPr="00682921">
        <w:rPr>
          <w:rFonts w:cs="Arial"/>
          <w:color w:val="2E74B5" w:themeColor="accent1" w:themeShade="BF"/>
          <w:sz w:val="24"/>
          <w:szCs w:val="24"/>
        </w:rPr>
        <w:t xml:space="preserve">Consecuentemente si el </w:t>
      </w:r>
      <w:r w:rsidR="003829F6" w:rsidRPr="00682921">
        <w:rPr>
          <w:rFonts w:cs="Arial"/>
          <w:color w:val="2E74B5" w:themeColor="accent1" w:themeShade="BF"/>
          <w:sz w:val="24"/>
          <w:szCs w:val="24"/>
        </w:rPr>
        <w:t>30 treinta de abril</w:t>
      </w:r>
      <w:r w:rsidR="003B32D5" w:rsidRPr="00682921">
        <w:rPr>
          <w:rFonts w:cs="Arial"/>
          <w:color w:val="2E74B5" w:themeColor="accent1" w:themeShade="BF"/>
          <w:sz w:val="24"/>
          <w:szCs w:val="24"/>
        </w:rPr>
        <w:t xml:space="preserve"> </w:t>
      </w:r>
      <w:r w:rsidRPr="00682921">
        <w:rPr>
          <w:rFonts w:cs="Arial"/>
          <w:color w:val="2E74B5" w:themeColor="accent1" w:themeShade="BF"/>
          <w:sz w:val="24"/>
          <w:szCs w:val="24"/>
        </w:rPr>
        <w:t>de 2019 dos mil diecinueve el recurrente interpuso el citado medio de impugnación ante esta Comisión de Transparencia y ante la Oficialía de Partes de esta Comisión el</w:t>
      </w:r>
      <w:r w:rsidR="003B32D5" w:rsidRPr="00682921">
        <w:rPr>
          <w:rFonts w:cs="Arial"/>
          <w:color w:val="2E74B5" w:themeColor="accent1" w:themeShade="BF"/>
          <w:sz w:val="24"/>
          <w:szCs w:val="24"/>
        </w:rPr>
        <w:t xml:space="preserve"> </w:t>
      </w:r>
      <w:r w:rsidR="00571DEF" w:rsidRPr="00682921">
        <w:rPr>
          <w:rFonts w:cs="Arial"/>
          <w:color w:val="2E74B5" w:themeColor="accent1" w:themeShade="BF"/>
          <w:sz w:val="24"/>
          <w:szCs w:val="24"/>
        </w:rPr>
        <w:t>02 dos de mayo del año en mención</w:t>
      </w:r>
      <w:r w:rsidRPr="00682921">
        <w:rPr>
          <w:rFonts w:cs="Arial"/>
          <w:color w:val="2E74B5" w:themeColor="accent1" w:themeShade="BF"/>
          <w:sz w:val="24"/>
          <w:szCs w:val="24"/>
        </w:rPr>
        <w:t>, resulta claro que es oportuna su presentación.</w:t>
      </w:r>
    </w:p>
    <w:p w:rsidR="006C043F" w:rsidRPr="004A65DD" w:rsidRDefault="006C043F" w:rsidP="006C043F">
      <w:pPr>
        <w:pStyle w:val="corte4fondo"/>
        <w:spacing w:line="276" w:lineRule="auto"/>
        <w:rPr>
          <w:rFonts w:cs="Arial"/>
          <w:color w:val="2E74B5" w:themeColor="accent1" w:themeShade="BF"/>
          <w:sz w:val="24"/>
          <w:szCs w:val="24"/>
        </w:rPr>
      </w:pPr>
      <w:bookmarkStart w:id="0" w:name="_GoBack"/>
      <w:bookmarkEnd w:id="0"/>
    </w:p>
    <w:p w:rsidR="006C043F" w:rsidRPr="004A65DD"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CUARTO. Certeza del acto reclamado</w:t>
      </w:r>
      <w:r w:rsidRPr="004A65DD">
        <w:rPr>
          <w:rFonts w:cs="Arial"/>
          <w:color w:val="2E74B5" w:themeColor="accent1" w:themeShade="BF"/>
          <w:sz w:val="24"/>
          <w:szCs w:val="24"/>
        </w:rPr>
        <w:t xml:space="preserve">. Es cierto lo que se le reclama al sujeto obligado en virtud de que la solicitud de acceso a la información pública fue dirigida al </w:t>
      </w:r>
      <w:r w:rsidR="00C47D73">
        <w:rPr>
          <w:rFonts w:cs="Arial"/>
          <w:color w:val="2E74B5" w:themeColor="accent1" w:themeShade="BF"/>
          <w:sz w:val="24"/>
          <w:szCs w:val="24"/>
        </w:rPr>
        <w:t>ente</w:t>
      </w:r>
      <w:r w:rsidRPr="004A65DD">
        <w:rPr>
          <w:rFonts w:cs="Arial"/>
          <w:color w:val="2E74B5" w:themeColor="accent1" w:themeShade="BF"/>
          <w:sz w:val="24"/>
          <w:szCs w:val="24"/>
        </w:rPr>
        <w:t xml:space="preserve"> de que se trata como sujeto obligado de acuerdo al registro de la Plataforma Nacional de Transparencia. </w:t>
      </w:r>
    </w:p>
    <w:p w:rsidR="006C043F" w:rsidRPr="004A65DD" w:rsidRDefault="006C043F" w:rsidP="006C043F">
      <w:pPr>
        <w:pStyle w:val="corte4fondo"/>
        <w:spacing w:line="276" w:lineRule="auto"/>
        <w:rPr>
          <w:rFonts w:cs="Arial"/>
          <w:color w:val="2E74B5" w:themeColor="accent1" w:themeShade="BF"/>
          <w:sz w:val="24"/>
          <w:szCs w:val="24"/>
        </w:rPr>
      </w:pPr>
    </w:p>
    <w:p w:rsidR="006C043F" w:rsidRPr="004A65DD" w:rsidRDefault="006C043F" w:rsidP="006C043F">
      <w:pPr>
        <w:pStyle w:val="corte4fondo"/>
        <w:spacing w:line="276" w:lineRule="auto"/>
        <w:ind w:firstLine="708"/>
        <w:rPr>
          <w:rFonts w:cs="Arial"/>
          <w:color w:val="2E74B5" w:themeColor="accent1" w:themeShade="BF"/>
          <w:sz w:val="24"/>
          <w:szCs w:val="24"/>
        </w:rPr>
      </w:pPr>
      <w:r w:rsidRPr="004A65DD">
        <w:rPr>
          <w:rFonts w:cs="Arial"/>
          <w:b/>
          <w:color w:val="2E74B5" w:themeColor="accent1" w:themeShade="BF"/>
          <w:sz w:val="24"/>
          <w:szCs w:val="24"/>
        </w:rPr>
        <w:t xml:space="preserve">QUINTO. Causales de improcedencia. </w:t>
      </w:r>
      <w:r w:rsidRPr="004A65DD">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p>
    <w:p w:rsidR="006C043F" w:rsidRPr="004A65DD" w:rsidRDefault="006C043F" w:rsidP="006C043F">
      <w:pPr>
        <w:pStyle w:val="corte4fondo"/>
        <w:spacing w:line="276" w:lineRule="auto"/>
        <w:ind w:firstLine="708"/>
        <w:rPr>
          <w:rFonts w:cs="Arial"/>
          <w:color w:val="2E74B5" w:themeColor="accent1" w:themeShade="BF"/>
          <w:sz w:val="24"/>
          <w:szCs w:val="24"/>
        </w:rPr>
      </w:pPr>
    </w:p>
    <w:p w:rsidR="006C043F" w:rsidRPr="004A65DD" w:rsidRDefault="006C043F" w:rsidP="006C043F">
      <w:pPr>
        <w:pStyle w:val="corte4fondo"/>
        <w:spacing w:line="276" w:lineRule="auto"/>
        <w:ind w:firstLine="708"/>
        <w:rPr>
          <w:rFonts w:cs="Arial"/>
          <w:color w:val="2E74B5" w:themeColor="accent1" w:themeShade="BF"/>
          <w:sz w:val="24"/>
          <w:szCs w:val="24"/>
        </w:rPr>
      </w:pPr>
      <w:r w:rsidRPr="00AC5A70">
        <w:rPr>
          <w:rFonts w:cs="Arial"/>
          <w:b/>
          <w:color w:val="2E74B5" w:themeColor="accent1" w:themeShade="BF"/>
          <w:sz w:val="24"/>
          <w:szCs w:val="24"/>
        </w:rPr>
        <w:t>SEXTO. Estudio de los agravios</w:t>
      </w:r>
      <w:r w:rsidRPr="00AC5A70">
        <w:rPr>
          <w:rFonts w:cs="Arial"/>
          <w:color w:val="2E74B5" w:themeColor="accent1" w:themeShade="BF"/>
          <w:sz w:val="24"/>
          <w:szCs w:val="24"/>
        </w:rPr>
        <w:t>.</w:t>
      </w:r>
      <w:r w:rsidRPr="004A65DD">
        <w:rPr>
          <w:rFonts w:cs="Arial"/>
          <w:color w:val="2E74B5" w:themeColor="accent1" w:themeShade="BF"/>
          <w:sz w:val="24"/>
          <w:szCs w:val="24"/>
        </w:rPr>
        <w:t xml:space="preserve">  </w:t>
      </w:r>
    </w:p>
    <w:p w:rsidR="006C043F" w:rsidRPr="004A65DD" w:rsidRDefault="006C043F" w:rsidP="006C043F">
      <w:pPr>
        <w:pStyle w:val="corte4fondo"/>
        <w:spacing w:line="276" w:lineRule="auto"/>
        <w:ind w:firstLine="0"/>
        <w:rPr>
          <w:rFonts w:cs="Arial"/>
          <w:color w:val="2E74B5" w:themeColor="accent1" w:themeShade="BF"/>
          <w:sz w:val="24"/>
          <w:szCs w:val="24"/>
        </w:rPr>
      </w:pPr>
    </w:p>
    <w:p w:rsidR="00AC5A70" w:rsidRDefault="006C043F" w:rsidP="00AC5A70">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r w:rsidRPr="004A65DD">
        <w:rPr>
          <w:rFonts w:cs="Arial"/>
          <w:color w:val="2E74B5" w:themeColor="accent1" w:themeShade="BF"/>
          <w:sz w:val="24"/>
          <w:szCs w:val="24"/>
        </w:rPr>
        <w:tab/>
      </w:r>
      <w:r w:rsidR="00AC5A70">
        <w:rPr>
          <w:rFonts w:cs="Arial"/>
          <w:b/>
          <w:color w:val="2E74B5" w:themeColor="accent1" w:themeShade="BF"/>
          <w:sz w:val="24"/>
          <w:szCs w:val="24"/>
        </w:rPr>
        <w:t>6.1. Agravios.</w:t>
      </w:r>
      <w:r w:rsidR="00AC5A70">
        <w:rPr>
          <w:rFonts w:cs="Arial"/>
          <w:b/>
          <w:color w:val="2E74B5" w:themeColor="accent1" w:themeShade="BF"/>
          <w:sz w:val="24"/>
          <w:szCs w:val="24"/>
        </w:rPr>
        <w:tab/>
      </w:r>
    </w:p>
    <w:p w:rsidR="00AC5A70" w:rsidRDefault="00AC5A70" w:rsidP="00AC5A70">
      <w:pPr>
        <w:pStyle w:val="corte4fondo"/>
        <w:spacing w:line="276" w:lineRule="auto"/>
        <w:ind w:firstLine="0"/>
        <w:rPr>
          <w:rFonts w:cs="Arial"/>
          <w:b/>
          <w:color w:val="2E74B5" w:themeColor="accent1" w:themeShade="BF"/>
          <w:sz w:val="24"/>
          <w:szCs w:val="24"/>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w:t>
      </w:r>
      <w:proofErr w:type="gramStart"/>
      <w:r>
        <w:rPr>
          <w:rFonts w:cs="Arial"/>
          <w:i/>
          <w:color w:val="2E74B5" w:themeColor="accent1" w:themeShade="BF"/>
          <w:sz w:val="20"/>
        </w:rPr>
        <w:t>sic</w:t>
      </w:r>
      <w:proofErr w:type="gramEnd"/>
      <w:r>
        <w:rPr>
          <w:rFonts w:cs="Arial"/>
          <w:i/>
          <w:color w:val="2E74B5" w:themeColor="accent1" w:themeShade="BF"/>
          <w:sz w:val="20"/>
        </w:rPr>
        <w:t>)</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Pr>
          <w:rFonts w:cs="Arial"/>
          <w:i/>
          <w:color w:val="2E74B5" w:themeColor="accent1" w:themeShade="BF"/>
          <w:sz w:val="20"/>
        </w:rPr>
        <w:t>publica</w:t>
      </w:r>
      <w:proofErr w:type="spellEnd"/>
      <w:r>
        <w:rPr>
          <w:rFonts w:cs="Arial"/>
          <w:i/>
          <w:color w:val="2E74B5" w:themeColor="accent1" w:themeShade="BF"/>
          <w:sz w:val="20"/>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w:t>
      </w:r>
      <w:proofErr w:type="gramStart"/>
      <w:r>
        <w:rPr>
          <w:rFonts w:cs="Arial"/>
          <w:i/>
          <w:color w:val="2E74B5" w:themeColor="accent1" w:themeShade="BF"/>
          <w:sz w:val="20"/>
        </w:rPr>
        <w:t>sic</w:t>
      </w:r>
      <w:proofErr w:type="gramEnd"/>
      <w:r>
        <w:rPr>
          <w:rFonts w:cs="Arial"/>
          <w:i/>
          <w:color w:val="2E74B5" w:themeColor="accent1" w:themeShade="BF"/>
          <w:sz w:val="20"/>
        </w:rPr>
        <w:t>)</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público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corte4fondo"/>
        <w:spacing w:line="276" w:lineRule="auto"/>
        <w:ind w:firstLine="708"/>
        <w:rPr>
          <w:rFonts w:cs="Arial"/>
          <w:i/>
          <w:color w:val="2E74B5" w:themeColor="accent1" w:themeShade="BF"/>
          <w:sz w:val="20"/>
        </w:rPr>
      </w:pPr>
      <w:r>
        <w:rPr>
          <w:rFonts w:cs="Arial"/>
          <w:i/>
          <w:color w:val="2E74B5" w:themeColor="accent1" w:themeShade="BF"/>
          <w:sz w:val="20"/>
        </w:rPr>
        <w:t>Para efectos de resolver el presente recurso de revisión ofrezco como pruebas, la solicitud realizada, la respuesta obtenida por el partido político morena, presunciones legal y humano e instrumental de actuaciones.…” (Sic).</w:t>
      </w:r>
    </w:p>
    <w:p w:rsidR="00AC5A70" w:rsidRDefault="00AC5A70" w:rsidP="00AC5A70">
      <w:pPr>
        <w:pStyle w:val="corte4fondo"/>
        <w:spacing w:line="276" w:lineRule="auto"/>
        <w:ind w:firstLine="708"/>
        <w:rPr>
          <w:rFonts w:cs="Arial"/>
          <w:i/>
          <w:color w:val="2E74B5" w:themeColor="accent1" w:themeShade="BF"/>
          <w:sz w:val="20"/>
        </w:rPr>
      </w:pPr>
    </w:p>
    <w:p w:rsidR="00AC5A70" w:rsidRDefault="00AC5A70" w:rsidP="00AC5A70">
      <w:pPr>
        <w:pStyle w:val="Textoindependienteprimerasangra"/>
        <w:tabs>
          <w:tab w:val="left" w:pos="3030"/>
        </w:tabs>
        <w:spacing w:after="0" w:line="276" w:lineRule="auto"/>
        <w:ind w:right="49" w:firstLine="0"/>
        <w:rPr>
          <w:rFonts w:ascii="Arial" w:eastAsia="Arial Unicode MS" w:hAnsi="Arial" w:cs="Arial"/>
          <w:color w:val="2E74B5" w:themeColor="accent1" w:themeShade="BF"/>
          <w:sz w:val="24"/>
          <w:lang w:val="es-ES_tradnl"/>
        </w:rPr>
      </w:pPr>
      <w:r>
        <w:rPr>
          <w:rFonts w:ascii="Arial" w:hAnsi="Arial" w:cs="Arial"/>
          <w:color w:val="2E74B5" w:themeColor="accent1" w:themeShade="BF"/>
          <w:sz w:val="24"/>
        </w:rPr>
        <w:t xml:space="preserve">        Ahora bien, previo al análisis de fondo se trae a contexto los siguientes preceptos de la </w:t>
      </w:r>
      <w:r>
        <w:rPr>
          <w:rFonts w:ascii="Arial" w:eastAsia="Arial Unicode MS" w:hAnsi="Arial" w:cs="Arial"/>
          <w:color w:val="2E74B5" w:themeColor="accent1" w:themeShade="BF"/>
          <w:sz w:val="24"/>
          <w:lang w:val="es-ES_tradnl"/>
        </w:rPr>
        <w:t>Ley de Transparencia y Acceso a la Información Pública del Estado de San Luis Potosí:</w:t>
      </w:r>
    </w:p>
    <w:p w:rsidR="00AC5A70" w:rsidRDefault="00AC5A70" w:rsidP="00AC5A70">
      <w:pPr>
        <w:autoSpaceDE w:val="0"/>
        <w:autoSpaceDN w:val="0"/>
        <w:adjustRightInd w:val="0"/>
        <w:spacing w:after="0"/>
        <w:rPr>
          <w:rFonts w:ascii="Arial" w:eastAsia="Arial Unicode MS" w:hAnsi="Arial" w:cs="Arial"/>
          <w:i/>
          <w:color w:val="2E74B5" w:themeColor="accent1" w:themeShade="BF"/>
          <w:sz w:val="20"/>
          <w:szCs w:val="20"/>
          <w:lang w:val="es-ES_tradnl"/>
        </w:rPr>
      </w:pPr>
    </w:p>
    <w:p w:rsidR="00AC5A70" w:rsidRDefault="00AC5A70" w:rsidP="00AC5A70">
      <w:pPr>
        <w:autoSpaceDE w:val="0"/>
        <w:autoSpaceDN w:val="0"/>
        <w:adjustRightInd w:val="0"/>
        <w:spacing w:after="0"/>
        <w:ind w:right="50" w:firstLine="708"/>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18.</w:t>
      </w:r>
      <w:r>
        <w:rPr>
          <w:rFonts w:ascii="Arial" w:hAnsi="Arial" w:cs="Arial"/>
          <w:i/>
          <w:color w:val="2E74B5" w:themeColor="accent1" w:themeShade="BF"/>
          <w:sz w:val="20"/>
          <w:szCs w:val="20"/>
        </w:rPr>
        <w:t xml:space="preserve"> Los sujetos obligados deberán documentar todo acto que derive del ejercicio de sus facultades, competencias o funciones.” </w:t>
      </w: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autoSpaceDE w:val="0"/>
        <w:autoSpaceDN w:val="0"/>
        <w:adjustRightInd w:val="0"/>
        <w:spacing w:after="0"/>
        <w:ind w:right="50" w:firstLine="708"/>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19.</w:t>
      </w:r>
      <w:r>
        <w:rPr>
          <w:rFonts w:ascii="Arial" w:hAnsi="Arial" w:cs="Arial"/>
          <w:i/>
          <w:color w:val="2E74B5" w:themeColor="accent1" w:themeShade="BF"/>
          <w:sz w:val="20"/>
          <w:szCs w:val="20"/>
        </w:rPr>
        <w:t xml:space="preserve"> Se presume que la información debe existir si se refiere a las facultades, competencias y funciones que los ordenamientos jurídicos aplicables otorgan a los sujetos obligados. </w:t>
      </w: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En los casos en que ciertas facultades, competencias o funciones no se hayan ejercido, se debe motivar la respuesta en función de las causas que motiven la inexistencia.”</w:t>
      </w: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autoSpaceDE w:val="0"/>
        <w:autoSpaceDN w:val="0"/>
        <w:adjustRightInd w:val="0"/>
        <w:spacing w:after="0"/>
        <w:ind w:right="50" w:firstLine="708"/>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20.</w:t>
      </w:r>
      <w:r>
        <w:rPr>
          <w:rFonts w:ascii="Arial" w:hAnsi="Arial" w:cs="Arial"/>
          <w:i/>
          <w:color w:val="2E74B5" w:themeColor="accent1" w:themeShade="BF"/>
          <w:sz w:val="20"/>
          <w:szCs w:val="20"/>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AC5A70" w:rsidRDefault="00AC5A70" w:rsidP="00AC5A70">
      <w:pPr>
        <w:tabs>
          <w:tab w:val="left" w:pos="7371"/>
        </w:tabs>
        <w:spacing w:after="0"/>
        <w:ind w:right="50"/>
        <w:jc w:val="both"/>
        <w:rPr>
          <w:rFonts w:ascii="Arial" w:hAnsi="Arial" w:cs="Arial"/>
          <w:b/>
          <w:i/>
          <w:color w:val="2E74B5" w:themeColor="accent1" w:themeShade="BF"/>
          <w:sz w:val="20"/>
          <w:szCs w:val="20"/>
        </w:rPr>
      </w:pPr>
    </w:p>
    <w:p w:rsidR="00AC5A70" w:rsidRDefault="00AC5A70" w:rsidP="00AC5A70">
      <w:pPr>
        <w:tabs>
          <w:tab w:val="left" w:pos="7371"/>
        </w:tabs>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 xml:space="preserve">           “ARTÍCULO 151.</w:t>
      </w:r>
      <w:r>
        <w:rPr>
          <w:rFonts w:ascii="Arial" w:hAnsi="Arial" w:cs="Arial"/>
          <w:i/>
          <w:color w:val="2E74B5" w:themeColor="accent1" w:themeShade="BF"/>
          <w:sz w:val="20"/>
          <w:szCs w:val="20"/>
        </w:rPr>
        <w:t xml:space="preserve"> Los sujetos obligados </w:t>
      </w:r>
      <w:r>
        <w:rPr>
          <w:rFonts w:ascii="Arial" w:hAnsi="Arial" w:cs="Arial"/>
          <w:b/>
          <w:i/>
          <w:color w:val="2E74B5" w:themeColor="accent1" w:themeShade="BF"/>
          <w:sz w:val="20"/>
          <w:szCs w:val="20"/>
          <w:u w:val="single"/>
        </w:rPr>
        <w:t>deberán otorgar acceso a los Documentos que se encuentren en sus archivos o que estén obligados a documentar de acuerdo con sus facultades, competencias o funciones</w:t>
      </w:r>
      <w:r>
        <w:rPr>
          <w:rFonts w:ascii="Arial" w:hAnsi="Arial" w:cs="Arial"/>
          <w:i/>
          <w:color w:val="2E74B5" w:themeColor="accent1" w:themeShade="BF"/>
          <w:sz w:val="20"/>
          <w:szCs w:val="20"/>
        </w:rPr>
        <w:t xml:space="preserve"> en el formato en que el solicitante manifieste, de entre aquellos formatos existentes, conforme a las características físicas de la información o del lugar donde se encuentre así lo permita. </w:t>
      </w:r>
    </w:p>
    <w:p w:rsidR="00AC5A70" w:rsidRDefault="00AC5A70" w:rsidP="00AC5A70">
      <w:pPr>
        <w:tabs>
          <w:tab w:val="left" w:pos="7371"/>
        </w:tabs>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 xml:space="preserve"> </w:t>
      </w:r>
    </w:p>
    <w:p w:rsidR="00AC5A70" w:rsidRDefault="00AC5A70" w:rsidP="00AC5A70">
      <w:pPr>
        <w:tabs>
          <w:tab w:val="left" w:pos="7371"/>
        </w:tabs>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En el caso de que la información solicitada consista en bases de datos se deberá privilegiar la entrega de la misma en Formatos Abiertos.”</w:t>
      </w:r>
    </w:p>
    <w:p w:rsidR="00AC5A70" w:rsidRDefault="00AC5A70" w:rsidP="00AC5A70">
      <w:pPr>
        <w:tabs>
          <w:tab w:val="left" w:pos="7371"/>
        </w:tabs>
        <w:spacing w:after="0"/>
        <w:ind w:right="50"/>
        <w:jc w:val="both"/>
        <w:rPr>
          <w:rFonts w:ascii="Arial" w:hAnsi="Arial" w:cs="Arial"/>
          <w:i/>
          <w:color w:val="2E74B5" w:themeColor="accent1" w:themeShade="BF"/>
          <w:sz w:val="20"/>
          <w:szCs w:val="20"/>
        </w:rPr>
      </w:pPr>
    </w:p>
    <w:p w:rsidR="00AC5A70" w:rsidRDefault="00AC5A70" w:rsidP="00AC5A70">
      <w:pPr>
        <w:tabs>
          <w:tab w:val="left" w:pos="7371"/>
        </w:tabs>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 xml:space="preserve">        “ARTÍCULO 153.</w:t>
      </w:r>
      <w:r>
        <w:rPr>
          <w:rFonts w:ascii="Arial" w:hAnsi="Arial" w:cs="Arial"/>
          <w:i/>
          <w:color w:val="2E74B5" w:themeColor="accent1" w:themeShade="BF"/>
          <w:sz w:val="20"/>
          <w:szCs w:val="20"/>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AC5A70" w:rsidRDefault="00AC5A70" w:rsidP="00AC5A70">
      <w:pPr>
        <w:tabs>
          <w:tab w:val="left" w:pos="7371"/>
        </w:tabs>
        <w:spacing w:after="0"/>
        <w:ind w:left="1134" w:right="1183"/>
        <w:rPr>
          <w:rFonts w:ascii="Arial" w:hAnsi="Arial" w:cs="Arial"/>
          <w:color w:val="2E74B5" w:themeColor="accent1" w:themeShade="BF"/>
        </w:rPr>
      </w:pPr>
    </w:p>
    <w:p w:rsidR="00AC5A70" w:rsidRDefault="00AC5A70" w:rsidP="00AC5A70">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AC5A70" w:rsidRDefault="00AC5A70" w:rsidP="00AC5A70">
      <w:pPr>
        <w:spacing w:after="0"/>
        <w:jc w:val="both"/>
        <w:rPr>
          <w:rFonts w:ascii="Arial" w:hAnsi="Arial" w:cs="Arial"/>
          <w:color w:val="2E74B5" w:themeColor="accent1" w:themeShade="BF"/>
          <w:sz w:val="24"/>
        </w:rPr>
      </w:pPr>
    </w:p>
    <w:p w:rsidR="00AC5A70" w:rsidRDefault="00AC5A70" w:rsidP="00AC5A70">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AC5A70" w:rsidRDefault="00AC5A70" w:rsidP="00AC5A70">
      <w:pPr>
        <w:spacing w:after="0"/>
        <w:jc w:val="both"/>
        <w:rPr>
          <w:rFonts w:ascii="Arial" w:hAnsi="Arial" w:cs="Arial"/>
          <w:color w:val="2E74B5" w:themeColor="accent1" w:themeShade="BF"/>
          <w:sz w:val="24"/>
        </w:rPr>
      </w:pPr>
    </w:p>
    <w:p w:rsidR="00AC5A70" w:rsidRDefault="00AC5A70" w:rsidP="00AC5A70">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AC5A70" w:rsidRDefault="00AC5A70" w:rsidP="00AC5A70">
      <w:pPr>
        <w:spacing w:after="0"/>
        <w:jc w:val="both"/>
        <w:rPr>
          <w:rFonts w:ascii="Arial" w:hAnsi="Arial" w:cs="Arial"/>
          <w:color w:val="2E74B5" w:themeColor="accent1" w:themeShade="BF"/>
          <w:sz w:val="24"/>
        </w:rPr>
      </w:pPr>
    </w:p>
    <w:p w:rsidR="00AC5A70" w:rsidRDefault="00AC5A70" w:rsidP="00AC5A70">
      <w:pPr>
        <w:pStyle w:val="NormalWeb"/>
        <w:shd w:val="clear" w:color="auto" w:fill="FFFFFF"/>
        <w:spacing w:before="0" w:beforeAutospacing="0" w:after="0" w:afterAutospacing="0" w:line="276" w:lineRule="auto"/>
        <w:ind w:firstLine="708"/>
        <w:jc w:val="both"/>
        <w:rPr>
          <w:rFonts w:ascii="Arial" w:hAnsi="Arial" w:cs="Arial"/>
          <w:color w:val="2E74B5" w:themeColor="accent1" w:themeShade="BF"/>
        </w:rPr>
      </w:pPr>
      <w:r>
        <w:rPr>
          <w:rFonts w:ascii="Arial" w:hAnsi="Arial" w:cs="Arial"/>
          <w:color w:val="2E74B5" w:themeColor="accent1" w:themeShade="BF"/>
        </w:rPr>
        <w:t xml:space="preserve">Dicho lo anterior es dable colegir que la presente Resolución tiene por objeto determinar si el Partido Movimiento De Regeneración Nacional (MORENA) entregó una respuesta en los términos que señala el artículo 151 de la Ley de Transparencia y Acceso a la Información Pública del Estado, o en su caso, si le asiste la razón al recurrente por encontrarse fundados sus motivos de inconformidad en cuanto a que no se entregó la respuesta de manera completa. </w:t>
      </w:r>
    </w:p>
    <w:p w:rsidR="00AC5A70" w:rsidRDefault="00AC5A70" w:rsidP="00AC5A70">
      <w:pPr>
        <w:pStyle w:val="NormalWeb"/>
        <w:shd w:val="clear" w:color="auto" w:fill="FFFFFF"/>
        <w:spacing w:before="0" w:beforeAutospacing="0" w:after="0" w:afterAutospacing="0" w:line="276" w:lineRule="auto"/>
        <w:ind w:firstLine="708"/>
        <w:jc w:val="both"/>
        <w:rPr>
          <w:rFonts w:ascii="Arial" w:hAnsi="Arial" w:cs="Arial"/>
          <w:color w:val="2E74B5" w:themeColor="accent1" w:themeShade="BF"/>
        </w:rPr>
      </w:pPr>
    </w:p>
    <w:p w:rsidR="00AC5A70" w:rsidRDefault="00AC5A70" w:rsidP="00AC5A70">
      <w:pPr>
        <w:pStyle w:val="corte4fondo"/>
        <w:spacing w:line="276" w:lineRule="auto"/>
        <w:rPr>
          <w:rFonts w:cs="Arial"/>
          <w:b/>
          <w:color w:val="2E74B5" w:themeColor="accent1" w:themeShade="BF"/>
          <w:sz w:val="24"/>
          <w:szCs w:val="24"/>
        </w:rPr>
      </w:pPr>
      <w:r>
        <w:rPr>
          <w:rFonts w:cs="Arial"/>
          <w:b/>
          <w:color w:val="2E74B5" w:themeColor="accent1" w:themeShade="BF"/>
          <w:sz w:val="24"/>
          <w:szCs w:val="24"/>
        </w:rPr>
        <w:t>6.1.1. Agravio fundado.</w:t>
      </w:r>
    </w:p>
    <w:p w:rsidR="00AC5A70" w:rsidRDefault="00AC5A70" w:rsidP="00AC5A70">
      <w:pPr>
        <w:pStyle w:val="corte4fondo"/>
        <w:spacing w:line="276" w:lineRule="auto"/>
        <w:rPr>
          <w:rFonts w:cs="Arial"/>
          <w:b/>
          <w:color w:val="2E74B5" w:themeColor="accent1" w:themeShade="BF"/>
          <w:sz w:val="24"/>
          <w:szCs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Una vez precisados los elementos a resolver, este Pleno analizará los hechos con base a los argumentos aportados por las partes y demás elementos de convicción.</w:t>
      </w:r>
    </w:p>
    <w:p w:rsidR="00C46826" w:rsidRDefault="00C46826" w:rsidP="00AC5A70">
      <w:pPr>
        <w:autoSpaceDE w:val="0"/>
        <w:autoSpaceDN w:val="0"/>
        <w:adjustRightInd w:val="0"/>
        <w:spacing w:after="0"/>
        <w:ind w:firstLine="708"/>
        <w:jc w:val="both"/>
        <w:rPr>
          <w:rFonts w:ascii="Arial" w:hAnsi="Arial" w:cs="Arial"/>
          <w:color w:val="2E74B5" w:themeColor="accent1" w:themeShade="BF"/>
          <w:sz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pacing w:val="4"/>
          <w:sz w:val="24"/>
        </w:rPr>
      </w:pPr>
      <w:r>
        <w:rPr>
          <w:rFonts w:ascii="Arial" w:hAnsi="Arial" w:cs="Arial"/>
          <w:color w:val="2E74B5" w:themeColor="accent1" w:themeShade="BF"/>
          <w:spacing w:val="4"/>
          <w:sz w:val="24"/>
        </w:rPr>
        <w:t xml:space="preserve">Como ha quedado señalado en el </w:t>
      </w:r>
      <w:r w:rsidR="00C46826">
        <w:rPr>
          <w:rFonts w:ascii="Arial" w:hAnsi="Arial" w:cs="Arial"/>
          <w:color w:val="2E74B5" w:themeColor="accent1" w:themeShade="BF"/>
          <w:spacing w:val="4"/>
          <w:sz w:val="24"/>
        </w:rPr>
        <w:t>resultando primero</w:t>
      </w:r>
      <w:r>
        <w:rPr>
          <w:rFonts w:ascii="Arial" w:hAnsi="Arial" w:cs="Arial"/>
          <w:color w:val="2E74B5" w:themeColor="accent1" w:themeShade="BF"/>
          <w:spacing w:val="4"/>
          <w:sz w:val="24"/>
        </w:rPr>
        <w:t xml:space="preserve"> de la presente determinación, el recurrente requirió se le proporcionará la información relativa a las aportaciones realizadas por privados a la campaña del municipio de </w:t>
      </w:r>
      <w:proofErr w:type="spellStart"/>
      <w:r w:rsidRPr="003F009A">
        <w:rPr>
          <w:rFonts w:ascii="Arial" w:hAnsi="Arial" w:cs="Arial"/>
          <w:color w:val="2E74B5" w:themeColor="accent1" w:themeShade="BF"/>
          <w:spacing w:val="4"/>
          <w:sz w:val="24"/>
        </w:rPr>
        <w:t>Matlapa</w:t>
      </w:r>
      <w:proofErr w:type="spellEnd"/>
      <w:r>
        <w:rPr>
          <w:rFonts w:ascii="Arial" w:hAnsi="Arial" w:cs="Arial"/>
          <w:color w:val="2E74B5" w:themeColor="accent1" w:themeShade="BF"/>
          <w:spacing w:val="4"/>
          <w:sz w:val="24"/>
        </w:rPr>
        <w:t xml:space="preserve">, en el periodo electoral 2017 dos mil diecisiete a 2018 dos mil dieciocho en el Estado de San Luis Potosí, incluyendo el nombre de quién realizo dicha aportación; si dicha aportación se efectuó en especie o económico y la distribución de dicha campaña. </w:t>
      </w:r>
    </w:p>
    <w:p w:rsidR="00AC5A70" w:rsidRDefault="00AC5A70" w:rsidP="00AC5A70">
      <w:pPr>
        <w:autoSpaceDE w:val="0"/>
        <w:autoSpaceDN w:val="0"/>
        <w:adjustRightInd w:val="0"/>
        <w:spacing w:after="0"/>
        <w:jc w:val="both"/>
        <w:rPr>
          <w:rFonts w:ascii="Arial" w:hAnsi="Arial" w:cs="Arial"/>
          <w:color w:val="2E74B5" w:themeColor="accent1" w:themeShade="BF"/>
          <w:spacing w:val="4"/>
          <w:sz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pacing w:val="4"/>
          <w:sz w:val="24"/>
        </w:rPr>
      </w:pPr>
      <w:r>
        <w:rPr>
          <w:rFonts w:ascii="Arial" w:hAnsi="Arial" w:cs="Arial"/>
          <w:color w:val="2E74B5" w:themeColor="accent1" w:themeShade="BF"/>
          <w:spacing w:val="4"/>
          <w:sz w:val="24"/>
        </w:rPr>
        <w:t xml:space="preserve">Por lo que de la respuesta primigenia se aprecia que el sujeto obligado indicó al solicitante a través del oficio </w:t>
      </w:r>
      <w:r w:rsidRPr="003F009A">
        <w:rPr>
          <w:rFonts w:ascii="Arial" w:hAnsi="Arial" w:cs="Arial"/>
          <w:color w:val="2E74B5" w:themeColor="accent1" w:themeShade="BF"/>
          <w:spacing w:val="4"/>
          <w:sz w:val="24"/>
        </w:rPr>
        <w:t>273/UTM/SLP/RSIP/2019,</w:t>
      </w:r>
      <w:r>
        <w:rPr>
          <w:rFonts w:ascii="Arial" w:hAnsi="Arial" w:cs="Arial"/>
          <w:color w:val="2E74B5" w:themeColor="accent1" w:themeShade="BF"/>
          <w:spacing w:val="4"/>
          <w:sz w:val="24"/>
        </w:rPr>
        <w:t xml:space="preserve"> que dicha información se encuentra disponible y se puede consultar para tal efecto en la página oficial del Instituto Nacional Electoral (INE), ya que en cumplimiento a las disposiciones en materia electoral, en dicho sitio electrónico se encuentran fiscalizados los registros de las aportaciones públicas y privadas en efectivo o en especie de las campañas de los actores políticos del periodo de dos mil diecisiete a dos mil dieciocho y para tal efecto, le proporciono la liga electrónica de la página en mención.</w:t>
      </w:r>
    </w:p>
    <w:p w:rsidR="00AC5A70" w:rsidRDefault="00AC5A70" w:rsidP="00AC5A70">
      <w:pPr>
        <w:autoSpaceDE w:val="0"/>
        <w:autoSpaceDN w:val="0"/>
        <w:adjustRightInd w:val="0"/>
        <w:spacing w:after="0"/>
        <w:rPr>
          <w:rFonts w:ascii="Arial" w:hAnsi="Arial" w:cs="Arial"/>
          <w:color w:val="2E74B5" w:themeColor="accent1" w:themeShade="BF"/>
          <w:spacing w:val="4"/>
          <w:sz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pacing w:val="4"/>
          <w:sz w:val="24"/>
        </w:rPr>
      </w:pPr>
      <w:r>
        <w:rPr>
          <w:rFonts w:ascii="Arial" w:hAnsi="Arial" w:cs="Arial"/>
          <w:color w:val="2E74B5" w:themeColor="accent1" w:themeShade="BF"/>
          <w:spacing w:val="4"/>
          <w:sz w:val="24"/>
        </w:rPr>
        <w:t xml:space="preserve">Asimismo, el Sujeto Obligado indicó al particular que dicha información fue entregada al Instituto Nacional Electoral y no guardo en sus archivos información adicional que no fuera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por ello remitió a la liga electrónica proporcionada para tal efecto. </w:t>
      </w:r>
    </w:p>
    <w:p w:rsidR="00AC5A70" w:rsidRDefault="00AC5A70" w:rsidP="00AC5A70">
      <w:pPr>
        <w:autoSpaceDE w:val="0"/>
        <w:autoSpaceDN w:val="0"/>
        <w:adjustRightInd w:val="0"/>
        <w:spacing w:after="0"/>
        <w:rPr>
          <w:rFonts w:ascii="Arial" w:hAnsi="Arial" w:cs="Arial"/>
          <w:color w:val="2E74B5" w:themeColor="accent1" w:themeShade="BF"/>
          <w:sz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rPr>
      </w:pPr>
    </w:p>
    <w:p w:rsidR="00AC5A70" w:rsidRDefault="00AC5A70" w:rsidP="00AC5A70">
      <w:pPr>
        <w:spacing w:after="0"/>
        <w:ind w:right="50" w:firstLine="708"/>
        <w:jc w:val="both"/>
        <w:rPr>
          <w:rFonts w:ascii="Arial" w:hAnsi="Arial" w:cs="Arial"/>
          <w:i/>
          <w:color w:val="2E74B5" w:themeColor="accent1" w:themeShade="BF"/>
          <w:sz w:val="20"/>
          <w:szCs w:val="20"/>
          <w:u w:val="single"/>
        </w:rPr>
      </w:pPr>
      <w:r>
        <w:rPr>
          <w:rFonts w:ascii="Arial" w:hAnsi="Arial" w:cs="Arial"/>
          <w:i/>
          <w:color w:val="2E74B5" w:themeColor="accent1" w:themeShade="BF"/>
          <w:sz w:val="20"/>
          <w:szCs w:val="20"/>
        </w:rPr>
        <w:t xml:space="preserve">“Congruencia y exhaustividad. Sus alcances para garantizar el derecho de acceso a la información. De conformidad con el artículo </w:t>
      </w:r>
      <w:r>
        <w:rPr>
          <w:rFonts w:ascii="Arial" w:hAnsi="Arial" w:cs="Arial"/>
          <w:i/>
          <w:color w:val="2E74B5" w:themeColor="accent1" w:themeShade="BF"/>
          <w:sz w:val="20"/>
          <w:szCs w:val="20"/>
          <w:lang w:val="es-ES_tradnl"/>
        </w:rPr>
        <w:t>3 de la Ley Federal de Procedimiento Administrativo</w:t>
      </w:r>
      <w:r>
        <w:rPr>
          <w:rFonts w:ascii="Arial" w:hAnsi="Arial" w:cs="Arial"/>
          <w:i/>
          <w:color w:val="2E74B5" w:themeColor="accent1" w:themeShade="BF"/>
          <w:sz w:val="20"/>
          <w:szCs w:val="20"/>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Pr>
          <w:rFonts w:ascii="Arial" w:hAnsi="Arial" w:cs="Arial"/>
          <w:i/>
          <w:color w:val="2E74B5" w:themeColor="accent1" w:themeShade="BF"/>
          <w:sz w:val="20"/>
          <w:szCs w:val="20"/>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AC5A70" w:rsidRDefault="00AC5A70" w:rsidP="00AC5A70">
      <w:pPr>
        <w:spacing w:after="0"/>
        <w:ind w:left="1134" w:right="1183"/>
        <w:jc w:val="right"/>
        <w:rPr>
          <w:rFonts w:ascii="Arial" w:hAnsi="Arial" w:cs="Arial"/>
          <w:b/>
          <w:color w:val="2E74B5" w:themeColor="accent1" w:themeShade="BF"/>
        </w:rPr>
      </w:pPr>
    </w:p>
    <w:p w:rsidR="00AC5A70" w:rsidRDefault="00AC5A70" w:rsidP="00AC5A70">
      <w:pPr>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z w:val="24"/>
          <w:szCs w:val="24"/>
        </w:rPr>
        <w:t>Del mismo modo, el Código Procesal Administrativo para el Estado de San Luis Potosí aplicado de manera supletoria de conformidad con el artículo 1° de la Ley de la materia, establece lo siguiente:</w:t>
      </w:r>
    </w:p>
    <w:p w:rsidR="00AC5A70" w:rsidRDefault="00AC5A70" w:rsidP="00AC5A70">
      <w:pPr>
        <w:spacing w:after="0"/>
        <w:jc w:val="both"/>
        <w:rPr>
          <w:rFonts w:ascii="Arial" w:hAnsi="Arial" w:cs="Arial"/>
          <w:color w:val="2E74B5" w:themeColor="accent1" w:themeShade="BF"/>
          <w:sz w:val="24"/>
          <w:szCs w:val="24"/>
        </w:rPr>
      </w:pPr>
    </w:p>
    <w:p w:rsidR="00AC5A70" w:rsidRDefault="00AC5A70" w:rsidP="00AC5A70">
      <w:pPr>
        <w:spacing w:after="0"/>
        <w:ind w:firstLine="708"/>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w:t>
      </w:r>
      <w:r>
        <w:rPr>
          <w:rFonts w:ascii="Arial" w:hAnsi="Arial" w:cs="Arial"/>
          <w:b/>
          <w:i/>
          <w:color w:val="2E74B5" w:themeColor="accent1" w:themeShade="BF"/>
          <w:sz w:val="20"/>
          <w:szCs w:val="20"/>
        </w:rPr>
        <w:t>ARTÍCULO 165.</w:t>
      </w:r>
      <w:r>
        <w:rPr>
          <w:rFonts w:ascii="Arial" w:hAnsi="Arial" w:cs="Arial"/>
          <w:i/>
          <w:color w:val="2E74B5" w:themeColor="accent1" w:themeShade="BF"/>
          <w:sz w:val="20"/>
          <w:szCs w:val="20"/>
        </w:rPr>
        <w:t xml:space="preserve"> Son requisitos del acto administrativo:</w:t>
      </w:r>
    </w:p>
    <w:p w:rsidR="00AC5A70" w:rsidRDefault="00AC5A70" w:rsidP="00AC5A70">
      <w:pPr>
        <w:spacing w:after="0"/>
        <w:jc w:val="both"/>
        <w:rPr>
          <w:rFonts w:ascii="Arial" w:hAnsi="Arial" w:cs="Arial"/>
          <w:i/>
          <w:color w:val="2E74B5" w:themeColor="accent1" w:themeShade="BF"/>
          <w:sz w:val="20"/>
          <w:szCs w:val="20"/>
        </w:rPr>
      </w:pPr>
    </w:p>
    <w:p w:rsidR="00AC5A70" w:rsidRDefault="00AC5A70" w:rsidP="00AC5A70">
      <w:pPr>
        <w:spacing w:after="0"/>
        <w:ind w:firstLine="708"/>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III. Que se expida de manera congruente con lo solicitado y resolver expresamente todos los puntos propuestos por el interesado o previstos por las normas…”</w:t>
      </w:r>
    </w:p>
    <w:p w:rsidR="00AC5A70" w:rsidRDefault="00AC5A70" w:rsidP="00AC5A70">
      <w:pPr>
        <w:spacing w:after="0"/>
        <w:ind w:firstLine="708"/>
        <w:jc w:val="both"/>
        <w:rPr>
          <w:rFonts w:ascii="Arial" w:hAnsi="Arial" w:cs="Arial"/>
          <w:i/>
          <w:color w:val="2E74B5" w:themeColor="accent1" w:themeShade="BF"/>
          <w:sz w:val="20"/>
          <w:szCs w:val="20"/>
        </w:rPr>
      </w:pPr>
    </w:p>
    <w:p w:rsidR="00AC5A70" w:rsidRDefault="00AC5A70" w:rsidP="00AC5A70">
      <w:pPr>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z w:val="24"/>
          <w:szCs w:val="24"/>
        </w:rPr>
        <w:t xml:space="preserve">De acuerdo con el artículo transcrito, son considerados válidos los actos que reúnan, entre otros elementos, los principios de congruencia y exhaustividad, entendiendo por lo primero que las consideraciones vertidas en la respuesta sean armónicas entre sí, no se contradigan, y </w:t>
      </w:r>
      <w:r>
        <w:rPr>
          <w:rFonts w:ascii="Arial" w:hAnsi="Arial" w:cs="Arial"/>
          <w:b/>
          <w:bCs/>
          <w:color w:val="2E74B5" w:themeColor="accent1" w:themeShade="BF"/>
          <w:sz w:val="24"/>
          <w:szCs w:val="24"/>
        </w:rPr>
        <w:t>guarden concordancia entre lo solicitado y la respuesta</w:t>
      </w:r>
      <w:r>
        <w:rPr>
          <w:rFonts w:ascii="Arial" w:hAnsi="Arial" w:cs="Arial"/>
          <w:color w:val="2E74B5" w:themeColor="accent1" w:themeShade="BF"/>
          <w:sz w:val="24"/>
          <w:szCs w:val="24"/>
        </w:rPr>
        <w:t>; y por lo segundo, que se pronuncie expresamente sobre cada punto, lo cual en la especie no sucedió. En el mismo sentido, se ha pronunciado el Poder Judicial de la Federación en la siguiente Jurisprudencia:</w:t>
      </w:r>
    </w:p>
    <w:p w:rsidR="00AC5A70" w:rsidRDefault="00AC5A70" w:rsidP="00AC5A70">
      <w:pPr>
        <w:spacing w:after="0"/>
        <w:ind w:firstLine="708"/>
        <w:jc w:val="both"/>
        <w:rPr>
          <w:rFonts w:ascii="Arial" w:hAnsi="Arial" w:cs="Arial"/>
          <w:color w:val="2E74B5" w:themeColor="accent1" w:themeShade="BF"/>
          <w:sz w:val="20"/>
          <w:szCs w:val="20"/>
        </w:rPr>
      </w:pPr>
    </w:p>
    <w:p w:rsidR="00AC5A70" w:rsidRDefault="00AC5A70" w:rsidP="00AC5A70">
      <w:pPr>
        <w:pStyle w:val="Default"/>
        <w:spacing w:line="276" w:lineRule="auto"/>
        <w:jc w:val="both"/>
        <w:rPr>
          <w:i/>
          <w:iCs/>
          <w:color w:val="2E74B5" w:themeColor="accent1" w:themeShade="BF"/>
          <w:sz w:val="20"/>
          <w:szCs w:val="20"/>
        </w:rPr>
      </w:pPr>
      <w:r>
        <w:rPr>
          <w:i/>
          <w:iCs/>
          <w:color w:val="2E74B5" w:themeColor="accent1" w:themeShade="BF"/>
          <w:sz w:val="20"/>
          <w:szCs w:val="20"/>
        </w:rPr>
        <w:t xml:space="preserve">“Novena Época, Registro: </w:t>
      </w:r>
      <w:proofErr w:type="gramStart"/>
      <w:r>
        <w:rPr>
          <w:i/>
          <w:iCs/>
          <w:color w:val="2E74B5" w:themeColor="accent1" w:themeShade="BF"/>
          <w:sz w:val="20"/>
          <w:szCs w:val="20"/>
        </w:rPr>
        <w:t xml:space="preserve">178783 </w:t>
      </w:r>
      <w:r>
        <w:rPr>
          <w:i/>
          <w:color w:val="2E74B5" w:themeColor="accent1" w:themeShade="BF"/>
          <w:sz w:val="20"/>
          <w:szCs w:val="20"/>
        </w:rPr>
        <w:t>,</w:t>
      </w:r>
      <w:r>
        <w:rPr>
          <w:i/>
          <w:iCs/>
          <w:color w:val="2E74B5" w:themeColor="accent1" w:themeShade="BF"/>
          <w:sz w:val="20"/>
          <w:szCs w:val="20"/>
        </w:rPr>
        <w:t>Instancia</w:t>
      </w:r>
      <w:proofErr w:type="gramEnd"/>
      <w:r>
        <w:rPr>
          <w:i/>
          <w:iCs/>
          <w:color w:val="2E74B5" w:themeColor="accent1" w:themeShade="BF"/>
          <w:sz w:val="20"/>
          <w:szCs w:val="20"/>
        </w:rPr>
        <w:t xml:space="preserve">: Primera Sala </w:t>
      </w:r>
      <w:r>
        <w:rPr>
          <w:i/>
          <w:color w:val="2E74B5" w:themeColor="accent1" w:themeShade="BF"/>
          <w:sz w:val="20"/>
          <w:szCs w:val="20"/>
        </w:rPr>
        <w:t>,</w:t>
      </w:r>
      <w:r>
        <w:rPr>
          <w:b/>
          <w:bCs/>
          <w:i/>
          <w:iCs/>
          <w:color w:val="2E74B5" w:themeColor="accent1" w:themeShade="BF"/>
          <w:sz w:val="20"/>
          <w:szCs w:val="20"/>
        </w:rPr>
        <w:t xml:space="preserve">Jurisprudencia </w:t>
      </w:r>
      <w:r>
        <w:rPr>
          <w:i/>
          <w:iCs/>
          <w:color w:val="2E74B5" w:themeColor="accent1" w:themeShade="BF"/>
          <w:sz w:val="20"/>
          <w:szCs w:val="20"/>
        </w:rPr>
        <w:t xml:space="preserve">,Fuente: Semanario Judicial de la Federación y su Gaceta </w:t>
      </w:r>
      <w:r>
        <w:rPr>
          <w:i/>
          <w:color w:val="2E74B5" w:themeColor="accent1" w:themeShade="BF"/>
          <w:sz w:val="20"/>
          <w:szCs w:val="20"/>
        </w:rPr>
        <w:t>,</w:t>
      </w:r>
      <w:r>
        <w:rPr>
          <w:i/>
          <w:iCs/>
          <w:color w:val="2E74B5" w:themeColor="accent1" w:themeShade="BF"/>
          <w:sz w:val="20"/>
          <w:szCs w:val="20"/>
        </w:rPr>
        <w:t>XXI, Abril de 2005.</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 </w:t>
      </w:r>
    </w:p>
    <w:p w:rsidR="00AC5A70" w:rsidRDefault="00AC5A70" w:rsidP="00AC5A70">
      <w:pPr>
        <w:pStyle w:val="Default"/>
        <w:spacing w:line="276" w:lineRule="auto"/>
        <w:jc w:val="both"/>
        <w:rPr>
          <w:i/>
          <w:color w:val="2E74B5" w:themeColor="accent1" w:themeShade="BF"/>
          <w:sz w:val="20"/>
          <w:szCs w:val="20"/>
        </w:rPr>
      </w:pPr>
      <w:r>
        <w:rPr>
          <w:b/>
          <w:bCs/>
          <w:i/>
          <w:iCs/>
          <w:color w:val="2E74B5" w:themeColor="accent1" w:themeShade="BF"/>
          <w:sz w:val="20"/>
          <w:szCs w:val="20"/>
        </w:rPr>
        <w:t xml:space="preserve">CONGRUENCIA Y EXHAUSTIVIDAD EN SENTENCIAS DICTADAS EN AMPARO CONTRA LEYES. ALCANCE DE ESTOS PRINCIPIOS. </w:t>
      </w:r>
      <w:r>
        <w:rPr>
          <w:i/>
          <w:iCs/>
          <w:color w:val="2E74B5" w:themeColor="accent1" w:themeShade="BF"/>
          <w:sz w:val="20"/>
          <w:szCs w:val="20"/>
        </w:rPr>
        <w:t xml:space="preserve">Los principios de congruencia y exhaustividad que rigen las sentencias en amparo contra leyes y que se desprenden de los artículos 77 y 78 de la Ley de Amparo, están referidos a que éstas no sólo sean congruentes consigo mismas, sino también con la litis y con la demanda de amparo, apreciando las pruebas conducentes y resolviendo sin omitir nada, ni añadir cuestiones no hechas valer, ni expresar consideraciones contrarias entre sí o con los puntos resolutivos, lo que obliga al juzgador, a pronunciarse sobre todas y cada una de las pretensiones de los quejosos, analizando, en su caso, la constitucionalidad o inconstitucionalidad de los preceptos legales reclamados. </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383/2000. Administradora de Centros Comerciales Santa Fe, S.A. de C.V. 24 de mayo de 2000. Cinco votos. Ponente: Olga Sánchez Cordero de García Villegas. Secretaria: Leticia Flores Díaz. </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966/2003. Médica Integral G.N.P., S.A. de C.V. 25 de febrero de 2004. Unanimidad de cuatro votos. Ausente: José de Jesús Gudiño Pelayo. Ponente: Juan N. Silva Meza. Secretaria: Guadalupe Robles </w:t>
      </w:r>
      <w:proofErr w:type="spellStart"/>
      <w:r>
        <w:rPr>
          <w:i/>
          <w:iCs/>
          <w:color w:val="2E74B5" w:themeColor="accent1" w:themeShade="BF"/>
          <w:sz w:val="20"/>
          <w:szCs w:val="20"/>
        </w:rPr>
        <w:t>Denetro</w:t>
      </w:r>
      <w:proofErr w:type="spellEnd"/>
      <w:r>
        <w:rPr>
          <w:i/>
          <w:iCs/>
          <w:color w:val="2E74B5" w:themeColor="accent1" w:themeShade="BF"/>
          <w:sz w:val="20"/>
          <w:szCs w:val="20"/>
        </w:rPr>
        <w:t xml:space="preserve">. </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312/2004. Luis Ramiro Espino Rosales. 26 de mayo de 2004. Unanimidad de cuatro votos. Ausente: Humberto Román Palacios. Ponente: José Ramón Cossío Díaz. Secretario: Miguel Enrique Sánchez Frías. </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883/2004. Operadora </w:t>
      </w:r>
      <w:proofErr w:type="spellStart"/>
      <w:r>
        <w:rPr>
          <w:i/>
          <w:iCs/>
          <w:color w:val="2E74B5" w:themeColor="accent1" w:themeShade="BF"/>
          <w:sz w:val="20"/>
          <w:szCs w:val="20"/>
        </w:rPr>
        <w:t>Valmex</w:t>
      </w:r>
      <w:proofErr w:type="spellEnd"/>
      <w:r>
        <w:rPr>
          <w:i/>
          <w:iCs/>
          <w:color w:val="2E74B5" w:themeColor="accent1" w:themeShade="BF"/>
          <w:sz w:val="20"/>
          <w:szCs w:val="20"/>
        </w:rPr>
        <w:t xml:space="preserve"> de Sociedades de Inversión, S.A. de C.V. 3 de septiembre de 2004. Unanimidad de cuatro votos. Ponente: José Ramón Cossío Díaz. Secretario: Francisco Javier Solís López. </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1182/2004. José Carlos Vázquez Rodríguez y otro. 6 de octubre de 2004. Unanimidad de cuatro votos. Ponente: José Ramón Cossío Díaz. Secretario: Miguel Enrique Sánchez Frías. </w:t>
      </w:r>
    </w:p>
    <w:p w:rsidR="00AC5A70" w:rsidRDefault="00AC5A70" w:rsidP="00AC5A70">
      <w:pPr>
        <w:pStyle w:val="Default"/>
        <w:spacing w:line="276" w:lineRule="auto"/>
        <w:jc w:val="both"/>
        <w:rPr>
          <w:i/>
          <w:color w:val="2E74B5" w:themeColor="accent1" w:themeShade="BF"/>
          <w:sz w:val="20"/>
          <w:szCs w:val="20"/>
        </w:rPr>
      </w:pPr>
      <w:r>
        <w:rPr>
          <w:i/>
          <w:iCs/>
          <w:color w:val="2E74B5" w:themeColor="accent1" w:themeShade="BF"/>
          <w:sz w:val="20"/>
          <w:szCs w:val="20"/>
        </w:rPr>
        <w:t xml:space="preserve">Tesis de jurisprudencia 33/2005. Aprobada por la Primera Sala de este Alto Tribunal, en sesión de treinta de marzo de dos mil cinco.” </w:t>
      </w:r>
    </w:p>
    <w:p w:rsidR="00AC5A70" w:rsidRDefault="00AC5A70" w:rsidP="00AC5A70">
      <w:pPr>
        <w:autoSpaceDE w:val="0"/>
        <w:autoSpaceDN w:val="0"/>
        <w:adjustRightInd w:val="0"/>
        <w:spacing w:after="0"/>
        <w:ind w:firstLine="708"/>
        <w:jc w:val="both"/>
        <w:rPr>
          <w:rFonts w:ascii="Arial" w:hAnsi="Arial" w:cs="Arial"/>
          <w:color w:val="2E74B5" w:themeColor="accent1" w:themeShade="BF"/>
          <w:spacing w:val="4"/>
        </w:rPr>
      </w:pPr>
    </w:p>
    <w:p w:rsidR="00C46826" w:rsidRDefault="00C46826" w:rsidP="00C46826">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pacing w:val="4"/>
          <w:sz w:val="24"/>
          <w:szCs w:val="24"/>
        </w:rPr>
        <w:t>Asimismo, dentro de la respuesta proporcionada  esta Comisión advierte que el Sujeto Obligado indicó dos ligas electrónicas al particular para efecto de que consultara la información correspondiente</w:t>
      </w:r>
      <w:r>
        <w:rPr>
          <w:rFonts w:ascii="Arial" w:hAnsi="Arial" w:cs="Arial"/>
          <w:color w:val="2E74B5" w:themeColor="accent1" w:themeShade="BF"/>
          <w:sz w:val="24"/>
          <w:szCs w:val="24"/>
        </w:rPr>
        <w:t xml:space="preserve">, en virtud de ello esta unidad de ponencia verificó si se atiende las necesidades del derecho de acceso a la información del solicitante, tal y como lo establece el artículo 13 de la Ley de Transparencia Local. </w:t>
      </w:r>
    </w:p>
    <w:p w:rsidR="00AC5A70" w:rsidRDefault="00AC5A70" w:rsidP="00C46826">
      <w:pPr>
        <w:autoSpaceDE w:val="0"/>
        <w:autoSpaceDN w:val="0"/>
        <w:adjustRightInd w:val="0"/>
        <w:spacing w:after="0"/>
        <w:jc w:val="both"/>
        <w:rPr>
          <w:rFonts w:ascii="Arial" w:hAnsi="Arial" w:cs="Arial"/>
          <w:color w:val="2E74B5" w:themeColor="accent1" w:themeShade="BF"/>
          <w:spacing w:val="4"/>
          <w:sz w:val="24"/>
          <w:szCs w:val="24"/>
        </w:rPr>
      </w:pPr>
    </w:p>
    <w:p w:rsidR="00AC5A70" w:rsidRDefault="00AC5A70" w:rsidP="00AC5A70">
      <w:pPr>
        <w:pStyle w:val="xmsonormal"/>
        <w:shd w:val="clear" w:color="auto" w:fill="FFFFFF"/>
        <w:spacing w:before="0" w:beforeAutospacing="0" w:after="0" w:afterAutospacing="0" w:line="276" w:lineRule="auto"/>
        <w:ind w:firstLine="708"/>
        <w:jc w:val="both"/>
        <w:rPr>
          <w:rFonts w:ascii="Arial" w:hAnsi="Arial" w:cs="Arial"/>
          <w:color w:val="2E74B5" w:themeColor="accent1" w:themeShade="BF"/>
        </w:rPr>
      </w:pPr>
      <w:r>
        <w:rPr>
          <w:rFonts w:ascii="Arial" w:hAnsi="Arial" w:cs="Arial"/>
          <w:color w:val="2E74B5" w:themeColor="accent1" w:themeShade="BF"/>
        </w:rPr>
        <w:t>Así, al ingresar en el buscador de internet el dominio proporcionado por la autoridad, ello en razón al primer vínculo electrónico se evidencia lo siguiente:</w:t>
      </w:r>
    </w:p>
    <w:p w:rsidR="00AC5A70" w:rsidRDefault="00AC5A70" w:rsidP="00AC5A70">
      <w:pPr>
        <w:pStyle w:val="corte4fondo"/>
        <w:spacing w:line="276" w:lineRule="auto"/>
        <w:rPr>
          <w:rFonts w:cs="Arial"/>
          <w:b/>
          <w:color w:val="2E74B5" w:themeColor="accent1" w:themeShade="BF"/>
          <w:sz w:val="24"/>
          <w:szCs w:val="24"/>
        </w:rPr>
      </w:pPr>
      <w:r>
        <w:rPr>
          <w:rFonts w:cs="Arial"/>
          <w:b/>
          <w:color w:val="2E74B5" w:themeColor="accent1" w:themeShade="BF"/>
          <w:sz w:val="24"/>
          <w:szCs w:val="24"/>
        </w:rPr>
        <w:t xml:space="preserve"> </w:t>
      </w:r>
      <w:r>
        <w:rPr>
          <w:rFonts w:cs="Arial"/>
          <w:b/>
          <w:noProof/>
          <w:color w:val="2E74B5" w:themeColor="accent1" w:themeShade="BF"/>
          <w:sz w:val="24"/>
          <w:szCs w:val="24"/>
        </w:rPr>
        <w:drawing>
          <wp:inline distT="0" distB="0" distL="0" distR="0">
            <wp:extent cx="5608320" cy="3505200"/>
            <wp:effectExtent l="19050" t="0" r="0" b="0"/>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cstate="print"/>
                    <a:srcRect/>
                    <a:stretch>
                      <a:fillRect/>
                    </a:stretch>
                  </pic:blipFill>
                  <pic:spPr bwMode="auto">
                    <a:xfrm>
                      <a:off x="0" y="0"/>
                      <a:ext cx="5608320" cy="3505200"/>
                    </a:xfrm>
                    <a:prstGeom prst="rect">
                      <a:avLst/>
                    </a:prstGeom>
                    <a:noFill/>
                    <a:ln w="9525">
                      <a:noFill/>
                      <a:miter lim="800000"/>
                      <a:headEnd/>
                      <a:tailEnd/>
                    </a:ln>
                  </pic:spPr>
                </pic:pic>
              </a:graphicData>
            </a:graphic>
          </wp:inline>
        </w:drawing>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r>
        <w:rPr>
          <w:rFonts w:cs="Arial"/>
          <w:b/>
          <w:noProof/>
          <w:color w:val="2E74B5" w:themeColor="accent1" w:themeShade="BF"/>
          <w:sz w:val="24"/>
          <w:szCs w:val="24"/>
        </w:rPr>
        <w:drawing>
          <wp:inline distT="0" distB="0" distL="0" distR="0">
            <wp:extent cx="5608320" cy="2743200"/>
            <wp:effectExtent l="19050" t="0" r="0" b="0"/>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1" cstate="print"/>
                    <a:srcRect/>
                    <a:stretch>
                      <a:fillRect/>
                    </a:stretch>
                  </pic:blipFill>
                  <pic:spPr bwMode="auto">
                    <a:xfrm>
                      <a:off x="0" y="0"/>
                      <a:ext cx="5608320" cy="2743200"/>
                    </a:xfrm>
                    <a:prstGeom prst="rect">
                      <a:avLst/>
                    </a:prstGeom>
                    <a:noFill/>
                    <a:ln w="9525">
                      <a:noFill/>
                      <a:miter lim="800000"/>
                      <a:headEnd/>
                      <a:tailEnd/>
                    </a:ln>
                  </pic:spPr>
                </pic:pic>
              </a:graphicData>
            </a:graphic>
          </wp:inline>
        </w:drawing>
      </w:r>
      <w:r>
        <w:rPr>
          <w:rFonts w:cs="Arial"/>
          <w:b/>
          <w:color w:val="2E74B5" w:themeColor="accent1" w:themeShade="BF"/>
          <w:sz w:val="24"/>
          <w:szCs w:val="24"/>
        </w:rPr>
        <w:tab/>
      </w:r>
    </w:p>
    <w:p w:rsidR="00AC5A70" w:rsidRDefault="00AC5A70" w:rsidP="00AC5A70">
      <w:pPr>
        <w:pStyle w:val="corte4fondo"/>
        <w:spacing w:line="276" w:lineRule="auto"/>
        <w:ind w:right="49" w:firstLine="708"/>
        <w:rPr>
          <w:rFonts w:cs="Arial"/>
          <w:color w:val="2E74B5" w:themeColor="accent1" w:themeShade="BF"/>
          <w:sz w:val="24"/>
          <w:szCs w:val="24"/>
        </w:rPr>
      </w:pPr>
      <w:r>
        <w:rPr>
          <w:rFonts w:cs="Arial"/>
          <w:color w:val="2E74B5" w:themeColor="accent1" w:themeShade="BF"/>
          <w:sz w:val="24"/>
          <w:szCs w:val="24"/>
        </w:rPr>
        <w:t xml:space="preserve">Como se ve la liga electrónica proporcionada conduce al sitio de internet que contiene la rendición de cuentas y resultados de fiscalización del Estado de Aguascalientes y por tanto no corresponde con la información requerida, ya que el recurrente requirió lo relativo al estado de San Luis Potosí. </w:t>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p>
    <w:p w:rsidR="00AC5A70" w:rsidRDefault="00AC5A70" w:rsidP="00AC5A70">
      <w:pPr>
        <w:pStyle w:val="corte4fondo"/>
        <w:tabs>
          <w:tab w:val="left" w:pos="567"/>
        </w:tabs>
        <w:spacing w:line="276" w:lineRule="auto"/>
        <w:ind w:firstLine="0"/>
        <w:rPr>
          <w:rFonts w:cs="Arial"/>
          <w:color w:val="2E74B5" w:themeColor="accent1" w:themeShade="BF"/>
          <w:sz w:val="24"/>
          <w:szCs w:val="24"/>
        </w:rPr>
      </w:pPr>
      <w:r>
        <w:rPr>
          <w:rFonts w:cs="Arial"/>
          <w:color w:val="2E74B5" w:themeColor="accent1" w:themeShade="BF"/>
          <w:sz w:val="24"/>
          <w:szCs w:val="24"/>
        </w:rPr>
        <w:tab/>
        <w:t>Por lo que toca a la segunda liga electrónica se visualizó lo siguiente:</w:t>
      </w:r>
    </w:p>
    <w:p w:rsidR="00AC5A70" w:rsidRDefault="00AC5A70" w:rsidP="00AC5A70">
      <w:pPr>
        <w:pStyle w:val="corte4fondo"/>
        <w:tabs>
          <w:tab w:val="left" w:pos="567"/>
        </w:tabs>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5054600" cy="3683000"/>
            <wp:effectExtent l="19050" t="0" r="0" b="0"/>
            <wp:docPr id="12"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l="9912"/>
                    <a:stretch>
                      <a:fillRect/>
                    </a:stretch>
                  </pic:blipFill>
                  <pic:spPr bwMode="auto">
                    <a:xfrm>
                      <a:off x="0" y="0"/>
                      <a:ext cx="5054600" cy="3683000"/>
                    </a:xfrm>
                    <a:prstGeom prst="rect">
                      <a:avLst/>
                    </a:prstGeom>
                    <a:noFill/>
                    <a:ln w="9525">
                      <a:noFill/>
                      <a:miter lim="800000"/>
                      <a:headEnd/>
                      <a:tailEnd/>
                    </a:ln>
                  </pic:spPr>
                </pic:pic>
              </a:graphicData>
            </a:graphic>
          </wp:inline>
        </w:drawing>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r>
        <w:rPr>
          <w:rFonts w:cs="Arial"/>
          <w:b/>
          <w:noProof/>
          <w:color w:val="2E74B5" w:themeColor="accent1" w:themeShade="BF"/>
          <w:sz w:val="24"/>
          <w:szCs w:val="24"/>
        </w:rPr>
        <w:drawing>
          <wp:inline distT="0" distB="0" distL="0" distR="0">
            <wp:extent cx="4679950" cy="3495040"/>
            <wp:effectExtent l="19050" t="0" r="6350" b="0"/>
            <wp:docPr id="1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l="13101" t="4312" r="3509" b="-25"/>
                    <a:stretch>
                      <a:fillRect/>
                    </a:stretch>
                  </pic:blipFill>
                  <pic:spPr bwMode="auto">
                    <a:xfrm>
                      <a:off x="0" y="0"/>
                      <a:ext cx="4679950" cy="3495040"/>
                    </a:xfrm>
                    <a:prstGeom prst="rect">
                      <a:avLst/>
                    </a:prstGeom>
                    <a:noFill/>
                    <a:ln w="9525">
                      <a:noFill/>
                      <a:miter lim="800000"/>
                      <a:headEnd/>
                      <a:tailEnd/>
                    </a:ln>
                  </pic:spPr>
                </pic:pic>
              </a:graphicData>
            </a:graphic>
          </wp:inline>
        </w:drawing>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p>
    <w:p w:rsidR="00AC5A70" w:rsidRDefault="00AC5A70" w:rsidP="00AC5A70">
      <w:pPr>
        <w:pStyle w:val="corte4fondo"/>
        <w:spacing w:line="276" w:lineRule="auto"/>
        <w:ind w:right="49" w:firstLine="708"/>
        <w:rPr>
          <w:rFonts w:cs="Arial"/>
          <w:color w:val="2E74B5" w:themeColor="accent1" w:themeShade="BF"/>
          <w:sz w:val="24"/>
          <w:szCs w:val="24"/>
        </w:rPr>
      </w:pPr>
      <w:r>
        <w:rPr>
          <w:rFonts w:cs="Arial"/>
          <w:color w:val="2E74B5" w:themeColor="accent1" w:themeShade="BF"/>
          <w:sz w:val="24"/>
          <w:szCs w:val="24"/>
        </w:rPr>
        <w:t>De ahí que</w:t>
      </w:r>
      <w:r>
        <w:rPr>
          <w:rFonts w:cs="Arial"/>
          <w:b/>
          <w:color w:val="2E74B5" w:themeColor="accent1" w:themeShade="BF"/>
          <w:sz w:val="24"/>
          <w:szCs w:val="24"/>
        </w:rPr>
        <w:t xml:space="preserve"> </w:t>
      </w:r>
      <w:r>
        <w:rPr>
          <w:rFonts w:cs="Arial"/>
          <w:color w:val="2E74B5" w:themeColor="accent1" w:themeShade="BF"/>
          <w:sz w:val="24"/>
          <w:szCs w:val="24"/>
        </w:rPr>
        <w:t xml:space="preserve">la liga electrónica proporcionada conduce al sitio de internet que contiene la rendición de cuentas y resultados de fiscalización del Estado de San Luis Potosí, </w:t>
      </w:r>
      <w:r w:rsidR="00C46826">
        <w:rPr>
          <w:rFonts w:cs="Arial"/>
          <w:color w:val="2E74B5" w:themeColor="accent1" w:themeShade="BF"/>
          <w:sz w:val="24"/>
          <w:szCs w:val="24"/>
        </w:rPr>
        <w:t xml:space="preserve">de igual modo, </w:t>
      </w:r>
      <w:r>
        <w:rPr>
          <w:rFonts w:cs="Arial"/>
          <w:color w:val="2E74B5" w:themeColor="accent1" w:themeShade="BF"/>
          <w:sz w:val="24"/>
          <w:szCs w:val="24"/>
        </w:rPr>
        <w:t>no pasa inadvertido que el Sujeto Obligado fue omiso en señalar la forma exacta en que se podría consultar dicha información, tal y como lo prevé el artículo 152</w:t>
      </w:r>
      <w:r>
        <w:rPr>
          <w:rStyle w:val="Refdenotaalpie"/>
          <w:rFonts w:eastAsia="Calibri" w:cs="Arial"/>
          <w:color w:val="2E74B5" w:themeColor="accent1" w:themeShade="BF"/>
          <w:sz w:val="24"/>
          <w:szCs w:val="24"/>
        </w:rPr>
        <w:footnoteReference w:id="3"/>
      </w:r>
      <w:r>
        <w:rPr>
          <w:rFonts w:cs="Arial"/>
          <w:color w:val="2E74B5" w:themeColor="accent1" w:themeShade="BF"/>
          <w:sz w:val="24"/>
          <w:szCs w:val="24"/>
        </w:rPr>
        <w:t xml:space="preserve"> de la Ley de Transparencia y Acceso a la Información Pública del Estado de San Luis Potosí. </w:t>
      </w:r>
    </w:p>
    <w:p w:rsidR="00AC5A70" w:rsidRDefault="00AC5A70" w:rsidP="00AC5A70">
      <w:pPr>
        <w:pStyle w:val="corte4fondo"/>
        <w:spacing w:line="276" w:lineRule="auto"/>
        <w:ind w:right="49" w:firstLine="708"/>
        <w:rPr>
          <w:rFonts w:cs="Arial"/>
          <w:color w:val="2E74B5" w:themeColor="accent1" w:themeShade="BF"/>
          <w:sz w:val="24"/>
          <w:szCs w:val="24"/>
        </w:rPr>
      </w:pPr>
    </w:p>
    <w:p w:rsidR="00AC5A70" w:rsidRDefault="00AC5A70" w:rsidP="00AC5A70">
      <w:pPr>
        <w:spacing w:after="0"/>
        <w:ind w:firstLine="708"/>
        <w:jc w:val="both"/>
        <w:rPr>
          <w:rFonts w:ascii="Arial" w:eastAsia="Arial Unicode MS" w:hAnsi="Arial" w:cs="Arial"/>
          <w:color w:val="2E74B5" w:themeColor="accent1" w:themeShade="BF"/>
          <w:sz w:val="24"/>
        </w:rPr>
      </w:pPr>
      <w:r>
        <w:rPr>
          <w:rFonts w:ascii="Arial" w:hAnsi="Arial" w:cs="Arial"/>
          <w:color w:val="2E74B5" w:themeColor="accent1" w:themeShade="BF"/>
          <w:sz w:val="24"/>
        </w:rPr>
        <w:t xml:space="preserve">Por lo anteriormente expuesto, esta unidad de ponencia estima que la respuesta otorgada por el Sujeto Obligado carece de fundamentación y motivación, puesto que únicamente señaló que lo requerido se encontraba en el sistema de fiscalización del Instituto Nacional Electoral, sin que para ello exista de por medio un respaldo documental que otorgue soporte a las actividades relativas a las aportaciones privadas, ya que al realizar una verificación del referido sitio electrónico, se advirtió que en el reporte creado en la página electrónica de consulta, no se generó la información solicitada. Sirve de apoyo </w:t>
      </w:r>
      <w:r>
        <w:rPr>
          <w:rFonts w:ascii="Arial" w:eastAsia="Arial Unicode MS" w:hAnsi="Arial" w:cs="Arial"/>
          <w:color w:val="2E74B5" w:themeColor="accent1" w:themeShade="BF"/>
          <w:sz w:val="24"/>
        </w:rPr>
        <w:t>lo establecido por la Jurisprudencia que por analogía resulta aplicable y, que a la letra señala:</w:t>
      </w:r>
    </w:p>
    <w:p w:rsidR="00AC5A70" w:rsidRDefault="00AC5A70" w:rsidP="00AC5A70">
      <w:pPr>
        <w:spacing w:after="0"/>
        <w:rPr>
          <w:rFonts w:ascii="Arial" w:eastAsia="Arial Unicode MS" w:hAnsi="Arial" w:cs="Arial"/>
          <w:color w:val="2E74B5" w:themeColor="accent1" w:themeShade="BF"/>
          <w:sz w:val="24"/>
        </w:rPr>
      </w:pPr>
    </w:p>
    <w:p w:rsidR="00AC5A70" w:rsidRDefault="00AC5A70" w:rsidP="00AC5A70">
      <w:pPr>
        <w:tabs>
          <w:tab w:val="left" w:pos="0"/>
        </w:tabs>
        <w:spacing w:after="0"/>
        <w:ind w:right="50"/>
        <w:jc w:val="both"/>
        <w:rPr>
          <w:rFonts w:ascii="Arial" w:hAnsi="Arial" w:cs="Arial"/>
          <w:i/>
          <w:color w:val="2E74B5" w:themeColor="accent1" w:themeShade="BF"/>
          <w:sz w:val="20"/>
          <w:szCs w:val="20"/>
          <w:lang w:eastAsia="es-MX"/>
        </w:rPr>
      </w:pPr>
      <w:r>
        <w:rPr>
          <w:rFonts w:ascii="Arial" w:hAnsi="Arial" w:cs="Arial"/>
          <w:b/>
          <w:bCs/>
          <w:i/>
          <w:color w:val="2E74B5" w:themeColor="accent1" w:themeShade="BF"/>
          <w:sz w:val="20"/>
          <w:szCs w:val="20"/>
          <w:lang w:eastAsia="es-MX"/>
        </w:rPr>
        <w:tab/>
        <w:t xml:space="preserve">“FUNDAMENTACIÓN Y MOTIVACIÓN. EL ASPECTO FORMAL DE LA GARANTÍA Y SU FINALIDAD SE TRADUCEN EN EXPLICAR, JUSTIFICAR, POSIBILITAR LA DEFENSA Y COMUNICAR LA DECISIÓN. </w:t>
      </w:r>
      <w:r>
        <w:rPr>
          <w:rFonts w:ascii="Arial" w:hAnsi="Arial" w:cs="Arial"/>
          <w:i/>
          <w:color w:val="2E74B5" w:themeColor="accent1" w:themeShade="BF"/>
          <w:sz w:val="20"/>
          <w:szCs w:val="20"/>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Pr>
          <w:rStyle w:val="Refdenotaalpie"/>
          <w:rFonts w:ascii="Arial" w:hAnsi="Arial" w:cs="Arial"/>
          <w:i/>
          <w:color w:val="2E74B5" w:themeColor="accent1" w:themeShade="BF"/>
          <w:sz w:val="20"/>
          <w:szCs w:val="20"/>
          <w:lang w:val="es-ES_tradnl"/>
        </w:rPr>
        <w:footnoteReference w:id="4"/>
      </w:r>
    </w:p>
    <w:p w:rsidR="00AC5A70" w:rsidRDefault="00AC5A70" w:rsidP="00AC5A70">
      <w:pPr>
        <w:tabs>
          <w:tab w:val="left" w:pos="0"/>
        </w:tabs>
        <w:spacing w:after="0"/>
        <w:ind w:right="50"/>
        <w:jc w:val="both"/>
        <w:rPr>
          <w:rFonts w:ascii="Arial" w:hAnsi="Arial" w:cs="Arial"/>
          <w:i/>
          <w:color w:val="2E74B5" w:themeColor="accent1" w:themeShade="BF"/>
          <w:sz w:val="20"/>
          <w:szCs w:val="20"/>
          <w:lang w:val="es-ES_tradnl"/>
        </w:rPr>
      </w:pPr>
    </w:p>
    <w:p w:rsidR="00AC5A70" w:rsidRDefault="00AC5A70" w:rsidP="00AC5A70">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Al caso particular, la tesis invocada resulta aplicable en virtud de que la autoridad no explicó, ni justificó los alcances del análisis normativo que efectuó, puesto que de conformidad con lo establecido en los artículos 18</w:t>
      </w:r>
      <w:r>
        <w:rPr>
          <w:rStyle w:val="Refdenotaalpie"/>
          <w:rFonts w:ascii="Arial" w:hAnsi="Arial" w:cs="Arial"/>
          <w:color w:val="2E74B5" w:themeColor="accent1" w:themeShade="BF"/>
          <w:sz w:val="24"/>
        </w:rPr>
        <w:footnoteReference w:id="5"/>
      </w:r>
      <w:r>
        <w:rPr>
          <w:rFonts w:ascii="Arial" w:hAnsi="Arial" w:cs="Arial"/>
          <w:color w:val="2E74B5" w:themeColor="accent1" w:themeShade="BF"/>
          <w:sz w:val="24"/>
        </w:rPr>
        <w:t>, 19</w:t>
      </w:r>
      <w:r>
        <w:rPr>
          <w:rStyle w:val="Refdenotaalpie"/>
          <w:rFonts w:ascii="Arial" w:hAnsi="Arial" w:cs="Arial"/>
          <w:color w:val="2E74B5" w:themeColor="accent1" w:themeShade="BF"/>
          <w:sz w:val="24"/>
        </w:rPr>
        <w:footnoteReference w:id="6"/>
      </w:r>
      <w:r>
        <w:rPr>
          <w:rFonts w:ascii="Arial" w:hAnsi="Arial" w:cs="Arial"/>
          <w:color w:val="2E74B5" w:themeColor="accent1" w:themeShade="BF"/>
          <w:sz w:val="24"/>
        </w:rPr>
        <w:t xml:space="preserve"> y 20</w:t>
      </w:r>
      <w:r>
        <w:rPr>
          <w:rStyle w:val="Refdenotaalpie"/>
          <w:rFonts w:ascii="Arial" w:hAnsi="Arial" w:cs="Arial"/>
          <w:color w:val="2E74B5" w:themeColor="accent1" w:themeShade="BF"/>
          <w:sz w:val="24"/>
        </w:rPr>
        <w:footnoteReference w:id="7"/>
      </w:r>
      <w:r>
        <w:rPr>
          <w:rFonts w:ascii="Arial" w:hAnsi="Arial" w:cs="Arial"/>
          <w:color w:val="2E74B5" w:themeColor="accent1" w:themeShade="BF"/>
          <w:sz w:val="24"/>
        </w:rPr>
        <w:t xml:space="preserve"> de la Ley de Transparencia y Acceso a la Información Pública del Estado, el ejercicio de las atribuciones, competencias y funciones de los sujetos obligados </w:t>
      </w:r>
      <w:r>
        <w:rPr>
          <w:rFonts w:ascii="Arial" w:hAnsi="Arial" w:cs="Arial"/>
          <w:color w:val="2E74B5" w:themeColor="accent1" w:themeShade="BF"/>
          <w:sz w:val="24"/>
          <w:u w:val="single"/>
        </w:rPr>
        <w:t>debe ser documentado,</w:t>
      </w:r>
      <w:r>
        <w:rPr>
          <w:rFonts w:ascii="Arial" w:hAnsi="Arial" w:cs="Arial"/>
          <w:color w:val="2E74B5" w:themeColor="accent1" w:themeShade="BF"/>
          <w:sz w:val="24"/>
        </w:rPr>
        <w:t xml:space="preserve"> y además, si se refiere a la esfera de competencia del sujeto obligado, se presume que existe un medio documental que respalde y de constancia de la actuación de la autoridad. </w:t>
      </w:r>
    </w:p>
    <w:p w:rsidR="00AC5A70" w:rsidRDefault="00AC5A70" w:rsidP="00AC5A70">
      <w:pPr>
        <w:spacing w:after="0"/>
        <w:ind w:firstLine="708"/>
        <w:jc w:val="both"/>
        <w:rPr>
          <w:rFonts w:ascii="Arial" w:hAnsi="Arial" w:cs="Arial"/>
          <w:color w:val="2E74B5" w:themeColor="accent1" w:themeShade="BF"/>
          <w:sz w:val="24"/>
        </w:rPr>
      </w:pPr>
    </w:p>
    <w:p w:rsidR="00AC5A70" w:rsidRDefault="00AC5A70" w:rsidP="007E7232">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Aunado a lo anterior, el artículo 10º</w:t>
      </w:r>
      <w:r>
        <w:rPr>
          <w:rStyle w:val="Refdenotaalpie"/>
          <w:rFonts w:ascii="Arial" w:hAnsi="Arial" w:cs="Arial"/>
          <w:color w:val="2E74B5" w:themeColor="accent1" w:themeShade="BF"/>
          <w:sz w:val="24"/>
        </w:rPr>
        <w:footnoteReference w:id="8"/>
      </w:r>
      <w:r>
        <w:rPr>
          <w:rFonts w:ascii="Arial" w:hAnsi="Arial" w:cs="Arial"/>
          <w:color w:val="2E74B5" w:themeColor="accent1" w:themeShade="BF"/>
          <w:sz w:val="24"/>
        </w:rPr>
        <w:t xml:space="preserve"> de la Ley de Archivos del Estado de San Luis Potosí, señala que todos los documentos que sean producidos o recibidos por los Sujetos Obligados deberán tener una correcta administración archivística, con la finalidad de cumplir y otorgar sustento a las funciones de las instituciones, el acceso a la información pública y la rendición de cuentas. Además, al no obrar archivos de la información solicitada y al derivar ésta misma del ejercicio de las facultades, competencias o funciones que los ordenamientos jurídicos otorgan al Obligado, se debió proceder conforme lo establecido en los artículos 160 y 161 de la Ley de Transparencia Local. Sirve de apoyo a lo anterior, lo establecido en el criterio 14/17, emitido por el Instituto Nacional de Transparencia, Acceso a la Información Pública y Protección de Datos Personales (INAI), que señala lo siguiente: </w:t>
      </w:r>
    </w:p>
    <w:p w:rsidR="00AC5A70" w:rsidRDefault="00AC5A70" w:rsidP="00AC5A70">
      <w:pPr>
        <w:pStyle w:val="corte4fondo"/>
        <w:spacing w:line="276" w:lineRule="auto"/>
        <w:ind w:left="1134" w:right="1183" w:firstLine="0"/>
        <w:rPr>
          <w:rFonts w:cs="Arial"/>
          <w:color w:val="2E74B5" w:themeColor="accent1" w:themeShade="BF"/>
          <w:sz w:val="22"/>
          <w:szCs w:val="22"/>
        </w:rPr>
      </w:pPr>
    </w:p>
    <w:p w:rsidR="00AC5A70" w:rsidRDefault="00AC5A70" w:rsidP="00AC5A70">
      <w:pPr>
        <w:pStyle w:val="corte4fondo"/>
        <w:spacing w:line="276" w:lineRule="auto"/>
        <w:ind w:left="1134" w:right="1183" w:firstLine="0"/>
        <w:rPr>
          <w:rFonts w:cs="Arial"/>
          <w:color w:val="2E74B5" w:themeColor="accent1" w:themeShade="BF"/>
          <w:sz w:val="22"/>
          <w:szCs w:val="22"/>
        </w:rPr>
      </w:pPr>
      <w:r>
        <w:rPr>
          <w:rFonts w:cs="Arial"/>
          <w:b/>
          <w:color w:val="2E74B5" w:themeColor="accent1" w:themeShade="BF"/>
          <w:sz w:val="22"/>
          <w:szCs w:val="22"/>
        </w:rPr>
        <w:t xml:space="preserve">Inexistencia. </w:t>
      </w:r>
      <w:r>
        <w:rPr>
          <w:rFonts w:cs="Arial"/>
          <w:color w:val="2E74B5" w:themeColor="accent1" w:themeShade="BF"/>
          <w:sz w:val="22"/>
          <w:szCs w:val="22"/>
        </w:rPr>
        <w:t>La inexistencia es una cuestión de hecho que se atribuye a la información solicitada e implica que ésta no se encuentra en los archivos del sujeto obligado, no obstante que cuenta con facultades para poseerla.</w:t>
      </w:r>
    </w:p>
    <w:p w:rsidR="00AC5A70" w:rsidRDefault="00AC5A70" w:rsidP="00AC5A70">
      <w:pPr>
        <w:pStyle w:val="corte4fondo"/>
        <w:spacing w:line="276" w:lineRule="auto"/>
        <w:ind w:right="49" w:firstLine="0"/>
        <w:rPr>
          <w:rFonts w:cs="Arial"/>
          <w:color w:val="2E74B5" w:themeColor="accent1" w:themeShade="BF"/>
          <w:sz w:val="24"/>
        </w:rPr>
      </w:pPr>
    </w:p>
    <w:p w:rsidR="00AC5A70" w:rsidRDefault="00AC5A70" w:rsidP="00AC5A70">
      <w:pPr>
        <w:pStyle w:val="corte4fondo"/>
        <w:spacing w:line="276" w:lineRule="auto"/>
        <w:ind w:right="49" w:firstLine="708"/>
        <w:rPr>
          <w:rFonts w:cs="Arial"/>
          <w:color w:val="2E74B5" w:themeColor="accent1" w:themeShade="BF"/>
          <w:sz w:val="24"/>
          <w:szCs w:val="24"/>
        </w:rPr>
      </w:pPr>
      <w:r>
        <w:rPr>
          <w:rFonts w:cs="Arial"/>
          <w:color w:val="2E74B5" w:themeColor="accent1" w:themeShade="BF"/>
          <w:sz w:val="24"/>
        </w:rPr>
        <w:t xml:space="preserve">Así las cosas, se concluye que el Sujeto Obligado no satisfizo el derecho de acceso a la información, toda vez que la información resultó incompleta, ya que la respuesta proporcionada por el Partido Movimiento de Regeneración Nacional, no otorgó acceso a </w:t>
      </w:r>
      <w:r>
        <w:rPr>
          <w:rFonts w:cs="Arial"/>
          <w:color w:val="2E74B5" w:themeColor="accent1" w:themeShade="BF"/>
          <w:sz w:val="24"/>
          <w:szCs w:val="24"/>
        </w:rPr>
        <w:t xml:space="preserve">las aportaciones de privadas al municipio de </w:t>
      </w:r>
      <w:proofErr w:type="spellStart"/>
      <w:r w:rsidR="007E7232" w:rsidRPr="003F009A">
        <w:rPr>
          <w:rFonts w:cs="Arial"/>
          <w:color w:val="2E74B5" w:themeColor="accent1" w:themeShade="BF"/>
          <w:sz w:val="24"/>
          <w:szCs w:val="24"/>
        </w:rPr>
        <w:t>Matlapa</w:t>
      </w:r>
      <w:proofErr w:type="spellEnd"/>
      <w:r>
        <w:rPr>
          <w:rFonts w:cs="Arial"/>
          <w:color w:val="2E74B5" w:themeColor="accent1" w:themeShade="BF"/>
          <w:sz w:val="24"/>
          <w:szCs w:val="24"/>
        </w:rPr>
        <w:t xml:space="preserve"> en el periodo electoral dos mil diecisiete a dos mil dieciocho, ni tampoco así procedió conforme lo establecido en los artículos 160 y 161 de la Ley de la materia. </w:t>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p>
    <w:p w:rsidR="00AC5A70" w:rsidRDefault="00AC5A70" w:rsidP="00AC5A70">
      <w:pPr>
        <w:pStyle w:val="corte4fondo"/>
        <w:tabs>
          <w:tab w:val="left" w:pos="567"/>
        </w:tabs>
        <w:spacing w:line="276" w:lineRule="auto"/>
        <w:ind w:firstLine="0"/>
        <w:rPr>
          <w:rFonts w:cs="Arial"/>
          <w:color w:val="2E74B5" w:themeColor="accent1" w:themeShade="BF"/>
          <w:sz w:val="24"/>
          <w:szCs w:val="24"/>
        </w:rPr>
      </w:pPr>
      <w:r>
        <w:rPr>
          <w:rFonts w:cs="Arial"/>
          <w:color w:val="2E74B5" w:themeColor="accent1" w:themeShade="BF"/>
          <w:sz w:val="24"/>
        </w:rPr>
        <w:tab/>
        <w:t xml:space="preserve">Finalmente, no pasa desapercibido la manifestación de inconformidad del hoy recurrente en razón de denunciar la falta de información por parte del partido morena en su fracción X del artículo 90 en los meses de mayo y junio del ejercicio 2018, por tal, de autos se advierte que ante tal circunstancia esta unidad de ponencia se pronunció al respecto, consecuentemente se hizo del conocimiento a la Unidad de Denuncias de este Órgano Garante </w:t>
      </w:r>
      <w:r>
        <w:rPr>
          <w:rFonts w:cs="Arial"/>
          <w:color w:val="2E74B5" w:themeColor="accent1" w:themeShade="BF"/>
          <w:sz w:val="24"/>
          <w:szCs w:val="24"/>
        </w:rPr>
        <w:t>para que, de así estimarlo, en términos de los artículos 102 y 107   de la multicitada Ley de Transparencia, en relación con el numeral 48 fracciones II y XII del Reglamento Interior de esta Comisión Estatal de Garantía de Acceso a la Información Pública del Estado, procediera a resolver sobre la denuncia a que  alude el ahora recurrente; como se desprende de la constancia de notificación visible a foja</w:t>
      </w:r>
      <w:r w:rsidR="007E7232">
        <w:rPr>
          <w:rFonts w:cs="Arial"/>
          <w:color w:val="2E74B5" w:themeColor="accent1" w:themeShade="BF"/>
          <w:sz w:val="24"/>
          <w:szCs w:val="24"/>
        </w:rPr>
        <w:t>s</w:t>
      </w:r>
      <w:r>
        <w:rPr>
          <w:rFonts w:cs="Arial"/>
          <w:color w:val="2E74B5" w:themeColor="accent1" w:themeShade="BF"/>
          <w:sz w:val="24"/>
          <w:szCs w:val="24"/>
        </w:rPr>
        <w:t xml:space="preserve"> 16</w:t>
      </w:r>
      <w:r w:rsidR="007E7232">
        <w:rPr>
          <w:rFonts w:cs="Arial"/>
          <w:color w:val="2E74B5" w:themeColor="accent1" w:themeShade="BF"/>
          <w:sz w:val="24"/>
          <w:szCs w:val="24"/>
        </w:rPr>
        <w:t xml:space="preserve"> y 17</w:t>
      </w:r>
      <w:r>
        <w:rPr>
          <w:rFonts w:cs="Arial"/>
          <w:color w:val="2E74B5" w:themeColor="accent1" w:themeShade="BF"/>
          <w:sz w:val="24"/>
          <w:szCs w:val="24"/>
        </w:rPr>
        <w:t>.</w:t>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r>
        <w:rPr>
          <w:rFonts w:cs="Arial"/>
          <w:b/>
          <w:color w:val="2E74B5" w:themeColor="accent1" w:themeShade="BF"/>
          <w:sz w:val="24"/>
          <w:szCs w:val="24"/>
        </w:rPr>
        <w:tab/>
        <w:t xml:space="preserve">6.2. Información pública de oficio </w:t>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p>
    <w:p w:rsidR="00AC5A70" w:rsidRDefault="00AC5A70" w:rsidP="00AC5A70">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rsidR="00AC5A70" w:rsidRDefault="00AC5A70" w:rsidP="00AC5A70">
      <w:pPr>
        <w:autoSpaceDE w:val="0"/>
        <w:autoSpaceDN w:val="0"/>
        <w:adjustRightInd w:val="0"/>
        <w:spacing w:after="0"/>
        <w:ind w:left="1134" w:right="1183"/>
        <w:jc w:val="both"/>
        <w:rPr>
          <w:rFonts w:ascii="Arial" w:hAnsi="Arial" w:cs="Arial"/>
          <w:color w:val="2E74B5" w:themeColor="accent1" w:themeShade="BF"/>
        </w:rPr>
      </w:pP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w:t>
      </w:r>
      <w:r>
        <w:rPr>
          <w:rFonts w:ascii="Arial" w:hAnsi="Arial" w:cs="Arial"/>
          <w:b/>
          <w:i/>
          <w:color w:val="2E74B5" w:themeColor="accent1" w:themeShade="BF"/>
          <w:sz w:val="20"/>
          <w:szCs w:val="20"/>
        </w:rPr>
        <w:t>ARTÍCULO 74.</w:t>
      </w:r>
      <w:r>
        <w:rPr>
          <w:rFonts w:ascii="Arial" w:hAnsi="Arial" w:cs="Arial"/>
          <w:i/>
          <w:color w:val="2E74B5" w:themeColor="accent1" w:themeShade="BF"/>
          <w:sz w:val="20"/>
          <w:szCs w:val="20"/>
        </w:rPr>
        <w:t xml:space="preserve"> Los sujetos obligados deben poner a disposición de los particulares la información a que se refiere este Título en su página de internet y en la Plataforma Nacional de Transparencia, como lo </w:t>
      </w:r>
      <w:proofErr w:type="gramStart"/>
      <w:r>
        <w:rPr>
          <w:rFonts w:ascii="Arial" w:hAnsi="Arial" w:cs="Arial"/>
          <w:i/>
          <w:color w:val="2E74B5" w:themeColor="accent1" w:themeShade="BF"/>
          <w:sz w:val="20"/>
          <w:szCs w:val="20"/>
        </w:rPr>
        <w:t>dispone</w:t>
      </w:r>
      <w:proofErr w:type="gramEnd"/>
      <w:r>
        <w:rPr>
          <w:rFonts w:ascii="Arial" w:hAnsi="Arial" w:cs="Arial"/>
          <w:i/>
          <w:color w:val="2E74B5" w:themeColor="accent1" w:themeShade="BF"/>
          <w:sz w:val="20"/>
          <w:szCs w:val="20"/>
        </w:rPr>
        <w:t xml:space="preserve"> los artículos 49 y 60 de la Ley General.</w:t>
      </w: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90.</w:t>
      </w:r>
      <w:r>
        <w:rPr>
          <w:rFonts w:ascii="Arial" w:hAnsi="Arial" w:cs="Arial"/>
          <w:i/>
          <w:color w:val="2E74B5" w:themeColor="accent1" w:themeShade="BF"/>
          <w:sz w:val="20"/>
          <w:szCs w:val="20"/>
        </w:rPr>
        <w:t xml:space="preserve">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autoSpaceDE w:val="0"/>
        <w:autoSpaceDN w:val="0"/>
        <w:adjustRightInd w:val="0"/>
        <w:spacing w:after="0"/>
        <w:ind w:right="50"/>
        <w:jc w:val="both"/>
        <w:rPr>
          <w:rFonts w:ascii="Arial" w:hAnsi="Arial" w:cs="Arial"/>
          <w:b/>
          <w:i/>
          <w:color w:val="2E74B5" w:themeColor="accent1" w:themeShade="BF"/>
          <w:sz w:val="20"/>
          <w:szCs w:val="20"/>
        </w:rPr>
      </w:pPr>
      <w:r>
        <w:rPr>
          <w:rFonts w:ascii="Arial" w:hAnsi="Arial" w:cs="Arial"/>
          <w:b/>
          <w:i/>
          <w:color w:val="2E74B5" w:themeColor="accent1" w:themeShade="BF"/>
          <w:sz w:val="20"/>
          <w:szCs w:val="20"/>
        </w:rPr>
        <w:t>X.</w:t>
      </w:r>
      <w:r>
        <w:rPr>
          <w:rFonts w:ascii="Arial" w:hAnsi="Arial" w:cs="Arial"/>
          <w:i/>
          <w:color w:val="2E74B5" w:themeColor="accent1" w:themeShade="BF"/>
          <w:sz w:val="20"/>
          <w:szCs w:val="20"/>
        </w:rPr>
        <w:t xml:space="preserve"> </w:t>
      </w:r>
      <w:r>
        <w:rPr>
          <w:rFonts w:ascii="Arial" w:hAnsi="Arial" w:cs="Arial"/>
          <w:b/>
          <w:i/>
          <w:color w:val="2E74B5" w:themeColor="accent1" w:themeShade="BF"/>
          <w:sz w:val="20"/>
          <w:szCs w:val="20"/>
        </w:rPr>
        <w:t>El listado de aportantes a las precampañas y campañas políticas;</w:t>
      </w: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bCs/>
          <w:i/>
          <w:iCs/>
          <w:color w:val="2E74B5" w:themeColor="accent1" w:themeShade="BF"/>
          <w:sz w:val="20"/>
          <w:szCs w:val="20"/>
        </w:rPr>
        <w:t>XXXII.</w:t>
      </w:r>
      <w:r>
        <w:rPr>
          <w:rFonts w:ascii="Arial" w:hAnsi="Arial" w:cs="Arial"/>
          <w:i/>
          <w:iCs/>
          <w:color w:val="2E74B5" w:themeColor="accent1" w:themeShade="BF"/>
          <w:sz w:val="20"/>
          <w:szCs w:val="20"/>
        </w:rPr>
        <w:t xml:space="preserve"> </w:t>
      </w:r>
      <w:r>
        <w:rPr>
          <w:rFonts w:ascii="Arial" w:hAnsi="Arial" w:cs="Arial"/>
          <w:b/>
          <w:i/>
          <w:iCs/>
          <w:color w:val="2E74B5" w:themeColor="accent1" w:themeShade="BF"/>
          <w:sz w:val="20"/>
          <w:szCs w:val="20"/>
        </w:rPr>
        <w:t>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w:t>
      </w:r>
      <w:r>
        <w:rPr>
          <w:rFonts w:ascii="Arial" w:hAnsi="Arial" w:cs="Arial"/>
          <w:i/>
          <w:iCs/>
          <w:color w:val="2E74B5" w:themeColor="accent1" w:themeShade="BF"/>
          <w:sz w:val="20"/>
          <w:szCs w:val="20"/>
        </w:rPr>
        <w:t xml:space="preserve"> en los mismos términos señalados para las asignaciones públicas. Las auditorías y verificaciones de que sean objeto los partidos y agrupaciones políticas, deberán difundirse una vez que hayan concluido los procedimientos de fiscalización;</w:t>
      </w:r>
    </w:p>
    <w:p w:rsidR="00AC5A70" w:rsidRDefault="00AC5A70" w:rsidP="00AC5A70">
      <w:pPr>
        <w:autoSpaceDE w:val="0"/>
        <w:autoSpaceDN w:val="0"/>
        <w:adjustRightInd w:val="0"/>
        <w:spacing w:after="0"/>
        <w:ind w:left="1134" w:right="1183"/>
        <w:rPr>
          <w:rFonts w:ascii="Arial" w:hAnsi="Arial" w:cs="Arial"/>
          <w:color w:val="2E74B5" w:themeColor="accent1" w:themeShade="BF"/>
        </w:rPr>
      </w:pPr>
    </w:p>
    <w:p w:rsidR="00AC5A70" w:rsidRDefault="00AC5A70" w:rsidP="00AC5A70">
      <w:pPr>
        <w:autoSpaceDE w:val="0"/>
        <w:autoSpaceDN w:val="0"/>
        <w:adjustRightInd w:val="0"/>
        <w:spacing w:after="0"/>
        <w:rPr>
          <w:rFonts w:ascii="Arial" w:hAnsi="Arial" w:cs="Arial"/>
          <w:color w:val="2E74B5" w:themeColor="accent1" w:themeShade="BF"/>
          <w:sz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Conforme lo anterior, los partidos políticos deberán poner a disposición del público, de oficio y en forma completa y actualizada el listado de aportantes a las precampañas y campañas políticas cuando menos, en un ejercicio de rendición de cuentas para la sociedad, así como los informes que se entreguen al Consejo Estatal Electoral y de Participación Ciudadana (CEEPAC), en el que se reflejan las participaciones, donaciones y financiamiento privado que se haya recibido. </w:t>
      </w:r>
    </w:p>
    <w:p w:rsidR="00AC5A70" w:rsidRDefault="00AC5A70" w:rsidP="00AC5A70">
      <w:pPr>
        <w:autoSpaceDE w:val="0"/>
        <w:autoSpaceDN w:val="0"/>
        <w:adjustRightInd w:val="0"/>
        <w:spacing w:after="0"/>
        <w:rPr>
          <w:rFonts w:ascii="Arial" w:hAnsi="Arial" w:cs="Arial"/>
          <w:color w:val="2E74B5" w:themeColor="accent1" w:themeShade="BF"/>
          <w:sz w:val="24"/>
        </w:rPr>
      </w:pPr>
    </w:p>
    <w:p w:rsidR="00AC5A70" w:rsidRDefault="00AC5A70" w:rsidP="00AC5A70">
      <w:pPr>
        <w:autoSpaceDE w:val="0"/>
        <w:autoSpaceDN w:val="0"/>
        <w:adjustRightInd w:val="0"/>
        <w:spacing w:after="0"/>
        <w:ind w:firstLine="708"/>
        <w:rPr>
          <w:rFonts w:ascii="Arial" w:hAnsi="Arial" w:cs="Arial"/>
          <w:color w:val="2E74B5" w:themeColor="accent1" w:themeShade="BF"/>
          <w:sz w:val="24"/>
        </w:rPr>
      </w:pPr>
      <w:r>
        <w:rPr>
          <w:rFonts w:ascii="Arial" w:hAnsi="Arial" w:cs="Arial"/>
          <w:color w:val="2E74B5" w:themeColor="accent1" w:themeShade="BF"/>
          <w:sz w:val="24"/>
        </w:rPr>
        <w:t xml:space="preserve">Asimismo, se trae a contexto la porción normativa de la Ley Electoral del Estado de San Luis Potosí, que en lo que aquí interesa dispone lo siguiente:  </w:t>
      </w:r>
    </w:p>
    <w:p w:rsidR="00AC5A70" w:rsidRDefault="00AC5A70" w:rsidP="00AC5A70">
      <w:pPr>
        <w:autoSpaceDE w:val="0"/>
        <w:autoSpaceDN w:val="0"/>
        <w:adjustRightInd w:val="0"/>
        <w:spacing w:after="0"/>
        <w:rPr>
          <w:rFonts w:ascii="Arial" w:hAnsi="Arial" w:cs="Arial"/>
          <w:i/>
          <w:color w:val="2E74B5" w:themeColor="accent1" w:themeShade="BF"/>
          <w:sz w:val="20"/>
          <w:szCs w:val="20"/>
        </w:rPr>
      </w:pPr>
      <w:r>
        <w:rPr>
          <w:rFonts w:ascii="Arial" w:hAnsi="Arial" w:cs="Arial"/>
          <w:color w:val="2E74B5" w:themeColor="accent1" w:themeShade="BF"/>
          <w:sz w:val="24"/>
        </w:rPr>
        <w:t xml:space="preserve"> </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“ARTÍCULO 137.</w:t>
      </w:r>
      <w:r>
        <w:rPr>
          <w:rFonts w:ascii="Arial" w:hAnsi="Arial" w:cs="Arial"/>
          <w:i/>
          <w:color w:val="2E74B5" w:themeColor="accent1" w:themeShade="BF"/>
          <w:sz w:val="20"/>
          <w:szCs w:val="20"/>
        </w:rPr>
        <w:t xml:space="preserve"> Toda persona tiene derecho a acceder a la información de los partidos políticos</w:t>
      </w:r>
      <w:r>
        <w:rPr>
          <w:rFonts w:ascii="Arial" w:hAnsi="Arial" w:cs="Arial"/>
          <w:b/>
          <w:i/>
          <w:color w:val="2E74B5" w:themeColor="accent1" w:themeShade="BF"/>
          <w:sz w:val="20"/>
          <w:szCs w:val="20"/>
        </w:rPr>
        <w:t xml:space="preserve"> </w:t>
      </w:r>
      <w:r>
        <w:rPr>
          <w:rFonts w:ascii="Arial" w:hAnsi="Arial" w:cs="Arial"/>
          <w:i/>
          <w:color w:val="2E74B5" w:themeColor="accent1" w:themeShade="BF"/>
          <w:sz w:val="20"/>
          <w:szCs w:val="20"/>
        </w:rPr>
        <w:t xml:space="preserve">de conformidad con las normas previstas en la Ley General de Partidos Políticos, en este Capítulo y en la legislación en materia de transparencia y acceso a la información. </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El organismo autónomo garante en materia de transparencia en el Estado, tendrá competencia para conocer de los asuntos relacionados con el acceso a la información pública y la protección de datos personales en posesión de los partidos políticos.”</w:t>
      </w:r>
    </w:p>
    <w:p w:rsidR="00AC5A70" w:rsidRDefault="00AC5A70" w:rsidP="00AC5A70">
      <w:pPr>
        <w:tabs>
          <w:tab w:val="left" w:pos="0"/>
        </w:tabs>
        <w:autoSpaceDE w:val="0"/>
        <w:autoSpaceDN w:val="0"/>
        <w:adjustRightInd w:val="0"/>
        <w:spacing w:after="0"/>
        <w:ind w:right="50"/>
        <w:jc w:val="both"/>
        <w:rPr>
          <w:rFonts w:ascii="Arial" w:hAnsi="Arial" w:cs="Arial"/>
          <w:color w:val="2E74B5" w:themeColor="accent1" w:themeShade="BF"/>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“ARTÍCULO 144.</w:t>
      </w:r>
      <w:r>
        <w:rPr>
          <w:rFonts w:ascii="Arial" w:hAnsi="Arial" w:cs="Arial"/>
          <w:i/>
          <w:color w:val="2E74B5" w:themeColor="accent1" w:themeShade="BF"/>
          <w:sz w:val="20"/>
          <w:szCs w:val="20"/>
        </w:rPr>
        <w:t xml:space="preserve"> Se considera información pública de los partidos políticos:</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XII. Los informes que estén obligados a entregar en términos de lo dispuesto por la Ley General de Partidos Políticos, el estado de la situación patrimonial del partido político, el inventario de los bienes inmuebles de los que sean propietarios, tengan arrendados o estén en su posesión bajo cualquier figura jurídica, así como los anexos que formen parte integrante de los documentos anteriores, la relación de donantes y los montos aportados por cada uno;</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XIII.</w:t>
      </w:r>
      <w:r>
        <w:rPr>
          <w:rFonts w:ascii="Arial" w:hAnsi="Arial" w:cs="Arial"/>
          <w:i/>
          <w:color w:val="2E74B5" w:themeColor="accent1" w:themeShade="BF"/>
          <w:sz w:val="20"/>
          <w:szCs w:val="20"/>
        </w:rPr>
        <w:t xml:space="preserve"> Resultados de revisiones, informes, verificaciones y auditorías de que sean objeto con motivo de la fiscalización de sus recursos, una vez concluidas; así como su debido cumplimiento; </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b/>
          <w:i/>
          <w:color w:val="2E74B5" w:themeColor="accent1" w:themeShade="BF"/>
          <w:sz w:val="20"/>
          <w:szCs w:val="20"/>
        </w:rPr>
      </w:pPr>
      <w:r>
        <w:rPr>
          <w:rFonts w:ascii="Arial" w:hAnsi="Arial" w:cs="Arial"/>
          <w:b/>
          <w:i/>
          <w:color w:val="2E74B5" w:themeColor="accent1" w:themeShade="BF"/>
          <w:sz w:val="20"/>
          <w:szCs w:val="20"/>
        </w:rPr>
        <w:tab/>
        <w:t>ARTÍCULO 145.</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No se podrá reservar la información relativa a la asignación y ejercicio de los gastos de campañas, precampañas y gastos en general del partido político con cuenta al presupuesto público, ni las aportaciones de cualquier tipo o especie que realicen los particulares sin importar el destino de los recursos aportados.</w:t>
      </w: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w:t>
      </w:r>
    </w:p>
    <w:p w:rsidR="00AC5A70" w:rsidRDefault="00AC5A70" w:rsidP="00AC5A70">
      <w:pPr>
        <w:tabs>
          <w:tab w:val="left" w:pos="1134"/>
        </w:tabs>
        <w:autoSpaceDE w:val="0"/>
        <w:autoSpaceDN w:val="0"/>
        <w:adjustRightInd w:val="0"/>
        <w:spacing w:after="0"/>
        <w:ind w:left="1134" w:right="1183"/>
        <w:jc w:val="both"/>
        <w:rPr>
          <w:rFonts w:ascii="Arial" w:hAnsi="Arial" w:cs="Arial"/>
          <w:b/>
          <w:i/>
          <w:color w:val="2E74B5" w:themeColor="accent1" w:themeShade="BF"/>
          <w:sz w:val="20"/>
          <w:szCs w:val="20"/>
        </w:rPr>
      </w:pPr>
    </w:p>
    <w:p w:rsidR="00AC5A70" w:rsidRDefault="00AC5A70" w:rsidP="00AC5A70">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“ARTÍCULO 164.</w:t>
      </w:r>
      <w:r>
        <w:rPr>
          <w:rFonts w:ascii="Arial" w:hAnsi="Arial" w:cs="Arial"/>
          <w:i/>
          <w:color w:val="2E74B5" w:themeColor="accent1" w:themeShade="BF"/>
          <w:sz w:val="20"/>
          <w:szCs w:val="20"/>
        </w:rPr>
        <w:t xml:space="preserve"> La fiscalización de los recursos que por concepto de financiamiento, ya sea público o privado, reciban los partidos políticos, aspirantes, precandidatos o candidatos a cargos de elección popular para sus actividades, se sujetará a los términos, plazos y procedimientos previstos por la Ley General de Partidos Políticos.”</w:t>
      </w:r>
    </w:p>
    <w:p w:rsidR="00AC5A70" w:rsidRDefault="00AC5A70" w:rsidP="00AC5A70">
      <w:pPr>
        <w:tabs>
          <w:tab w:val="left" w:pos="1134"/>
        </w:tabs>
        <w:autoSpaceDE w:val="0"/>
        <w:autoSpaceDN w:val="0"/>
        <w:adjustRightInd w:val="0"/>
        <w:spacing w:after="0"/>
        <w:ind w:left="1134" w:right="1183"/>
        <w:rPr>
          <w:rFonts w:ascii="Arial" w:hAnsi="Arial" w:cs="Arial"/>
          <w:color w:val="2E74B5" w:themeColor="accent1" w:themeShade="BF"/>
        </w:rPr>
      </w:pPr>
    </w:p>
    <w:p w:rsidR="00AC5A70" w:rsidRDefault="00AC5A70" w:rsidP="00AC5A70">
      <w:pPr>
        <w:tabs>
          <w:tab w:val="left" w:pos="0"/>
        </w:tabs>
        <w:autoSpaceDE w:val="0"/>
        <w:autoSpaceDN w:val="0"/>
        <w:adjustRightInd w:val="0"/>
        <w:spacing w:after="0"/>
        <w:ind w:right="50"/>
        <w:jc w:val="both"/>
        <w:rPr>
          <w:rFonts w:ascii="Arial" w:hAnsi="Arial" w:cs="Arial"/>
          <w:color w:val="2E74B5" w:themeColor="accent1" w:themeShade="BF"/>
          <w:sz w:val="20"/>
          <w:szCs w:val="20"/>
        </w:rPr>
      </w:pPr>
      <w:r>
        <w:rPr>
          <w:rFonts w:ascii="Arial" w:hAnsi="Arial" w:cs="Arial"/>
          <w:b/>
          <w:color w:val="2E74B5" w:themeColor="accent1" w:themeShade="BF"/>
        </w:rPr>
        <w:tab/>
      </w:r>
      <w:r>
        <w:rPr>
          <w:rFonts w:ascii="Arial" w:hAnsi="Arial" w:cs="Arial"/>
          <w:b/>
          <w:color w:val="2E74B5" w:themeColor="accent1" w:themeShade="BF"/>
          <w:sz w:val="20"/>
          <w:szCs w:val="20"/>
        </w:rPr>
        <w:t xml:space="preserve">“ARTÍCULO 167. </w:t>
      </w:r>
      <w:r>
        <w:rPr>
          <w:rFonts w:ascii="Arial" w:hAnsi="Arial" w:cs="Arial"/>
          <w:color w:val="2E74B5" w:themeColor="accent1" w:themeShade="BF"/>
          <w:sz w:val="20"/>
          <w:szCs w:val="20"/>
        </w:rPr>
        <w:t>Los partidos políticos deberán contar con un órgano interno encargado de la recepción y administración de sus recursos generales y de campaña, en los términos previstos por la Ley General de Partidos Políticos. Los partidos políticos podrán denunciar ante el Consejo, actividades de sus similares que constituyan infracciones a la ley; éste conocerá de dichas denuncias y resolverá lo conducente. La resolución que dicho organismo electoral emita será recurrible en los términos que dispone esta Ley.”</w:t>
      </w:r>
    </w:p>
    <w:p w:rsidR="00AC5A70" w:rsidRDefault="00AC5A70" w:rsidP="00AC5A70">
      <w:pPr>
        <w:tabs>
          <w:tab w:val="left" w:pos="1134"/>
        </w:tabs>
        <w:autoSpaceDE w:val="0"/>
        <w:autoSpaceDN w:val="0"/>
        <w:adjustRightInd w:val="0"/>
        <w:spacing w:after="0"/>
        <w:ind w:right="1183"/>
        <w:rPr>
          <w:rFonts w:ascii="Arial" w:hAnsi="Arial" w:cs="Arial"/>
          <w:color w:val="2E74B5" w:themeColor="accent1" w:themeShade="BF"/>
        </w:rPr>
      </w:pPr>
    </w:p>
    <w:p w:rsidR="00AC5A70" w:rsidRDefault="00AC5A70" w:rsidP="00AC5A70">
      <w:pPr>
        <w:autoSpaceDE w:val="0"/>
        <w:autoSpaceDN w:val="0"/>
        <w:adjustRightInd w:val="0"/>
        <w:spacing w:after="0"/>
        <w:rPr>
          <w:rFonts w:ascii="Arial" w:hAnsi="Arial" w:cs="Arial"/>
          <w:color w:val="2E74B5" w:themeColor="accent1" w:themeShade="BF"/>
          <w:sz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De la citada normatividad se colige que toda persona tiene derecho de acceder a la información que obre dentro de los archivos de los partidos políticos, por lo que se realiza especial énfasis en la información que habrá de considerarse como pública y que bajo ninguna circunstancia se le otorgara el calificativo de reservada y que por mencionar se considera como pública la relativa a la asignación y ejercicio de los gastos de campaña, precampaña y gastos en general del partido político, así como las aportaciones de cualquier tipo o especie que realicen los particulares sin importar el destino de los recursos aportados. </w:t>
      </w:r>
    </w:p>
    <w:p w:rsidR="00AC5A70" w:rsidRDefault="00AC5A70" w:rsidP="00AC5A70">
      <w:pPr>
        <w:spacing w:after="0"/>
        <w:rPr>
          <w:rFonts w:ascii="Arial" w:eastAsia="Arial Unicode MS" w:hAnsi="Arial" w:cs="Arial"/>
          <w:color w:val="2E74B5" w:themeColor="accent1" w:themeShade="BF"/>
          <w:sz w:val="24"/>
        </w:rPr>
      </w:pPr>
    </w:p>
    <w:p w:rsidR="00AC5A70" w:rsidRDefault="00AC5A70" w:rsidP="00AC5A70">
      <w:pPr>
        <w:pStyle w:val="corte4fondo"/>
        <w:tabs>
          <w:tab w:val="left" w:pos="567"/>
        </w:tabs>
        <w:spacing w:line="276" w:lineRule="auto"/>
        <w:ind w:firstLine="0"/>
        <w:rPr>
          <w:rFonts w:cs="Arial"/>
          <w:color w:val="2E74B5" w:themeColor="accent1" w:themeShade="BF"/>
          <w:sz w:val="24"/>
          <w:szCs w:val="24"/>
        </w:rPr>
      </w:pPr>
      <w:r>
        <w:rPr>
          <w:rFonts w:cs="Arial"/>
          <w:b/>
          <w:color w:val="2E74B5" w:themeColor="accent1" w:themeShade="BF"/>
          <w:sz w:val="24"/>
          <w:szCs w:val="24"/>
        </w:rPr>
        <w:tab/>
        <w:t>6.3. Modalidad de entrega</w:t>
      </w:r>
      <w:r>
        <w:rPr>
          <w:rFonts w:cs="Arial"/>
          <w:color w:val="2E74B5" w:themeColor="accent1" w:themeShade="BF"/>
          <w:sz w:val="24"/>
          <w:szCs w:val="24"/>
        </w:rPr>
        <w:t>.</w:t>
      </w:r>
    </w:p>
    <w:p w:rsidR="00AC5A70" w:rsidRDefault="00AC5A70" w:rsidP="00AC5A70">
      <w:pPr>
        <w:pStyle w:val="corte4fondo"/>
        <w:spacing w:line="276" w:lineRule="auto"/>
        <w:ind w:firstLine="0"/>
        <w:rPr>
          <w:rFonts w:cs="Arial"/>
          <w:color w:val="2E74B5" w:themeColor="accent1" w:themeShade="BF"/>
          <w:sz w:val="24"/>
          <w:szCs w:val="24"/>
        </w:rPr>
      </w:pPr>
    </w:p>
    <w:p w:rsidR="00AC5A70" w:rsidRDefault="00AC5A70" w:rsidP="00AC5A70">
      <w:pPr>
        <w:pStyle w:val="Prrafodelista"/>
        <w:spacing w:after="0"/>
        <w:ind w:left="0"/>
        <w:jc w:val="both"/>
        <w:rPr>
          <w:rFonts w:ascii="Arial" w:hAnsi="Arial" w:cs="Arial"/>
          <w:color w:val="2E74B5" w:themeColor="accent1" w:themeShade="BF"/>
          <w:sz w:val="24"/>
          <w:szCs w:val="24"/>
        </w:rPr>
      </w:pPr>
      <w:r>
        <w:rPr>
          <w:rFonts w:ascii="Arial" w:hAnsi="Arial" w:cs="Arial"/>
          <w:color w:val="2E74B5" w:themeColor="accent1" w:themeShade="BF"/>
          <w:sz w:val="24"/>
          <w:szCs w:val="24"/>
        </w:rPr>
        <w:tab/>
        <w:t>Sobre este tópico los artículos 17, 146, fracción V, primer párrafo y 155, de la Ley de Transparencia establecen que:</w:t>
      </w:r>
    </w:p>
    <w:p w:rsidR="00AC5A70" w:rsidRDefault="00AC5A70" w:rsidP="00AC5A70">
      <w:pPr>
        <w:pStyle w:val="Prrafodelista"/>
        <w:spacing w:after="0"/>
        <w:ind w:left="0"/>
        <w:jc w:val="both"/>
        <w:rPr>
          <w:rFonts w:ascii="Arial" w:hAnsi="Arial" w:cs="Arial"/>
          <w:color w:val="2E74B5" w:themeColor="accent1" w:themeShade="BF"/>
          <w:sz w:val="24"/>
          <w:szCs w:val="24"/>
        </w:rPr>
      </w:pPr>
    </w:p>
    <w:p w:rsidR="00AC5A70" w:rsidRDefault="00AC5A70" w:rsidP="00AC5A70">
      <w:pPr>
        <w:pStyle w:val="corte4fondo"/>
        <w:tabs>
          <w:tab w:val="left" w:pos="567"/>
        </w:tabs>
        <w:spacing w:line="276" w:lineRule="auto"/>
        <w:ind w:left="567" w:firstLine="0"/>
        <w:rPr>
          <w:rFonts w:cs="Arial"/>
          <w:i/>
          <w:color w:val="2E74B5" w:themeColor="accent1" w:themeShade="BF"/>
          <w:sz w:val="24"/>
          <w:szCs w:val="24"/>
        </w:rPr>
      </w:pPr>
      <w:r>
        <w:rPr>
          <w:rFonts w:cs="Arial"/>
          <w:b/>
          <w:bCs/>
          <w:i/>
          <w:color w:val="2E74B5" w:themeColor="accent1" w:themeShade="BF"/>
          <w:sz w:val="20"/>
        </w:rPr>
        <w:t xml:space="preserve">ARTÍCULO 17. </w:t>
      </w:r>
      <w:r>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r>
        <w:rPr>
          <w:rFonts w:cs="Arial"/>
          <w:i/>
          <w:color w:val="2E74B5" w:themeColor="accent1" w:themeShade="BF"/>
          <w:sz w:val="20"/>
        </w:rPr>
        <w:t>En ningún caso los ajustes razonables que se realicen para el acceso de la información de solicitantes con discapacidad, será con costo a los mismos.</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p>
    <w:p w:rsidR="00AC5A70" w:rsidRDefault="00AC5A70" w:rsidP="00AC5A70">
      <w:pPr>
        <w:pStyle w:val="corte4fondo"/>
        <w:tabs>
          <w:tab w:val="left" w:pos="567"/>
        </w:tabs>
        <w:spacing w:line="276" w:lineRule="auto"/>
        <w:ind w:left="567" w:firstLine="0"/>
        <w:rPr>
          <w:rFonts w:cs="Arial"/>
          <w:i/>
          <w:color w:val="2E74B5" w:themeColor="accent1" w:themeShade="BF"/>
          <w:sz w:val="20"/>
        </w:rPr>
      </w:pPr>
      <w:r>
        <w:rPr>
          <w:rFonts w:cs="Arial"/>
          <w:b/>
          <w:bCs/>
          <w:i/>
          <w:color w:val="2E74B5" w:themeColor="accent1" w:themeShade="BF"/>
          <w:sz w:val="20"/>
        </w:rPr>
        <w:t xml:space="preserve">ARTÍCULO 146. </w:t>
      </w:r>
      <w:r>
        <w:rPr>
          <w:rFonts w:cs="Arial"/>
          <w:i/>
          <w:color w:val="2E74B5" w:themeColor="accent1" w:themeShade="BF"/>
          <w:sz w:val="20"/>
        </w:rPr>
        <w:t xml:space="preserve">Para presentar una solicitud no se podrán exigir mayores requisitos que los siguientes: </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r>
        <w:rPr>
          <w:rFonts w:cs="Arial"/>
          <w:bCs/>
          <w:i/>
          <w:color w:val="2E74B5" w:themeColor="accent1" w:themeShade="BF"/>
          <w:sz w:val="20"/>
        </w:rPr>
        <w:t>[…]</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r>
        <w:rPr>
          <w:rFonts w:cs="Arial"/>
          <w:b/>
          <w:bCs/>
          <w:i/>
          <w:color w:val="2E74B5" w:themeColor="accent1" w:themeShade="BF"/>
          <w:sz w:val="20"/>
        </w:rPr>
        <w:t xml:space="preserve">V. </w:t>
      </w:r>
      <w:r>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p>
    <w:p w:rsidR="00AC5A70" w:rsidRDefault="00AC5A70" w:rsidP="00AC5A70">
      <w:pPr>
        <w:pStyle w:val="corte4fondo"/>
        <w:tabs>
          <w:tab w:val="left" w:pos="567"/>
        </w:tabs>
        <w:spacing w:line="276" w:lineRule="auto"/>
        <w:ind w:left="567" w:firstLine="0"/>
        <w:rPr>
          <w:rFonts w:cs="Arial"/>
          <w:i/>
          <w:color w:val="2E74B5" w:themeColor="accent1" w:themeShade="BF"/>
          <w:sz w:val="20"/>
        </w:rPr>
      </w:pPr>
      <w:r>
        <w:rPr>
          <w:rFonts w:cs="Arial"/>
          <w:b/>
          <w:i/>
          <w:color w:val="2E74B5" w:themeColor="accent1" w:themeShade="BF"/>
          <w:sz w:val="20"/>
        </w:rPr>
        <w:t>ARTÍCULO 155.</w:t>
      </w:r>
      <w:r>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r>
        <w:rPr>
          <w:rFonts w:cs="Arial"/>
          <w:i/>
          <w:color w:val="2E74B5" w:themeColor="accent1" w:themeShade="BF"/>
          <w:sz w:val="20"/>
        </w:rPr>
        <w:t>En cualquier caso, se deberá fundar y motivar la necesidad de ofrecer otras modalidades.</w:t>
      </w:r>
    </w:p>
    <w:p w:rsidR="00AC5A70" w:rsidRDefault="00AC5A70" w:rsidP="00AC5A70">
      <w:pPr>
        <w:pStyle w:val="corte4fondo"/>
        <w:tabs>
          <w:tab w:val="left" w:pos="567"/>
        </w:tabs>
        <w:spacing w:line="276" w:lineRule="auto"/>
        <w:ind w:left="567" w:firstLine="0"/>
        <w:rPr>
          <w:rFonts w:cs="Arial"/>
          <w:i/>
          <w:color w:val="2E74B5" w:themeColor="accent1" w:themeShade="BF"/>
          <w:sz w:val="20"/>
        </w:rPr>
      </w:pPr>
    </w:p>
    <w:p w:rsidR="00AC5A70" w:rsidRDefault="00AC5A70" w:rsidP="00AC5A70">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AC5A70" w:rsidRDefault="00AC5A70" w:rsidP="00AC5A70">
      <w:pPr>
        <w:pStyle w:val="corte4fondo"/>
        <w:spacing w:line="276" w:lineRule="auto"/>
        <w:ind w:firstLine="0"/>
        <w:rPr>
          <w:rFonts w:cs="Arial"/>
          <w:color w:val="2E74B5" w:themeColor="accent1" w:themeShade="BF"/>
          <w:sz w:val="24"/>
          <w:szCs w:val="24"/>
        </w:rPr>
      </w:pPr>
    </w:p>
    <w:p w:rsidR="00AC5A70" w:rsidRDefault="00AC5A70" w:rsidP="00AC5A70">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AC5A70" w:rsidRDefault="00AC5A70" w:rsidP="00AC5A70">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 xml:space="preserve"> </w:t>
      </w:r>
    </w:p>
    <w:p w:rsidR="00AC5A70" w:rsidRDefault="00AC5A70" w:rsidP="00AC5A70">
      <w:pPr>
        <w:pStyle w:val="corte4fondo"/>
        <w:tabs>
          <w:tab w:val="left" w:pos="0"/>
        </w:tabs>
        <w:spacing w:line="276" w:lineRule="auto"/>
        <w:ind w:firstLine="0"/>
        <w:rPr>
          <w:rFonts w:cs="Arial"/>
          <w:color w:val="2E74B5" w:themeColor="accent1" w:themeShade="BF"/>
          <w:sz w:val="24"/>
          <w:szCs w:val="24"/>
        </w:rPr>
      </w:pPr>
      <w:r>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Pr>
          <w:rFonts w:cs="Arial"/>
          <w:color w:val="2E74B5" w:themeColor="accent1" w:themeShade="BF"/>
          <w:sz w:val="24"/>
          <w:szCs w:val="24"/>
          <w:u w:val="single"/>
        </w:rPr>
        <w:t xml:space="preserve">la regla es que el acceso se dará en la modalidad solicitada </w:t>
      </w:r>
      <w:r>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AC5A70" w:rsidRDefault="00AC5A70" w:rsidP="00AC5A70">
      <w:pPr>
        <w:pStyle w:val="corte4fondo"/>
        <w:tabs>
          <w:tab w:val="left" w:pos="0"/>
        </w:tabs>
        <w:spacing w:line="276" w:lineRule="auto"/>
        <w:ind w:firstLine="0"/>
        <w:rPr>
          <w:rFonts w:cs="Arial"/>
          <w:color w:val="2E74B5" w:themeColor="accent1" w:themeShade="BF"/>
          <w:sz w:val="24"/>
          <w:szCs w:val="24"/>
        </w:rPr>
      </w:pPr>
    </w:p>
    <w:p w:rsidR="00AC5A70" w:rsidRDefault="00AC5A70" w:rsidP="00AC5A70">
      <w:pPr>
        <w:pStyle w:val="corte4fondo"/>
        <w:tabs>
          <w:tab w:val="left" w:pos="0"/>
        </w:tabs>
        <w:spacing w:line="276" w:lineRule="auto"/>
        <w:ind w:firstLine="0"/>
        <w:rPr>
          <w:rFonts w:cs="Arial"/>
          <w:color w:val="2E74B5" w:themeColor="accent1" w:themeShade="BF"/>
          <w:sz w:val="24"/>
          <w:szCs w:val="24"/>
        </w:rPr>
      </w:pPr>
      <w:r>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AC5A70" w:rsidRDefault="00AC5A70" w:rsidP="00AC5A70">
      <w:pPr>
        <w:pStyle w:val="corte4fondo"/>
        <w:tabs>
          <w:tab w:val="left" w:pos="0"/>
        </w:tabs>
        <w:spacing w:line="276" w:lineRule="auto"/>
        <w:ind w:firstLine="0"/>
        <w:rPr>
          <w:rFonts w:cs="Arial"/>
          <w:color w:val="2E74B5" w:themeColor="accent1" w:themeShade="BF"/>
          <w:sz w:val="24"/>
          <w:szCs w:val="24"/>
        </w:rPr>
      </w:pPr>
    </w:p>
    <w:p w:rsidR="00AC5A70" w:rsidRDefault="00AC5A70" w:rsidP="00AC5A70">
      <w:pPr>
        <w:spacing w:after="0"/>
        <w:jc w:val="both"/>
        <w:rPr>
          <w:rFonts w:ascii="Arial" w:eastAsia="Times New Roman" w:hAnsi="Arial" w:cs="Arial"/>
          <w:color w:val="2E74B5" w:themeColor="accent1" w:themeShade="BF"/>
          <w:sz w:val="24"/>
          <w:szCs w:val="24"/>
        </w:rPr>
      </w:pPr>
      <w:r>
        <w:rPr>
          <w:rFonts w:ascii="Arial" w:hAnsi="Arial" w:cs="Arial"/>
          <w:color w:val="2E74B5" w:themeColor="accent1" w:themeShade="BF"/>
          <w:sz w:val="24"/>
          <w:szCs w:val="24"/>
        </w:rPr>
        <w:tab/>
        <w:t xml:space="preserve">Lo anterior, incluso encuentra sustento en </w:t>
      </w:r>
      <w:r>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AC5A70" w:rsidRDefault="00AC5A70" w:rsidP="00AC5A70">
      <w:pPr>
        <w:spacing w:after="0"/>
        <w:jc w:val="both"/>
        <w:rPr>
          <w:rFonts w:ascii="Arial" w:eastAsia="Times New Roman" w:hAnsi="Arial" w:cs="Arial"/>
          <w:color w:val="2E74B5" w:themeColor="accent1" w:themeShade="BF"/>
          <w:sz w:val="24"/>
          <w:szCs w:val="24"/>
        </w:rPr>
      </w:pPr>
    </w:p>
    <w:p w:rsidR="00AC5A70" w:rsidRDefault="00AC5A70" w:rsidP="00AC5A70">
      <w:pPr>
        <w:autoSpaceDE w:val="0"/>
        <w:autoSpaceDN w:val="0"/>
        <w:adjustRightInd w:val="0"/>
        <w:spacing w:after="0"/>
        <w:ind w:left="708"/>
        <w:jc w:val="both"/>
        <w:rPr>
          <w:rFonts w:ascii="Arial" w:eastAsia="Times New Roman" w:hAnsi="Arial" w:cs="Arial"/>
          <w:color w:val="2E74B5" w:themeColor="accent1" w:themeShade="BF"/>
          <w:sz w:val="20"/>
          <w:szCs w:val="20"/>
          <w:lang w:eastAsia="es-MX"/>
        </w:rPr>
      </w:pPr>
      <w:r>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Pr>
          <w:rFonts w:ascii="Arial" w:eastAsia="Times New Roman" w:hAnsi="Arial" w:cs="Arial"/>
          <w:color w:val="2E74B5" w:themeColor="accent1" w:themeShade="BF"/>
          <w:sz w:val="20"/>
          <w:szCs w:val="20"/>
          <w:lang w:eastAsia="es-MX"/>
        </w:rPr>
        <w:t>El ejercicio del derecho</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acceso a la información gubernamental no se entiende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forma abstracta y desvinculada a la forma en que los</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gobernados pueden allegarse de aquélla; destacándose que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la modalidad de entrega de la información resulta de especial</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interés para hacer efectivo este derecho. En este sentido,</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la Comisión para la Transparencia y Acceso a la Información</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la Suprema Corte de Justicia de la Nación (recurso de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revisión 1/2005) determinó que el acceso a la información</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cuando esta fue la remisión por medios electrónicos,</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toda vez que el otorgamiento en una diversa puede constituir</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un obstáculo material para el ejercicio del derecho</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acceso a la información tutelado en el artículo 6° constitucional.</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Por lo tanto, si el peticionario solicita por vía</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electrónica determinada información sin precisar la modalidad</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su preferencia debe presumirse que la requiere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por esa misma vía.</w:t>
      </w:r>
    </w:p>
    <w:p w:rsidR="00AC5A70" w:rsidRDefault="00AC5A70" w:rsidP="00AC5A70">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AC5A70" w:rsidRDefault="00AC5A70" w:rsidP="00AC5A70">
      <w:pPr>
        <w:autoSpaceDE w:val="0"/>
        <w:autoSpaceDN w:val="0"/>
        <w:adjustRightInd w:val="0"/>
        <w:spacing w:after="0"/>
        <w:jc w:val="both"/>
        <w:rPr>
          <w:rFonts w:ascii="Arial" w:eastAsia="Times New Roman" w:hAnsi="Arial" w:cs="Arial"/>
          <w:bCs/>
          <w:color w:val="2E74B5" w:themeColor="accent1" w:themeShade="BF"/>
          <w:sz w:val="24"/>
          <w:szCs w:val="24"/>
          <w:lang w:eastAsia="es-MX"/>
        </w:rPr>
      </w:pPr>
      <w:r>
        <w:rPr>
          <w:rFonts w:ascii="Arial" w:eastAsia="Times New Roman" w:hAnsi="Arial" w:cs="Arial"/>
          <w:bCs/>
          <w:color w:val="2E74B5" w:themeColor="accent1" w:themeShade="BF"/>
          <w:sz w:val="24"/>
          <w:szCs w:val="24"/>
          <w:lang w:eastAsia="es-MX"/>
        </w:rPr>
        <w:tab/>
        <w:t>Criterio que de conformidad con el artículo 7°</w:t>
      </w:r>
      <w:r>
        <w:rPr>
          <w:rFonts w:ascii="Arial" w:eastAsia="Times New Roman" w:hAnsi="Arial" w:cs="Arial"/>
          <w:bCs/>
          <w:color w:val="2E74B5" w:themeColor="accent1" w:themeShade="BF"/>
          <w:sz w:val="24"/>
          <w:szCs w:val="24"/>
          <w:vertAlign w:val="superscript"/>
          <w:lang w:eastAsia="es-MX"/>
        </w:rPr>
        <w:footnoteReference w:id="9"/>
      </w:r>
      <w:r>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AC5A70" w:rsidRDefault="00AC5A70" w:rsidP="00AC5A70">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szCs w:val="24"/>
        </w:rPr>
      </w:pPr>
      <w:r>
        <w:rPr>
          <w:rFonts w:ascii="Arial" w:eastAsia="Times New Roman" w:hAnsi="Arial" w:cs="Arial"/>
          <w:bCs/>
          <w:color w:val="2E74B5" w:themeColor="accent1" w:themeShade="BF"/>
          <w:sz w:val="24"/>
          <w:szCs w:val="24"/>
          <w:lang w:eastAsia="es-MX"/>
        </w:rPr>
        <w:t xml:space="preserve">Además, de que sólo en caso de que la autoridad no tenga la información en la modalidad solicitada, entonces </w:t>
      </w:r>
      <w:r>
        <w:rPr>
          <w:rFonts w:ascii="Arial" w:hAnsi="Arial" w:cs="Arial"/>
          <w:color w:val="2E74B5" w:themeColor="accent1" w:themeShade="BF"/>
          <w:sz w:val="24"/>
          <w:szCs w:val="24"/>
        </w:rPr>
        <w:t>debe pronunciarse sobre la imposición del artículo 165</w:t>
      </w:r>
      <w:r>
        <w:rPr>
          <w:rStyle w:val="Refdenotaalpie"/>
          <w:rFonts w:ascii="Arial" w:hAnsi="Arial" w:cs="Arial"/>
          <w:color w:val="2E74B5" w:themeColor="accent1" w:themeShade="BF"/>
          <w:sz w:val="24"/>
          <w:szCs w:val="24"/>
        </w:rPr>
        <w:footnoteReference w:id="10"/>
      </w:r>
      <w:r>
        <w:rPr>
          <w:rFonts w:ascii="Arial" w:hAnsi="Arial" w:cs="Arial"/>
          <w:color w:val="2E74B5" w:themeColor="accent1" w:themeShade="BF"/>
          <w:sz w:val="24"/>
          <w:szCs w:val="24"/>
        </w:rPr>
        <w:t>, segundo párrafo, de la Ley de Transparencia, que le impone la 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AC5A70" w:rsidRDefault="00AC5A70" w:rsidP="00AC5A70">
      <w:pPr>
        <w:pStyle w:val="corte4fondo"/>
        <w:spacing w:line="276" w:lineRule="auto"/>
        <w:ind w:firstLine="708"/>
        <w:rPr>
          <w:rFonts w:cs="Arial"/>
          <w:b/>
          <w:color w:val="2E74B5" w:themeColor="accent1" w:themeShade="BF"/>
          <w:sz w:val="24"/>
          <w:szCs w:val="24"/>
        </w:rPr>
      </w:pPr>
    </w:p>
    <w:p w:rsidR="00AC5A70" w:rsidRDefault="00AC5A70" w:rsidP="00AC5A70">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 xml:space="preserve"> 6.4.</w:t>
      </w:r>
      <w:r>
        <w:rPr>
          <w:rFonts w:cs="Arial"/>
          <w:color w:val="2E74B5" w:themeColor="accent1" w:themeShade="BF"/>
          <w:sz w:val="24"/>
          <w:szCs w:val="24"/>
        </w:rPr>
        <w:t xml:space="preserve"> </w:t>
      </w:r>
      <w:r>
        <w:rPr>
          <w:rFonts w:cs="Arial"/>
          <w:b/>
          <w:color w:val="2E74B5" w:themeColor="accent1" w:themeShade="BF"/>
          <w:sz w:val="24"/>
          <w:szCs w:val="24"/>
        </w:rPr>
        <w:t>Inexistencia de la información</w:t>
      </w:r>
      <w:r>
        <w:rPr>
          <w:rFonts w:cs="Arial"/>
          <w:color w:val="2E74B5" w:themeColor="accent1" w:themeShade="BF"/>
          <w:sz w:val="24"/>
          <w:szCs w:val="24"/>
        </w:rPr>
        <w:t>.</w:t>
      </w:r>
    </w:p>
    <w:p w:rsidR="00AC5A70" w:rsidRDefault="00AC5A70" w:rsidP="00AC5A70">
      <w:pPr>
        <w:pStyle w:val="corte4fondo"/>
        <w:spacing w:line="276" w:lineRule="auto"/>
        <w:ind w:firstLine="0"/>
        <w:rPr>
          <w:rFonts w:cs="Arial"/>
          <w:color w:val="2E74B5" w:themeColor="accent1" w:themeShade="BF"/>
          <w:sz w:val="24"/>
          <w:szCs w:val="24"/>
        </w:rPr>
      </w:pPr>
    </w:p>
    <w:p w:rsidR="00AC5A70" w:rsidRDefault="00AC5A70" w:rsidP="00AC5A70">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ab/>
        <w:t xml:space="preserve">Ahora, en caso de que el sujeto obligado determine que la información no existe, debe, de acuerdo al procedimiento establecido en la ley de la materia declarar formalmente la inexistencia de la misma de acuerdo al procedimiento establecido en la propia Ley de Transparencia y Acceso a la Información Pública del Estado. </w:t>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b/>
          <w:color w:val="2E74B5" w:themeColor="accent1" w:themeShade="BF"/>
          <w:sz w:val="24"/>
          <w:szCs w:val="24"/>
        </w:rPr>
        <w:t>6.5. Sentido y Efectos de esta resolución</w:t>
      </w:r>
      <w:r>
        <w:rPr>
          <w:rFonts w:ascii="Arial" w:hAnsi="Arial" w:cs="Arial"/>
          <w:color w:val="2E74B5" w:themeColor="accent1" w:themeShade="BF"/>
          <w:sz w:val="24"/>
          <w:szCs w:val="24"/>
        </w:rPr>
        <w:t>.</w:t>
      </w:r>
    </w:p>
    <w:p w:rsidR="00AC5A70" w:rsidRDefault="00AC5A70" w:rsidP="00AC5A70">
      <w:pPr>
        <w:autoSpaceDE w:val="0"/>
        <w:autoSpaceDN w:val="0"/>
        <w:adjustRightInd w:val="0"/>
        <w:spacing w:after="0"/>
        <w:ind w:firstLine="708"/>
        <w:jc w:val="both"/>
        <w:rPr>
          <w:rFonts w:ascii="Arial" w:hAnsi="Arial" w:cs="Arial"/>
          <w:color w:val="2E74B5" w:themeColor="accent1" w:themeShade="BF"/>
          <w:sz w:val="24"/>
          <w:szCs w:val="24"/>
        </w:rPr>
      </w:pPr>
    </w:p>
    <w:p w:rsidR="00AC5A70" w:rsidRDefault="00AC5A70" w:rsidP="00AC5A70">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En las condiciones anotadas y, al haber resultado fundado los agravios que hizo valer el recurrente, lo procedente es que este órgano colegiado de conformidad con el artículo 175, fracción III, de la Ley de Transparencia y Acceso a la Información Pública del Estado </w:t>
      </w:r>
      <w:r>
        <w:rPr>
          <w:rFonts w:cs="Arial"/>
          <w:b/>
          <w:color w:val="2E74B5" w:themeColor="accent1" w:themeShade="BF"/>
          <w:sz w:val="24"/>
          <w:szCs w:val="24"/>
        </w:rPr>
        <w:t xml:space="preserve">Modifica </w:t>
      </w:r>
      <w:r>
        <w:rPr>
          <w:rFonts w:cs="Arial"/>
          <w:color w:val="2E74B5" w:themeColor="accent1" w:themeShade="BF"/>
          <w:sz w:val="24"/>
          <w:szCs w:val="24"/>
        </w:rPr>
        <w:t>la respuesta del sujeto obligado</w:t>
      </w:r>
      <w:r>
        <w:rPr>
          <w:rFonts w:cs="Arial"/>
          <w:b/>
          <w:color w:val="2E74B5" w:themeColor="accent1" w:themeShade="BF"/>
          <w:sz w:val="24"/>
          <w:szCs w:val="24"/>
        </w:rPr>
        <w:t xml:space="preserve"> </w:t>
      </w:r>
      <w:r>
        <w:rPr>
          <w:rFonts w:cs="Arial"/>
          <w:color w:val="2E74B5" w:themeColor="accent1" w:themeShade="BF"/>
          <w:sz w:val="24"/>
          <w:szCs w:val="24"/>
        </w:rPr>
        <w:t xml:space="preserve">y, por lo tanto, lo </w:t>
      </w:r>
      <w:r>
        <w:rPr>
          <w:rFonts w:cs="Arial"/>
          <w:b/>
          <w:color w:val="2E74B5" w:themeColor="accent1" w:themeShade="BF"/>
          <w:sz w:val="24"/>
          <w:szCs w:val="24"/>
        </w:rPr>
        <w:t>conmina</w:t>
      </w:r>
      <w:r>
        <w:rPr>
          <w:rFonts w:cs="Arial"/>
          <w:color w:val="2E74B5" w:themeColor="accent1" w:themeShade="BF"/>
          <w:sz w:val="24"/>
          <w:szCs w:val="24"/>
        </w:rPr>
        <w:t xml:space="preserve"> para que emita una nueva respuesta en la que:</w:t>
      </w:r>
    </w:p>
    <w:p w:rsidR="00AC5A70" w:rsidRDefault="00AC5A70" w:rsidP="00AC5A70">
      <w:pPr>
        <w:pStyle w:val="corte4fondo"/>
        <w:tabs>
          <w:tab w:val="left" w:pos="567"/>
        </w:tabs>
        <w:spacing w:line="276" w:lineRule="auto"/>
        <w:rPr>
          <w:rFonts w:cs="Arial"/>
          <w:color w:val="2E74B5" w:themeColor="accent1" w:themeShade="BF"/>
          <w:sz w:val="24"/>
          <w:szCs w:val="24"/>
        </w:rPr>
      </w:pPr>
    </w:p>
    <w:p w:rsidR="00AC5A70" w:rsidRDefault="00AC5A70" w:rsidP="00AC5A70">
      <w:pPr>
        <w:pStyle w:val="Prrafodelista"/>
        <w:numPr>
          <w:ilvl w:val="0"/>
          <w:numId w:val="7"/>
        </w:numPr>
        <w:autoSpaceDE w:val="0"/>
        <w:autoSpaceDN w:val="0"/>
        <w:adjustRightInd w:val="0"/>
        <w:spacing w:after="0"/>
        <w:ind w:right="50"/>
        <w:jc w:val="both"/>
        <w:rPr>
          <w:rFonts w:ascii="Arial" w:hAnsi="Arial" w:cs="Arial"/>
          <w:color w:val="2E74B5" w:themeColor="accent1" w:themeShade="BF"/>
          <w:sz w:val="24"/>
          <w:szCs w:val="24"/>
        </w:rPr>
      </w:pPr>
      <w:r>
        <w:rPr>
          <w:rFonts w:ascii="Arial" w:hAnsi="Arial" w:cs="Arial"/>
          <w:color w:val="2E74B5" w:themeColor="accent1" w:themeShade="BF"/>
          <w:sz w:val="24"/>
          <w:szCs w:val="24"/>
        </w:rPr>
        <w:t xml:space="preserve">El Sujeto Obligado deberá entregar la información referente a las aportaciones de privados a la campaña del municipio de </w:t>
      </w:r>
      <w:proofErr w:type="spellStart"/>
      <w:r w:rsidR="007E7232" w:rsidRPr="003F009A">
        <w:rPr>
          <w:rFonts w:ascii="Arial" w:hAnsi="Arial" w:cs="Arial"/>
          <w:color w:val="2E74B5" w:themeColor="accent1" w:themeShade="BF"/>
          <w:sz w:val="24"/>
          <w:szCs w:val="24"/>
        </w:rPr>
        <w:t>Matlapa</w:t>
      </w:r>
      <w:proofErr w:type="spellEnd"/>
      <w:r>
        <w:rPr>
          <w:rFonts w:ascii="Arial" w:hAnsi="Arial" w:cs="Arial"/>
          <w:color w:val="2E74B5" w:themeColor="accent1" w:themeShade="BF"/>
          <w:sz w:val="24"/>
          <w:szCs w:val="24"/>
        </w:rPr>
        <w:t>, en el periodo electoral 2017 dos mil diecisiete a 2018 dos mil dieciocho, incluyendo el nombre de quien aporto, si fue en especie o económico el apoyo y s</w:t>
      </w:r>
      <w:r w:rsidR="00C46826">
        <w:rPr>
          <w:rFonts w:ascii="Arial" w:hAnsi="Arial" w:cs="Arial"/>
          <w:color w:val="2E74B5" w:themeColor="accent1" w:themeShade="BF"/>
          <w:sz w:val="24"/>
          <w:szCs w:val="24"/>
        </w:rPr>
        <w:t xml:space="preserve">u distribución en dicha campaña, </w:t>
      </w:r>
      <w:r>
        <w:rPr>
          <w:rFonts w:ascii="Arial" w:hAnsi="Arial" w:cs="Arial"/>
          <w:color w:val="2E74B5" w:themeColor="accent1" w:themeShade="BF"/>
          <w:sz w:val="24"/>
          <w:szCs w:val="24"/>
        </w:rPr>
        <w:t xml:space="preserve">o en su defecto funde </w:t>
      </w:r>
      <w:r>
        <w:rPr>
          <w:rFonts w:ascii="Arial" w:eastAsia="Arial Unicode MS" w:hAnsi="Arial" w:cs="Arial"/>
          <w:color w:val="2E74B5" w:themeColor="accent1" w:themeShade="BF"/>
          <w:sz w:val="24"/>
          <w:szCs w:val="24"/>
        </w:rPr>
        <w:t>y motive la inexistencia de la información solicitada debido a que el sujeto obligado tiene obligación de generarla</w:t>
      </w:r>
    </w:p>
    <w:p w:rsidR="00AC5A70" w:rsidRDefault="00AC5A70" w:rsidP="00AC5A70">
      <w:pPr>
        <w:pStyle w:val="corte4fondo"/>
        <w:spacing w:line="276" w:lineRule="auto"/>
        <w:ind w:left="1429" w:firstLine="0"/>
        <w:rPr>
          <w:rFonts w:cs="Arial"/>
          <w:color w:val="2E74B5" w:themeColor="accent1" w:themeShade="BF"/>
          <w:sz w:val="24"/>
          <w:szCs w:val="24"/>
        </w:rPr>
      </w:pPr>
    </w:p>
    <w:p w:rsidR="00AC5A70" w:rsidRDefault="00AC5A70" w:rsidP="00AC5A70">
      <w:pPr>
        <w:pStyle w:val="corte4fondo"/>
        <w:tabs>
          <w:tab w:val="left" w:pos="567"/>
        </w:tabs>
        <w:spacing w:line="276" w:lineRule="auto"/>
        <w:rPr>
          <w:rFonts w:cs="Arial"/>
          <w:b/>
          <w:color w:val="2E74B5" w:themeColor="accent1" w:themeShade="BF"/>
          <w:sz w:val="24"/>
          <w:szCs w:val="24"/>
        </w:rPr>
      </w:pPr>
      <w:r>
        <w:rPr>
          <w:rFonts w:cs="Arial"/>
          <w:b/>
          <w:color w:val="2E74B5" w:themeColor="accent1" w:themeShade="BF"/>
          <w:sz w:val="24"/>
          <w:szCs w:val="24"/>
        </w:rPr>
        <w:t>6.6. Precisiones de esta resolución.</w:t>
      </w:r>
    </w:p>
    <w:p w:rsidR="00AC5A70" w:rsidRDefault="00AC5A70" w:rsidP="00AC5A70">
      <w:pPr>
        <w:pStyle w:val="corte4fondo"/>
        <w:tabs>
          <w:tab w:val="left" w:pos="567"/>
        </w:tabs>
        <w:spacing w:line="276" w:lineRule="auto"/>
        <w:ind w:firstLine="0"/>
        <w:rPr>
          <w:rFonts w:cs="Arial"/>
          <w:b/>
          <w:color w:val="2E74B5" w:themeColor="accent1" w:themeShade="BF"/>
          <w:sz w:val="24"/>
          <w:szCs w:val="24"/>
        </w:rPr>
      </w:pPr>
      <w:r>
        <w:rPr>
          <w:rFonts w:cs="Arial"/>
          <w:b/>
          <w:color w:val="2E74B5" w:themeColor="accent1" w:themeShade="BF"/>
          <w:sz w:val="24"/>
          <w:szCs w:val="24"/>
        </w:rPr>
        <w:tab/>
      </w:r>
    </w:p>
    <w:p w:rsidR="00AC5A70" w:rsidRDefault="00AC5A70" w:rsidP="00AC5A70">
      <w:pPr>
        <w:pStyle w:val="corte4fondo"/>
        <w:tabs>
          <w:tab w:val="left" w:pos="567"/>
        </w:tabs>
        <w:spacing w:line="276" w:lineRule="auto"/>
        <w:ind w:firstLine="0"/>
        <w:rPr>
          <w:rFonts w:cs="Arial"/>
          <w:color w:val="2E74B5" w:themeColor="accent1" w:themeShade="BF"/>
          <w:sz w:val="24"/>
          <w:szCs w:val="24"/>
        </w:rPr>
      </w:pPr>
      <w:r>
        <w:rPr>
          <w:rFonts w:cs="Arial"/>
          <w:b/>
          <w:color w:val="2E74B5" w:themeColor="accent1" w:themeShade="BF"/>
          <w:sz w:val="24"/>
          <w:szCs w:val="24"/>
        </w:rPr>
        <w:tab/>
      </w:r>
      <w:r>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AC5A70" w:rsidRDefault="00AC5A70" w:rsidP="00AC5A70">
      <w:pPr>
        <w:pStyle w:val="corte4fondo"/>
        <w:tabs>
          <w:tab w:val="left" w:pos="567"/>
        </w:tabs>
        <w:spacing w:line="276" w:lineRule="auto"/>
        <w:ind w:firstLine="0"/>
        <w:rPr>
          <w:rFonts w:cs="Arial"/>
          <w:color w:val="2E74B5" w:themeColor="accent1" w:themeShade="BF"/>
          <w:sz w:val="24"/>
          <w:szCs w:val="24"/>
        </w:rPr>
      </w:pPr>
    </w:p>
    <w:p w:rsidR="00AC5A70" w:rsidRDefault="00AC5A70" w:rsidP="00AC5A70">
      <w:pPr>
        <w:pStyle w:val="corte4fondo"/>
        <w:numPr>
          <w:ilvl w:val="0"/>
          <w:numId w:val="8"/>
        </w:numPr>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  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 en el presente recurso de revisión.</w:t>
      </w:r>
    </w:p>
    <w:p w:rsidR="00AC5A70" w:rsidRDefault="00AC5A70" w:rsidP="00AC5A70">
      <w:pPr>
        <w:pStyle w:val="corte4fondo"/>
        <w:tabs>
          <w:tab w:val="left" w:pos="567"/>
        </w:tabs>
        <w:spacing w:line="276" w:lineRule="auto"/>
        <w:ind w:left="720" w:firstLine="0"/>
        <w:rPr>
          <w:rFonts w:cs="Arial"/>
          <w:color w:val="2E74B5" w:themeColor="accent1" w:themeShade="BF"/>
          <w:sz w:val="24"/>
          <w:szCs w:val="24"/>
        </w:rPr>
      </w:pPr>
    </w:p>
    <w:p w:rsidR="00AC5A70" w:rsidRDefault="00AC5A70" w:rsidP="00AC5A70">
      <w:pPr>
        <w:pStyle w:val="corte4fondo"/>
        <w:numPr>
          <w:ilvl w:val="0"/>
          <w:numId w:val="8"/>
        </w:numPr>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  El sujeto obligado deberá de cuidar en todo momento que la información que entregará no contenga datos personales o confidenciales, pues en caso de contener información con esos datos, deberá de elaborar la versión pública.</w:t>
      </w:r>
    </w:p>
    <w:p w:rsidR="00AC5A70" w:rsidRDefault="00AC5A70" w:rsidP="00AC5A70">
      <w:pPr>
        <w:pStyle w:val="corte4fondo"/>
        <w:tabs>
          <w:tab w:val="left" w:pos="567"/>
        </w:tabs>
        <w:spacing w:line="276" w:lineRule="auto"/>
        <w:ind w:left="720" w:firstLine="0"/>
        <w:rPr>
          <w:rFonts w:cs="Arial"/>
          <w:color w:val="2E74B5" w:themeColor="accent1" w:themeShade="BF"/>
          <w:sz w:val="24"/>
          <w:szCs w:val="24"/>
        </w:rPr>
      </w:pPr>
    </w:p>
    <w:p w:rsidR="00AC5A70" w:rsidRDefault="00AC5A70" w:rsidP="00AC5A70">
      <w:pPr>
        <w:spacing w:after="0"/>
        <w:ind w:left="720"/>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6.7. Plazo de diez días hábiles para el cumplimento de esta resolución.</w:t>
      </w:r>
    </w:p>
    <w:p w:rsidR="00AC5A70" w:rsidRDefault="00AC5A70" w:rsidP="00AC5A70">
      <w:pPr>
        <w:spacing w:after="0"/>
        <w:jc w:val="both"/>
        <w:rPr>
          <w:rFonts w:ascii="Arial" w:eastAsia="Times New Roman" w:hAnsi="Arial" w:cs="Arial"/>
          <w:b/>
          <w:color w:val="2E74B5" w:themeColor="accent1" w:themeShade="BF"/>
          <w:sz w:val="24"/>
          <w:szCs w:val="24"/>
          <w:lang w:eastAsia="es-MX"/>
        </w:rPr>
      </w:pPr>
    </w:p>
    <w:p w:rsidR="00AC5A70" w:rsidRDefault="00AC5A70" w:rsidP="00AC5A70">
      <w:pPr>
        <w:pStyle w:val="Prrafodelista"/>
        <w:spacing w:after="0"/>
        <w:ind w:left="0" w:firstLine="360"/>
        <w:jc w:val="both"/>
        <w:rPr>
          <w:rFonts w:ascii="Arial" w:eastAsia="Times New Roman" w:hAnsi="Arial" w:cs="Arial"/>
          <w:color w:val="2E74B5" w:themeColor="accent1" w:themeShade="BF"/>
          <w:sz w:val="24"/>
          <w:szCs w:val="24"/>
          <w:lang w:eastAsia="es-MX"/>
        </w:rPr>
      </w:pPr>
      <w:r>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AC5A70" w:rsidRDefault="00AC5A70" w:rsidP="00AC5A70">
      <w:pPr>
        <w:pStyle w:val="Prrafodelista"/>
        <w:spacing w:after="0"/>
        <w:jc w:val="both"/>
        <w:rPr>
          <w:rFonts w:ascii="Arial" w:eastAsia="Times New Roman" w:hAnsi="Arial" w:cs="Arial"/>
          <w:color w:val="2E74B5" w:themeColor="accent1" w:themeShade="BF"/>
          <w:sz w:val="24"/>
          <w:szCs w:val="24"/>
          <w:lang w:eastAsia="es-MX"/>
        </w:rPr>
      </w:pPr>
    </w:p>
    <w:p w:rsidR="00AC5A70" w:rsidRDefault="00AC5A70" w:rsidP="00AC5A70">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6.8. Informe sobre el cumplimento a la resolución dentro del plazo de tres días hábiles.</w:t>
      </w:r>
    </w:p>
    <w:p w:rsidR="00AC5A70" w:rsidRDefault="00AC5A70" w:rsidP="00AC5A70">
      <w:pPr>
        <w:spacing w:after="0"/>
        <w:jc w:val="both"/>
        <w:rPr>
          <w:rFonts w:ascii="Arial" w:eastAsia="Times New Roman" w:hAnsi="Arial" w:cs="Arial"/>
          <w:b/>
          <w:color w:val="2E74B5" w:themeColor="accent1" w:themeShade="BF"/>
          <w:sz w:val="24"/>
          <w:szCs w:val="24"/>
          <w:lang w:eastAsia="es-MX"/>
        </w:rPr>
      </w:pPr>
    </w:p>
    <w:p w:rsidR="00AC5A70" w:rsidRDefault="00AC5A70" w:rsidP="00AC5A70">
      <w:pPr>
        <w:pStyle w:val="Prrafodelista"/>
        <w:spacing w:after="0"/>
        <w:ind w:left="0" w:firstLine="708"/>
        <w:jc w:val="both"/>
        <w:rPr>
          <w:rFonts w:ascii="Arial" w:eastAsia="Times New Roman" w:hAnsi="Arial" w:cs="Arial"/>
          <w:color w:val="2E74B5" w:themeColor="accent1" w:themeShade="BF"/>
          <w:sz w:val="24"/>
          <w:szCs w:val="24"/>
          <w:lang w:eastAsia="es-MX"/>
        </w:rPr>
      </w:pPr>
      <w:r>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AC5A70" w:rsidRDefault="00AC5A70" w:rsidP="00AC5A70">
      <w:pPr>
        <w:pStyle w:val="Prrafodelista"/>
        <w:spacing w:after="0"/>
        <w:jc w:val="both"/>
        <w:rPr>
          <w:rFonts w:ascii="Arial" w:eastAsia="Times New Roman" w:hAnsi="Arial" w:cs="Arial"/>
          <w:color w:val="2E74B5" w:themeColor="accent1" w:themeShade="BF"/>
          <w:sz w:val="24"/>
          <w:szCs w:val="24"/>
          <w:lang w:eastAsia="es-MX"/>
        </w:rPr>
      </w:pPr>
    </w:p>
    <w:p w:rsidR="00AC5A70" w:rsidRDefault="00AC5A70" w:rsidP="00AC5A70">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 xml:space="preserve"> 6.9. Medida de apremio en caso de incumplimiento a la resolución.</w:t>
      </w:r>
    </w:p>
    <w:p w:rsidR="00AC5A70" w:rsidRDefault="00AC5A70" w:rsidP="00AC5A70">
      <w:pPr>
        <w:pStyle w:val="corte4fondo"/>
        <w:tabs>
          <w:tab w:val="left" w:pos="567"/>
        </w:tabs>
        <w:spacing w:line="276" w:lineRule="auto"/>
        <w:rPr>
          <w:rFonts w:cs="Arial"/>
          <w:color w:val="2E74B5" w:themeColor="accent1" w:themeShade="BF"/>
          <w:sz w:val="24"/>
          <w:szCs w:val="24"/>
        </w:rPr>
      </w:pPr>
    </w:p>
    <w:p w:rsidR="00AC5A70" w:rsidRDefault="00AC5A70" w:rsidP="00AC5A70">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AC5A70" w:rsidRDefault="00AC5A70" w:rsidP="00AC5A70">
      <w:pPr>
        <w:pStyle w:val="corte4fondo"/>
        <w:tabs>
          <w:tab w:val="left" w:pos="567"/>
        </w:tabs>
        <w:spacing w:line="276" w:lineRule="auto"/>
        <w:ind w:left="720" w:firstLine="0"/>
        <w:rPr>
          <w:rFonts w:cs="Arial"/>
          <w:b/>
          <w:color w:val="2E74B5" w:themeColor="accent1" w:themeShade="BF"/>
          <w:sz w:val="24"/>
          <w:szCs w:val="24"/>
        </w:rPr>
      </w:pPr>
    </w:p>
    <w:p w:rsidR="00AC5A70" w:rsidRDefault="00AC5A70" w:rsidP="00AC5A70">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Por lo expuesto y fundado, SE RESUELVE:</w:t>
      </w:r>
    </w:p>
    <w:p w:rsidR="00AC5A70" w:rsidRDefault="00AC5A70" w:rsidP="00AC5A70">
      <w:pPr>
        <w:pStyle w:val="corte4fondo"/>
        <w:tabs>
          <w:tab w:val="left" w:pos="567"/>
        </w:tabs>
        <w:spacing w:line="276" w:lineRule="auto"/>
        <w:rPr>
          <w:rFonts w:cs="Arial"/>
          <w:color w:val="2E74B5" w:themeColor="accent1" w:themeShade="BF"/>
          <w:sz w:val="24"/>
          <w:szCs w:val="24"/>
        </w:rPr>
      </w:pPr>
    </w:p>
    <w:p w:rsidR="00AC5A70" w:rsidRDefault="00AC5A70" w:rsidP="00AC5A70">
      <w:pPr>
        <w:pStyle w:val="corte4fondo"/>
        <w:tabs>
          <w:tab w:val="left" w:pos="567"/>
        </w:tabs>
        <w:spacing w:line="276" w:lineRule="auto"/>
        <w:jc w:val="center"/>
        <w:rPr>
          <w:rFonts w:cs="Arial"/>
          <w:color w:val="2E74B5" w:themeColor="accent1" w:themeShade="BF"/>
          <w:sz w:val="24"/>
          <w:szCs w:val="24"/>
        </w:rPr>
      </w:pPr>
      <w:r>
        <w:rPr>
          <w:rFonts w:cs="Arial"/>
          <w:b/>
          <w:color w:val="2E74B5" w:themeColor="accent1" w:themeShade="BF"/>
          <w:sz w:val="24"/>
          <w:szCs w:val="24"/>
        </w:rPr>
        <w:t>RESOLUTIVO</w:t>
      </w:r>
      <w:r>
        <w:rPr>
          <w:rFonts w:cs="Arial"/>
          <w:color w:val="2E74B5" w:themeColor="accent1" w:themeShade="BF"/>
          <w:sz w:val="24"/>
          <w:szCs w:val="24"/>
        </w:rPr>
        <w:t xml:space="preserve"> </w:t>
      </w:r>
    </w:p>
    <w:p w:rsidR="00AC5A70" w:rsidRDefault="00AC5A70" w:rsidP="00AC5A70">
      <w:pPr>
        <w:pStyle w:val="corte4fondo"/>
        <w:spacing w:line="276" w:lineRule="auto"/>
        <w:rPr>
          <w:rFonts w:cs="Arial"/>
          <w:b/>
          <w:color w:val="2E74B5" w:themeColor="accent1" w:themeShade="BF"/>
          <w:sz w:val="24"/>
          <w:szCs w:val="24"/>
        </w:rPr>
      </w:pPr>
    </w:p>
    <w:p w:rsidR="00AC5A70" w:rsidRDefault="00AC5A70" w:rsidP="00AC5A70">
      <w:pPr>
        <w:pStyle w:val="corte4fondo"/>
        <w:spacing w:line="276" w:lineRule="auto"/>
        <w:rPr>
          <w:rFonts w:cs="Arial"/>
          <w:color w:val="2E74B5" w:themeColor="accent1" w:themeShade="BF"/>
          <w:sz w:val="24"/>
          <w:szCs w:val="24"/>
        </w:rPr>
      </w:pPr>
      <w:r>
        <w:rPr>
          <w:rFonts w:cs="Arial"/>
          <w:b/>
          <w:color w:val="2E74B5" w:themeColor="accent1" w:themeShade="BF"/>
          <w:sz w:val="24"/>
          <w:szCs w:val="24"/>
        </w:rPr>
        <w:t xml:space="preserve">ÚNICO. </w:t>
      </w:r>
      <w:r>
        <w:rPr>
          <w:rFonts w:cs="Arial"/>
          <w:color w:val="2E74B5" w:themeColor="accent1" w:themeShade="BF"/>
          <w:sz w:val="24"/>
          <w:szCs w:val="24"/>
        </w:rPr>
        <w:t xml:space="preserve">Se </w:t>
      </w:r>
      <w:r>
        <w:rPr>
          <w:rFonts w:cs="Arial"/>
          <w:b/>
          <w:color w:val="2E74B5" w:themeColor="accent1" w:themeShade="BF"/>
          <w:sz w:val="24"/>
          <w:szCs w:val="24"/>
        </w:rPr>
        <w:t>Modifica la</w:t>
      </w:r>
      <w:r>
        <w:rPr>
          <w:rFonts w:cs="Arial"/>
          <w:color w:val="2E74B5" w:themeColor="accent1" w:themeShade="BF"/>
          <w:sz w:val="24"/>
          <w:szCs w:val="24"/>
        </w:rPr>
        <w:t xml:space="preserve"> respuesta del sujeto obligado por las razones y fundamentos expuestos en el considerando </w:t>
      </w:r>
      <w:r w:rsidRPr="003F009A">
        <w:rPr>
          <w:rFonts w:cs="Arial"/>
          <w:color w:val="2E74B5" w:themeColor="accent1" w:themeShade="BF"/>
          <w:sz w:val="24"/>
          <w:szCs w:val="24"/>
        </w:rPr>
        <w:t>sexto</w:t>
      </w:r>
      <w:r>
        <w:rPr>
          <w:rFonts w:cs="Arial"/>
          <w:color w:val="2E74B5" w:themeColor="accent1" w:themeShade="BF"/>
          <w:sz w:val="24"/>
          <w:szCs w:val="24"/>
        </w:rPr>
        <w:t xml:space="preserve"> de la presente resolución.</w:t>
      </w:r>
    </w:p>
    <w:p w:rsidR="00AC5A70" w:rsidRDefault="00AC5A70" w:rsidP="00AC5A70">
      <w:pPr>
        <w:pStyle w:val="corte4fondo"/>
        <w:tabs>
          <w:tab w:val="left" w:pos="567"/>
        </w:tabs>
        <w:spacing w:line="276" w:lineRule="auto"/>
        <w:rPr>
          <w:rFonts w:cs="Arial"/>
          <w:color w:val="2E74B5" w:themeColor="accent1" w:themeShade="BF"/>
          <w:sz w:val="24"/>
          <w:szCs w:val="24"/>
        </w:rPr>
      </w:pPr>
    </w:p>
    <w:p w:rsidR="00AC5A70" w:rsidRDefault="00AC5A70" w:rsidP="00AC5A70">
      <w:pPr>
        <w:pStyle w:val="corte4fondo"/>
        <w:tabs>
          <w:tab w:val="left" w:pos="567"/>
        </w:tabs>
        <w:spacing w:line="276" w:lineRule="auto"/>
        <w:rPr>
          <w:rFonts w:cs="Arial"/>
          <w:color w:val="2E74B5" w:themeColor="accent1" w:themeShade="BF"/>
          <w:sz w:val="24"/>
          <w:szCs w:val="24"/>
        </w:rPr>
      </w:pPr>
      <w:r>
        <w:rPr>
          <w:rFonts w:cs="Arial"/>
          <w:b/>
          <w:color w:val="2E74B5" w:themeColor="accent1" w:themeShade="BF"/>
          <w:sz w:val="24"/>
          <w:szCs w:val="24"/>
        </w:rPr>
        <w:t xml:space="preserve">Notifíquese; </w:t>
      </w:r>
      <w:r>
        <w:rPr>
          <w:rFonts w:cs="Arial"/>
          <w:color w:val="2E74B5" w:themeColor="accent1" w:themeShade="BF"/>
          <w:sz w:val="24"/>
          <w:szCs w:val="24"/>
        </w:rPr>
        <w:t>por oficio a las autoridades</w:t>
      </w:r>
      <w:r>
        <w:rPr>
          <w:rFonts w:cs="Arial"/>
          <w:b/>
          <w:color w:val="2E74B5" w:themeColor="accent1" w:themeShade="BF"/>
          <w:sz w:val="24"/>
          <w:szCs w:val="24"/>
        </w:rPr>
        <w:t xml:space="preserve"> </w:t>
      </w:r>
      <w:r>
        <w:rPr>
          <w:rFonts w:cs="Arial"/>
          <w:color w:val="2E74B5" w:themeColor="accent1" w:themeShade="BF"/>
          <w:sz w:val="24"/>
          <w:szCs w:val="24"/>
        </w:rPr>
        <w:t>y al recurrente por el medio que designó.</w:t>
      </w:r>
    </w:p>
    <w:p w:rsidR="00AC5A70" w:rsidRDefault="00AC5A70" w:rsidP="00AC5A70">
      <w:pPr>
        <w:pStyle w:val="corte4fondo"/>
        <w:tabs>
          <w:tab w:val="left" w:pos="567"/>
        </w:tabs>
        <w:spacing w:line="276" w:lineRule="auto"/>
        <w:rPr>
          <w:rFonts w:eastAsia="Arial Unicode MS" w:cs="Arial"/>
          <w:color w:val="2E74B5" w:themeColor="accent1" w:themeShade="BF"/>
          <w:sz w:val="24"/>
          <w:szCs w:val="24"/>
        </w:rPr>
      </w:pPr>
      <w:r>
        <w:rPr>
          <w:rFonts w:cs="Arial"/>
          <w:color w:val="2E74B5" w:themeColor="accent1" w:themeShade="BF"/>
          <w:sz w:val="24"/>
          <w:szCs w:val="24"/>
        </w:rPr>
        <w:t xml:space="preserve">Así, por unanimidad de votos lo resolvió la Comisión Estatal de Garantía de Acceso a la Información Pública, integrada por los Comisionados Licenciados </w:t>
      </w:r>
      <w:proofErr w:type="spellStart"/>
      <w:r>
        <w:rPr>
          <w:rFonts w:cs="Arial"/>
          <w:color w:val="2E74B5" w:themeColor="accent1" w:themeShade="BF"/>
          <w:sz w:val="24"/>
          <w:szCs w:val="24"/>
        </w:rPr>
        <w:t>Mariajosé</w:t>
      </w:r>
      <w:proofErr w:type="spellEnd"/>
      <w:r>
        <w:rPr>
          <w:rFonts w:cs="Arial"/>
          <w:color w:val="2E74B5" w:themeColor="accent1" w:themeShade="BF"/>
          <w:sz w:val="24"/>
          <w:szCs w:val="24"/>
        </w:rPr>
        <w:t xml:space="preserve"> González Zarzosa, Mtro. Alejandro Lafuente Torres, Paulina Sánchez Pérez del Pozo, Presidente, siendo ponente la última de los nombrados, quienes, en unión de la Licenciada Rosa María Motilla García, Secretaria de Pleno que da fe, firman esta resolución. </w:t>
      </w:r>
      <w:r>
        <w:rPr>
          <w:rFonts w:eastAsia="Arial Unicode MS" w:cs="Arial"/>
          <w:color w:val="2E74B5" w:themeColor="accent1" w:themeShade="BF"/>
          <w:sz w:val="24"/>
          <w:szCs w:val="24"/>
        </w:rPr>
        <w:t xml:space="preserve">   </w:t>
      </w:r>
    </w:p>
    <w:p w:rsidR="00AC5A70" w:rsidRDefault="00AC5A70" w:rsidP="00AC5A70">
      <w:pPr>
        <w:pStyle w:val="corte4fondo"/>
        <w:tabs>
          <w:tab w:val="left" w:pos="567"/>
        </w:tabs>
        <w:spacing w:line="276" w:lineRule="auto"/>
        <w:rPr>
          <w:rFonts w:cs="Arial"/>
          <w:color w:val="2E74B5" w:themeColor="accent1" w:themeShade="BF"/>
          <w:sz w:val="24"/>
          <w:szCs w:val="24"/>
        </w:rPr>
      </w:pPr>
    </w:p>
    <w:p w:rsidR="00AC5A70" w:rsidRDefault="00AC5A70" w:rsidP="00AC5A70">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tblPr>
      <w:tblGrid>
        <w:gridCol w:w="4552"/>
        <w:gridCol w:w="154"/>
        <w:gridCol w:w="180"/>
        <w:gridCol w:w="5014"/>
      </w:tblGrid>
      <w:tr w:rsidR="00AC5A70" w:rsidTr="00AC5A70">
        <w:trPr>
          <w:trHeight w:val="2654"/>
          <w:jc w:val="center"/>
        </w:trPr>
        <w:tc>
          <w:tcPr>
            <w:tcW w:w="4706" w:type="dxa"/>
            <w:gridSpan w:val="2"/>
          </w:tcPr>
          <w:p w:rsidR="00AC5A70" w:rsidRDefault="00AC5A70">
            <w:pPr>
              <w:spacing w:after="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COMISIONADA </w:t>
            </w: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tabs>
                <w:tab w:val="left" w:pos="1358"/>
              </w:tabs>
              <w:spacing w:after="0"/>
              <w:ind w:firstLine="36"/>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MARIAJOSÉ </w:t>
            </w:r>
          </w:p>
          <w:p w:rsidR="00AC5A70" w:rsidRDefault="00AC5A70">
            <w:pPr>
              <w:spacing w:after="0"/>
              <w:ind w:left="360" w:firstLine="36"/>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GONZÁLEZ ZARZOSA </w:t>
            </w: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w:t>
            </w:r>
          </w:p>
          <w:p w:rsidR="00AC5A70" w:rsidRDefault="00AC5A70">
            <w:pPr>
              <w:spacing w:after="0"/>
              <w:rPr>
                <w:rFonts w:ascii="Arial" w:eastAsia="Arial Unicode MS" w:hAnsi="Arial" w:cs="Arial"/>
                <w:b/>
                <w:color w:val="2E74B5" w:themeColor="accent1" w:themeShade="BF"/>
                <w:sz w:val="24"/>
                <w:szCs w:val="24"/>
              </w:rPr>
            </w:pPr>
          </w:p>
        </w:tc>
        <w:tc>
          <w:tcPr>
            <w:tcW w:w="5194" w:type="dxa"/>
            <w:gridSpan w:val="2"/>
          </w:tcPr>
          <w:p w:rsidR="00AC5A70" w:rsidRDefault="00AC5A70">
            <w:pPr>
              <w:spacing w:after="0"/>
              <w:ind w:left="360" w:firstLine="708"/>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COMISIONADO </w:t>
            </w: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MTRO. ALEJANDRO </w:t>
            </w:r>
          </w:p>
          <w:p w:rsidR="00AC5A70" w:rsidRDefault="00AC5A70">
            <w:pPr>
              <w:pStyle w:val="corte4fondo"/>
              <w:tabs>
                <w:tab w:val="left" w:pos="567"/>
              </w:tabs>
              <w:spacing w:line="276" w:lineRule="auto"/>
              <w:ind w:firstLine="0"/>
              <w:rPr>
                <w:rFonts w:cs="Arial"/>
                <w:i/>
                <w:color w:val="2E74B5" w:themeColor="accent1" w:themeShade="BF"/>
                <w:sz w:val="10"/>
                <w:szCs w:val="10"/>
                <w:lang w:eastAsia="en-US"/>
              </w:rPr>
            </w:pPr>
            <w:r>
              <w:rPr>
                <w:rFonts w:eastAsia="Arial Unicode MS" w:cs="Arial"/>
                <w:b/>
                <w:color w:val="2E74B5" w:themeColor="accent1" w:themeShade="BF"/>
                <w:sz w:val="24"/>
                <w:szCs w:val="24"/>
                <w:lang w:eastAsia="en-US"/>
              </w:rPr>
              <w:t xml:space="preserve">                    LAFUENTE TORRES</w:t>
            </w: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pStyle w:val="corte4fondo"/>
              <w:tabs>
                <w:tab w:val="left" w:pos="567"/>
              </w:tabs>
              <w:spacing w:line="276" w:lineRule="auto"/>
              <w:ind w:firstLine="0"/>
              <w:rPr>
                <w:rFonts w:eastAsia="Arial Unicode MS" w:cs="Arial"/>
                <w:b/>
                <w:color w:val="2E74B5" w:themeColor="accent1" w:themeShade="BF"/>
                <w:sz w:val="24"/>
                <w:szCs w:val="24"/>
                <w:lang w:eastAsia="en-US"/>
              </w:rPr>
            </w:pPr>
          </w:p>
        </w:tc>
      </w:tr>
      <w:tr w:rsidR="00AC5A70" w:rsidTr="00AC5A70">
        <w:trPr>
          <w:trHeight w:val="2085"/>
          <w:jc w:val="center"/>
        </w:trPr>
        <w:tc>
          <w:tcPr>
            <w:tcW w:w="4552" w:type="dxa"/>
          </w:tcPr>
          <w:p w:rsidR="00AC5A70" w:rsidRDefault="00AC5A70">
            <w:pPr>
              <w:spacing w:after="0"/>
              <w:ind w:left="360" w:hanging="36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COMISIONADA PRESIDENTE</w:t>
            </w:r>
          </w:p>
          <w:p w:rsidR="00AC5A70" w:rsidRDefault="00AC5A70">
            <w:pPr>
              <w:spacing w:after="0"/>
              <w:ind w:left="360"/>
              <w:rPr>
                <w:rFonts w:ascii="Arial" w:eastAsia="Arial Unicode MS" w:hAnsi="Arial" w:cs="Arial"/>
                <w:b/>
                <w:color w:val="2E74B5" w:themeColor="accent1" w:themeShade="BF"/>
                <w:sz w:val="24"/>
                <w:szCs w:val="24"/>
              </w:rPr>
            </w:pPr>
          </w:p>
          <w:p w:rsidR="00AC5A70" w:rsidRDefault="00AC5A70">
            <w:pPr>
              <w:spacing w:after="0"/>
              <w:ind w:left="360"/>
              <w:rPr>
                <w:rFonts w:ascii="Arial" w:eastAsia="Arial Unicode MS" w:hAnsi="Arial" w:cs="Arial"/>
                <w:b/>
                <w:color w:val="2E74B5" w:themeColor="accent1" w:themeShade="BF"/>
                <w:sz w:val="24"/>
                <w:szCs w:val="24"/>
              </w:rPr>
            </w:pPr>
          </w:p>
          <w:p w:rsidR="00AC5A70" w:rsidRDefault="00AC5A70">
            <w:pPr>
              <w:spacing w:after="0"/>
              <w:ind w:left="360"/>
              <w:rPr>
                <w:rFonts w:ascii="Arial" w:eastAsia="Arial Unicode MS" w:hAnsi="Arial" w:cs="Arial"/>
                <w:b/>
                <w:color w:val="2E74B5" w:themeColor="accent1" w:themeShade="BF"/>
                <w:sz w:val="24"/>
                <w:szCs w:val="24"/>
              </w:rPr>
            </w:pPr>
          </w:p>
          <w:p w:rsidR="00AC5A70" w:rsidRDefault="00AC5A70">
            <w:pPr>
              <w:spacing w:after="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LIC. PAULINA SÁNCHEZ </w:t>
            </w:r>
          </w:p>
          <w:p w:rsidR="00AC5A70" w:rsidRDefault="00AC5A70">
            <w:pPr>
              <w:spacing w:after="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PÉREZ DEL POZO</w:t>
            </w:r>
          </w:p>
          <w:p w:rsidR="00AC5A70" w:rsidRDefault="00AC5A70">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AC5A70" w:rsidRDefault="00AC5A70">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AC5A70" w:rsidRDefault="00AC5A70">
            <w:pPr>
              <w:spacing w:after="0"/>
              <w:ind w:left="360" w:firstLine="708"/>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SECRETARIA DE PLENO</w:t>
            </w: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ind w:left="360" w:firstLine="708"/>
              <w:jc w:val="center"/>
              <w:rPr>
                <w:rFonts w:ascii="Arial" w:eastAsia="Arial Unicode MS" w:hAnsi="Arial" w:cs="Arial"/>
                <w:b/>
                <w:color w:val="2E74B5" w:themeColor="accent1" w:themeShade="BF"/>
                <w:sz w:val="24"/>
                <w:szCs w:val="24"/>
              </w:rPr>
            </w:pPr>
          </w:p>
          <w:p w:rsidR="00AC5A70" w:rsidRDefault="00AC5A70">
            <w:pPr>
              <w:spacing w:after="0"/>
              <w:ind w:left="360" w:hanging="36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LIC. ROSA MARÍA MOTILLA GARCÍA </w:t>
            </w:r>
          </w:p>
        </w:tc>
      </w:tr>
    </w:tbl>
    <w:p w:rsidR="00AC5A70" w:rsidRDefault="00AC5A70" w:rsidP="00AC5A70">
      <w:pPr>
        <w:pStyle w:val="corte4fondo"/>
        <w:tabs>
          <w:tab w:val="left" w:pos="567"/>
        </w:tabs>
        <w:spacing w:line="276" w:lineRule="auto"/>
        <w:ind w:firstLine="0"/>
        <w:rPr>
          <w:rFonts w:cs="Arial"/>
          <w:color w:val="2E74B5" w:themeColor="accent1" w:themeShade="BF"/>
          <w:sz w:val="12"/>
          <w:szCs w:val="12"/>
        </w:rPr>
      </w:pPr>
      <w:r>
        <w:rPr>
          <w:rFonts w:cs="Arial"/>
          <w:color w:val="2E74B5" w:themeColor="accent1" w:themeShade="BF"/>
          <w:sz w:val="12"/>
          <w:szCs w:val="12"/>
        </w:rPr>
        <w:t>*ESTAS FIRMAS PERTENECEN A LA RESOLUCIÓN DE LA REVISIÓN 839/2019-2 QUE FUE INTERPUESTO CONTRA EL PARTIDO MOVIMIENTO DE REGENERACIÓN NACIONAL , Y QUE FUE APROBADA EN LA SESIÓN ORDINARIA DE 05 CINCO DE AGOSTO DE 2019 DOS MIL DIECI</w:t>
      </w:r>
      <w:r w:rsidR="003F009A">
        <w:rPr>
          <w:rFonts w:cs="Arial"/>
          <w:color w:val="2E74B5" w:themeColor="accent1" w:themeShade="BF"/>
          <w:sz w:val="12"/>
          <w:szCs w:val="12"/>
        </w:rPr>
        <w:t>N</w:t>
      </w:r>
      <w:r>
        <w:rPr>
          <w:rFonts w:cs="Arial"/>
          <w:color w:val="2E74B5" w:themeColor="accent1" w:themeShade="BF"/>
          <w:sz w:val="12"/>
          <w:szCs w:val="12"/>
        </w:rPr>
        <w:t xml:space="preserve">UEVE.             </w:t>
      </w:r>
    </w:p>
    <w:p w:rsidR="00AC5A70" w:rsidRDefault="00AC5A70" w:rsidP="00AC5A70">
      <w:pPr>
        <w:pStyle w:val="corte4fondo"/>
        <w:tabs>
          <w:tab w:val="left" w:pos="567"/>
        </w:tabs>
        <w:spacing w:line="276" w:lineRule="auto"/>
        <w:ind w:firstLine="0"/>
        <w:rPr>
          <w:rFonts w:cs="Arial"/>
          <w:color w:val="2E74B5" w:themeColor="accent1" w:themeShade="BF"/>
          <w:sz w:val="12"/>
          <w:szCs w:val="12"/>
        </w:rPr>
      </w:pPr>
    </w:p>
    <w:p w:rsidR="00AC5A70" w:rsidRPr="00C46826" w:rsidRDefault="00AC5A70" w:rsidP="00AC5A70">
      <w:pPr>
        <w:pStyle w:val="corte4fondo"/>
        <w:tabs>
          <w:tab w:val="left" w:pos="567"/>
        </w:tabs>
        <w:spacing w:line="276" w:lineRule="auto"/>
        <w:ind w:firstLine="0"/>
        <w:rPr>
          <w:color w:val="2E74B5" w:themeColor="accent1" w:themeShade="BF"/>
          <w:sz w:val="28"/>
        </w:rPr>
      </w:pPr>
      <w:r w:rsidRPr="00C46826">
        <w:rPr>
          <w:rFonts w:cs="Arial"/>
          <w:color w:val="2E74B5" w:themeColor="accent1" w:themeShade="BF"/>
          <w:sz w:val="10"/>
          <w:szCs w:val="12"/>
        </w:rPr>
        <w:t>*ECMG</w:t>
      </w:r>
    </w:p>
    <w:p w:rsidR="00AC5A70" w:rsidRDefault="00AC5A70" w:rsidP="00AC5A70">
      <w:pPr>
        <w:pStyle w:val="corte4fondo"/>
        <w:tabs>
          <w:tab w:val="left" w:pos="708"/>
          <w:tab w:val="left" w:pos="1416"/>
          <w:tab w:val="left" w:pos="2124"/>
          <w:tab w:val="left" w:pos="5414"/>
        </w:tabs>
        <w:spacing w:line="276" w:lineRule="auto"/>
        <w:ind w:firstLine="0"/>
      </w:pPr>
    </w:p>
    <w:p w:rsidR="00995B21" w:rsidRDefault="00995B21" w:rsidP="00AC5A70">
      <w:pPr>
        <w:pStyle w:val="corte4fondo"/>
        <w:tabs>
          <w:tab w:val="left" w:pos="708"/>
          <w:tab w:val="left" w:pos="1416"/>
          <w:tab w:val="left" w:pos="2124"/>
          <w:tab w:val="left" w:pos="5414"/>
        </w:tabs>
        <w:spacing w:line="276" w:lineRule="auto"/>
        <w:ind w:firstLine="0"/>
      </w:pPr>
    </w:p>
    <w:sectPr w:rsidR="00995B21" w:rsidSect="002A4267">
      <w:headerReference w:type="default" r:id="rId14"/>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606" w:rsidRDefault="00B15606" w:rsidP="006C043F">
      <w:pPr>
        <w:spacing w:after="0" w:line="240" w:lineRule="auto"/>
      </w:pPr>
      <w:r>
        <w:separator/>
      </w:r>
    </w:p>
  </w:endnote>
  <w:endnote w:type="continuationSeparator" w:id="0">
    <w:p w:rsidR="00B15606" w:rsidRDefault="00B15606" w:rsidP="006C04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606" w:rsidRDefault="00B15606" w:rsidP="006C043F">
      <w:pPr>
        <w:spacing w:after="0" w:line="240" w:lineRule="auto"/>
      </w:pPr>
      <w:r>
        <w:separator/>
      </w:r>
    </w:p>
  </w:footnote>
  <w:footnote w:type="continuationSeparator" w:id="0">
    <w:p w:rsidR="00B15606" w:rsidRDefault="00B15606" w:rsidP="006C043F">
      <w:pPr>
        <w:spacing w:after="0" w:line="240" w:lineRule="auto"/>
      </w:pPr>
      <w:r>
        <w:continuationSeparator/>
      </w:r>
    </w:p>
  </w:footnote>
  <w:footnote w:id="1">
    <w:p w:rsidR="006C043F" w:rsidRPr="007A13FD" w:rsidRDefault="006C043F" w:rsidP="006C043F">
      <w:pPr>
        <w:pStyle w:val="Textonotapie"/>
        <w:spacing w:after="0"/>
        <w:jc w:val="both"/>
        <w:rPr>
          <w:rFonts w:ascii="Arial" w:hAnsi="Arial" w:cs="Arial"/>
          <w:color w:val="2E74B5" w:themeColor="accent1" w:themeShade="BF"/>
          <w:sz w:val="16"/>
          <w:szCs w:val="16"/>
        </w:rPr>
      </w:pPr>
      <w:r w:rsidRPr="007A13FD">
        <w:rPr>
          <w:rStyle w:val="Refdenotaalpie"/>
          <w:rFonts w:cs="Arial"/>
          <w:color w:val="2E74B5" w:themeColor="accent1" w:themeShade="BF"/>
          <w:sz w:val="16"/>
          <w:szCs w:val="16"/>
        </w:rPr>
        <w:footnoteRef/>
      </w:r>
      <w:r>
        <w:rPr>
          <w:rFonts w:ascii="Arial" w:hAnsi="Arial" w:cs="Arial"/>
          <w:color w:val="2E74B5" w:themeColor="accent1" w:themeShade="BF"/>
          <w:sz w:val="16"/>
          <w:szCs w:val="16"/>
        </w:rPr>
        <w:t xml:space="preserve"> Visible a foja</w:t>
      </w:r>
      <w:r w:rsidR="00BB4BC0">
        <w:rPr>
          <w:rFonts w:ascii="Arial" w:hAnsi="Arial" w:cs="Arial"/>
          <w:color w:val="2E74B5" w:themeColor="accent1" w:themeShade="BF"/>
          <w:sz w:val="16"/>
          <w:szCs w:val="16"/>
        </w:rPr>
        <w:t xml:space="preserve"> </w:t>
      </w:r>
      <w:r w:rsidR="006C7F58">
        <w:rPr>
          <w:rFonts w:ascii="Arial" w:hAnsi="Arial" w:cs="Arial"/>
          <w:color w:val="2E74B5" w:themeColor="accent1" w:themeShade="BF"/>
          <w:sz w:val="16"/>
          <w:szCs w:val="16"/>
        </w:rPr>
        <w:t>4</w:t>
      </w:r>
      <w:r>
        <w:rPr>
          <w:rFonts w:ascii="Arial" w:hAnsi="Arial" w:cs="Arial"/>
          <w:color w:val="2E74B5" w:themeColor="accent1" w:themeShade="BF"/>
          <w:sz w:val="16"/>
          <w:szCs w:val="16"/>
        </w:rPr>
        <w:t xml:space="preserve"> </w:t>
      </w:r>
      <w:r w:rsidRPr="007A13FD">
        <w:rPr>
          <w:rFonts w:ascii="Arial" w:hAnsi="Arial" w:cs="Arial"/>
          <w:color w:val="2E74B5" w:themeColor="accent1" w:themeShade="BF"/>
          <w:sz w:val="16"/>
          <w:szCs w:val="16"/>
        </w:rPr>
        <w:t xml:space="preserve">de autos. </w:t>
      </w:r>
    </w:p>
  </w:footnote>
  <w:footnote w:id="2">
    <w:p w:rsidR="006C043F" w:rsidRPr="00074E09" w:rsidRDefault="006C043F" w:rsidP="006C043F">
      <w:pPr>
        <w:pStyle w:val="Textonotapie"/>
        <w:spacing w:after="0"/>
        <w:rPr>
          <w:color w:val="FF0000"/>
        </w:rPr>
      </w:pPr>
      <w:r w:rsidRPr="00C77098">
        <w:rPr>
          <w:rStyle w:val="Refdenotaalpie"/>
          <w:color w:val="2E74B5" w:themeColor="accent1" w:themeShade="BF"/>
        </w:rPr>
        <w:footnoteRef/>
      </w:r>
      <w:r w:rsidRPr="00C77098">
        <w:rPr>
          <w:color w:val="2E74B5" w:themeColor="accent1" w:themeShade="BF"/>
        </w:rPr>
        <w:t xml:space="preserve"> </w:t>
      </w:r>
      <w:r w:rsidRPr="00C77098">
        <w:rPr>
          <w:rFonts w:ascii="Arial" w:hAnsi="Arial" w:cs="Arial"/>
          <w:color w:val="2E74B5" w:themeColor="accent1" w:themeShade="BF"/>
          <w:sz w:val="16"/>
          <w:szCs w:val="16"/>
        </w:rPr>
        <w:t xml:space="preserve">Visible </w:t>
      </w:r>
      <w:r w:rsidR="00BE5684">
        <w:rPr>
          <w:rFonts w:ascii="Arial" w:hAnsi="Arial" w:cs="Arial"/>
          <w:color w:val="2E74B5" w:themeColor="accent1" w:themeShade="BF"/>
          <w:sz w:val="16"/>
          <w:szCs w:val="16"/>
        </w:rPr>
        <w:t xml:space="preserve">a </w:t>
      </w:r>
      <w:r w:rsidRPr="00C77098">
        <w:rPr>
          <w:rFonts w:ascii="Arial" w:hAnsi="Arial" w:cs="Arial"/>
          <w:color w:val="2E74B5" w:themeColor="accent1" w:themeShade="BF"/>
          <w:sz w:val="16"/>
          <w:szCs w:val="16"/>
        </w:rPr>
        <w:t xml:space="preserve"> </w:t>
      </w:r>
      <w:r w:rsidRPr="00C77098">
        <w:rPr>
          <w:rFonts w:ascii="Arial" w:hAnsi="Arial" w:cs="Arial"/>
          <w:color w:val="2E74B5" w:themeColor="accent1" w:themeShade="BF"/>
          <w:sz w:val="16"/>
          <w:szCs w:val="16"/>
        </w:rPr>
        <w:t>foja</w:t>
      </w:r>
      <w:r w:rsidR="00BE5684">
        <w:rPr>
          <w:rFonts w:ascii="Arial" w:hAnsi="Arial" w:cs="Arial"/>
          <w:color w:val="2E74B5" w:themeColor="accent1" w:themeShade="BF"/>
          <w:sz w:val="16"/>
          <w:szCs w:val="16"/>
        </w:rPr>
        <w:t>s</w:t>
      </w:r>
      <w:r w:rsidR="006C7F58">
        <w:rPr>
          <w:rFonts w:ascii="Arial" w:hAnsi="Arial" w:cs="Arial"/>
          <w:color w:val="2E74B5" w:themeColor="accent1" w:themeShade="BF"/>
          <w:sz w:val="16"/>
          <w:szCs w:val="16"/>
        </w:rPr>
        <w:t xml:space="preserve"> </w:t>
      </w:r>
      <w:r w:rsidR="001D2F80">
        <w:rPr>
          <w:rFonts w:ascii="Arial" w:hAnsi="Arial" w:cs="Arial"/>
          <w:color w:val="2E74B5" w:themeColor="accent1" w:themeShade="BF"/>
          <w:sz w:val="16"/>
          <w:szCs w:val="16"/>
        </w:rPr>
        <w:t>6</w:t>
      </w:r>
      <w:r w:rsidR="009A51D0">
        <w:rPr>
          <w:rFonts w:ascii="Arial" w:hAnsi="Arial" w:cs="Arial"/>
          <w:color w:val="2E74B5" w:themeColor="accent1" w:themeShade="BF"/>
          <w:sz w:val="16"/>
          <w:szCs w:val="16"/>
        </w:rPr>
        <w:t xml:space="preserve"> </w:t>
      </w:r>
      <w:r w:rsidR="001D2F80">
        <w:rPr>
          <w:rFonts w:ascii="Arial" w:hAnsi="Arial" w:cs="Arial"/>
          <w:color w:val="2E74B5" w:themeColor="accent1" w:themeShade="BF"/>
          <w:sz w:val="16"/>
          <w:szCs w:val="16"/>
        </w:rPr>
        <w:t xml:space="preserve">y 7 </w:t>
      </w:r>
      <w:r w:rsidRPr="00C77098">
        <w:rPr>
          <w:rFonts w:ascii="Arial" w:hAnsi="Arial" w:cs="Arial"/>
          <w:color w:val="2E74B5" w:themeColor="accent1" w:themeShade="BF"/>
          <w:sz w:val="16"/>
          <w:szCs w:val="16"/>
        </w:rPr>
        <w:t>de autos.</w:t>
      </w:r>
      <w:r w:rsidRPr="00A2402C">
        <w:rPr>
          <w:rFonts w:ascii="Arial" w:hAnsi="Arial" w:cs="Arial"/>
          <w:color w:val="2E74B5" w:themeColor="accent1" w:themeShade="BF"/>
          <w:sz w:val="16"/>
          <w:szCs w:val="16"/>
        </w:rPr>
        <w:t xml:space="preserve"> </w:t>
      </w:r>
    </w:p>
  </w:footnote>
  <w:footnote w:id="3">
    <w:p w:rsidR="00AC5A70" w:rsidRDefault="00AC5A70" w:rsidP="00AC5A70">
      <w:pPr>
        <w:pStyle w:val="Textonotapie"/>
        <w:rPr>
          <w:color w:val="2E74B5" w:themeColor="accent1" w:themeShade="BF"/>
        </w:rPr>
      </w:pPr>
      <w:r>
        <w:rPr>
          <w:rStyle w:val="Refdenotaalpie"/>
          <w:color w:val="2E74B5" w:themeColor="accent1" w:themeShade="BF"/>
        </w:rPr>
        <w:footnoteRef/>
      </w:r>
      <w:r>
        <w:rPr>
          <w:color w:val="2E74B5" w:themeColor="accent1" w:themeShade="BF"/>
        </w:rPr>
        <w:t xml:space="preserve"> </w:t>
      </w:r>
      <w:r>
        <w:rPr>
          <w:rFonts w:ascii="Arial" w:hAnsi="Arial" w:cs="Arial"/>
          <w:color w:val="2E74B5" w:themeColor="accent1" w:themeShade="BF"/>
          <w:sz w:val="16"/>
          <w:szCs w:val="16"/>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rsidR="00AC5A70" w:rsidRDefault="00AC5A70" w:rsidP="00AC5A70">
      <w:pPr>
        <w:jc w:val="both"/>
        <w:rPr>
          <w:rFonts w:ascii="Arial" w:hAnsi="Arial" w:cs="Arial"/>
          <w:color w:val="2E74B5" w:themeColor="accent1" w:themeShade="BF"/>
          <w:sz w:val="14"/>
          <w:szCs w:val="14"/>
        </w:rPr>
      </w:pPr>
      <w:r>
        <w:rPr>
          <w:rStyle w:val="Refdenotaalpie"/>
          <w:rFonts w:ascii="Arial" w:hAnsi="Arial" w:cs="Arial"/>
          <w:b/>
          <w:color w:val="5B9BD5" w:themeColor="accent1"/>
          <w:sz w:val="16"/>
          <w:szCs w:val="16"/>
        </w:rPr>
        <w:footnoteRef/>
      </w:r>
      <w:r>
        <w:rPr>
          <w:rFonts w:ascii="Arial" w:hAnsi="Arial" w:cs="Arial"/>
          <w:color w:val="2E74B5" w:themeColor="accent1" w:themeShade="BF"/>
          <w:sz w:val="14"/>
          <w:szCs w:val="14"/>
        </w:rPr>
        <w:t>Jurisprudencia número I.4o.A. J/43, visible en la Novena Época, de la Gaceta del Semanario Judicial de la Federación, mayo de 2006, p. 1531. Instancia: Tribunales Colegiados de Circuito, con Registro electrónico: 175082.</w:t>
      </w:r>
    </w:p>
  </w:footnote>
  <w:footnote w:id="5">
    <w:p w:rsidR="00AC5A70" w:rsidRDefault="00AC5A70" w:rsidP="00AC5A70">
      <w:pPr>
        <w:pStyle w:val="Textonotapie"/>
        <w:jc w:val="both"/>
        <w:rPr>
          <w:rFonts w:ascii="Arial" w:hAnsi="Arial" w:cs="Arial"/>
          <w:color w:val="2E74B5" w:themeColor="accent1" w:themeShade="BF"/>
          <w:sz w:val="14"/>
          <w:szCs w:val="1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18.</w:t>
      </w:r>
      <w:r>
        <w:rPr>
          <w:rFonts w:ascii="Arial" w:hAnsi="Arial" w:cs="Arial"/>
          <w:color w:val="2E74B5" w:themeColor="accent1" w:themeShade="BF"/>
          <w:sz w:val="14"/>
          <w:szCs w:val="14"/>
        </w:rPr>
        <w:t xml:space="preserve"> Los sujetos obligados deberán documentar todo acto que derive del ejercicio de sus facultades, competencias o funciones.</w:t>
      </w:r>
    </w:p>
  </w:footnote>
  <w:footnote w:id="6">
    <w:p w:rsidR="00AC5A70" w:rsidRDefault="00AC5A70" w:rsidP="00AC5A70">
      <w:pPr>
        <w:pStyle w:val="Textonotapie"/>
        <w:jc w:val="both"/>
        <w:rPr>
          <w:rFonts w:ascii="Arial" w:hAnsi="Arial" w:cs="Arial"/>
          <w:color w:val="2E74B5" w:themeColor="accent1" w:themeShade="BF"/>
          <w:sz w:val="14"/>
          <w:szCs w:val="1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19.</w:t>
      </w:r>
      <w:r>
        <w:rPr>
          <w:rFonts w:ascii="Arial" w:hAnsi="Arial" w:cs="Arial"/>
          <w:color w:val="2E74B5" w:themeColor="accent1" w:themeShade="BF"/>
          <w:sz w:val="14"/>
          <w:szCs w:val="14"/>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7">
    <w:p w:rsidR="00AC5A70" w:rsidRDefault="00AC5A70" w:rsidP="00AC5A70">
      <w:pPr>
        <w:pStyle w:val="Textonotapie"/>
        <w:jc w:val="both"/>
        <w:rPr>
          <w:rFonts w:ascii="Arial" w:hAnsi="Arial" w:cs="Arial"/>
          <w:color w:val="2E74B5" w:themeColor="accent1" w:themeShade="BF"/>
          <w:sz w:val="14"/>
          <w:szCs w:val="1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20.</w:t>
      </w:r>
      <w:r>
        <w:rPr>
          <w:rFonts w:ascii="Arial" w:hAnsi="Arial" w:cs="Arial"/>
          <w:color w:val="2E74B5" w:themeColor="accent1" w:themeShade="BF"/>
          <w:sz w:val="14"/>
          <w:szCs w:val="14"/>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8">
    <w:p w:rsidR="00AC5A70" w:rsidRDefault="00AC5A70" w:rsidP="00AC5A70">
      <w:pPr>
        <w:jc w:val="both"/>
        <w:rPr>
          <w:rFonts w:ascii="Arial" w:hAnsi="Arial" w:cs="Arial"/>
          <w:sz w:val="2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10.</w:t>
      </w:r>
      <w:r>
        <w:rPr>
          <w:rFonts w:ascii="Arial" w:hAnsi="Arial" w:cs="Arial"/>
          <w:color w:val="2E74B5" w:themeColor="accent1" w:themeShade="BF"/>
          <w:sz w:val="14"/>
          <w:szCs w:val="14"/>
        </w:rPr>
        <w:t xml:space="preserve"> Todos los documentos sin importar su formato; que sean producidos o recibidos por los sujetos obligados deberán tener una correcta administración archivística, con la finalidad de cumplir y sustentar las funciones de las instituciones, optimizar los trámites, la gestión de asuntos, el acceso a la información pública, la rendición de cuentas, así como representar una fuente indispensable para la investigación.</w:t>
      </w:r>
    </w:p>
  </w:footnote>
  <w:footnote w:id="9">
    <w:p w:rsidR="00AC5A70" w:rsidRDefault="00AC5A70" w:rsidP="00AC5A70">
      <w:pPr>
        <w:pStyle w:val="Textonotapie"/>
        <w:jc w:val="both"/>
        <w:rPr>
          <w:rFonts w:ascii="Arial" w:hAnsi="Arial" w:cs="Arial"/>
          <w:color w:val="2E74B5" w:themeColor="accent1" w:themeShade="BF"/>
          <w:sz w:val="14"/>
          <w:szCs w:val="14"/>
        </w:rPr>
      </w:pPr>
      <w:r>
        <w:rPr>
          <w:rStyle w:val="Refdenotaalpie"/>
          <w:rFonts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bCs/>
          <w:color w:val="2E74B5" w:themeColor="accent1" w:themeShade="BF"/>
          <w:sz w:val="14"/>
          <w:szCs w:val="14"/>
        </w:rPr>
        <w:t xml:space="preserve">ARTICULO 7. </w:t>
      </w:r>
      <w:r>
        <w:rPr>
          <w:rFonts w:ascii="Arial" w:hAnsi="Arial" w:cs="Arial"/>
          <w:color w:val="2E74B5" w:themeColor="accent1" w:themeShade="BF"/>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10">
    <w:p w:rsidR="00AC5A70" w:rsidRDefault="00AC5A70" w:rsidP="00AC5A70">
      <w:pPr>
        <w:pStyle w:val="corte4fondo"/>
        <w:tabs>
          <w:tab w:val="left" w:pos="567"/>
        </w:tabs>
        <w:spacing w:line="276" w:lineRule="auto"/>
        <w:ind w:firstLine="0"/>
        <w:rPr>
          <w:rFonts w:cs="Arial"/>
          <w:color w:val="2E74B5" w:themeColor="accent1" w:themeShade="BF"/>
          <w:sz w:val="14"/>
          <w:szCs w:val="14"/>
        </w:rPr>
      </w:pPr>
      <w:r>
        <w:rPr>
          <w:rStyle w:val="Refdenotaalpie"/>
          <w:rFonts w:eastAsia="Calibri"/>
          <w:color w:val="2E74B5" w:themeColor="accent1" w:themeShade="BF"/>
          <w:sz w:val="14"/>
          <w:szCs w:val="14"/>
        </w:rPr>
        <w:footnoteRef/>
      </w:r>
      <w:r>
        <w:rPr>
          <w:color w:val="2E74B5" w:themeColor="accent1" w:themeShade="BF"/>
          <w:sz w:val="14"/>
          <w:szCs w:val="14"/>
        </w:rPr>
        <w:t xml:space="preserve"> </w:t>
      </w:r>
      <w:r>
        <w:rPr>
          <w:rFonts w:cs="Arial"/>
          <w:color w:val="2E74B5" w:themeColor="accent1" w:themeShade="BF"/>
          <w:sz w:val="14"/>
          <w:szCs w:val="14"/>
        </w:rPr>
        <w:t>ARTÍCULO 165.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AC5A70" w:rsidRDefault="00AC5A70" w:rsidP="00AC5A70">
      <w:pPr>
        <w:pStyle w:val="corte4fondo"/>
        <w:tabs>
          <w:tab w:val="left" w:pos="567"/>
        </w:tabs>
        <w:spacing w:line="276" w:lineRule="auto"/>
        <w:ind w:firstLine="0"/>
        <w:rPr>
          <w:rFonts w:cs="Arial"/>
          <w:color w:val="2E74B5" w:themeColor="accent1" w:themeShade="BF"/>
          <w:sz w:val="16"/>
          <w:szCs w:val="16"/>
        </w:rPr>
      </w:pPr>
      <w:r>
        <w:rPr>
          <w:rFonts w:cs="Arial"/>
          <w:color w:val="2E74B5" w:themeColor="accent1" w:themeShade="BF"/>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145" w:rsidRPr="006C3A69" w:rsidRDefault="001D4393" w:rsidP="00DC2628">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004C3428" w:rsidRPr="00F23CCE">
      <w:rPr>
        <w:rFonts w:ascii="Arial" w:hAnsi="Arial" w:cs="Arial"/>
      </w:rPr>
      <w:fldChar w:fldCharType="begin"/>
    </w:r>
    <w:r w:rsidRPr="00F23CCE">
      <w:rPr>
        <w:rFonts w:ascii="Arial" w:hAnsi="Arial" w:cs="Arial"/>
      </w:rPr>
      <w:instrText xml:space="preserve"> PAGE   \* MERGEFORMAT </w:instrText>
    </w:r>
    <w:r w:rsidR="004C3428" w:rsidRPr="00F23CCE">
      <w:rPr>
        <w:rFonts w:ascii="Arial" w:hAnsi="Arial" w:cs="Arial"/>
      </w:rPr>
      <w:fldChar w:fldCharType="separate"/>
    </w:r>
    <w:r w:rsidR="00A53A95">
      <w:rPr>
        <w:rFonts w:ascii="Arial" w:hAnsi="Arial" w:cs="Arial"/>
        <w:noProof/>
      </w:rPr>
      <w:t>1</w:t>
    </w:r>
    <w:r w:rsidR="004C3428"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64145" w:rsidRPr="006C3A69" w:rsidRDefault="001D4393" w:rsidP="00DC2628">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sidR="00527392">
      <w:rPr>
        <w:rFonts w:ascii="Arial" w:hAnsi="Arial" w:cs="Arial"/>
        <w:color w:val="2E74B5" w:themeColor="accent1" w:themeShade="BF"/>
        <w:sz w:val="16"/>
        <w:szCs w:val="16"/>
      </w:rPr>
      <w:t>8</w:t>
    </w:r>
    <w:r w:rsidR="00EF3616">
      <w:rPr>
        <w:rFonts w:ascii="Arial" w:hAnsi="Arial" w:cs="Arial"/>
        <w:color w:val="2E74B5" w:themeColor="accent1" w:themeShade="BF"/>
        <w:sz w:val="16"/>
        <w:szCs w:val="16"/>
      </w:rPr>
      <w:t>39</w:t>
    </w:r>
    <w:r w:rsidRPr="006A7473">
      <w:rPr>
        <w:rFonts w:ascii="Arial" w:hAnsi="Arial" w:cs="Arial"/>
        <w:color w:val="2E74B5" w:themeColor="accent1" w:themeShade="BF"/>
        <w:sz w:val="16"/>
        <w:szCs w:val="16"/>
      </w:rPr>
      <w:t>/2019</w:t>
    </w:r>
    <w:r w:rsidRPr="006C3A69">
      <w:rPr>
        <w:rFonts w:ascii="Arial" w:hAnsi="Arial" w:cs="Arial"/>
        <w:color w:val="2E74B5" w:themeColor="accent1" w:themeShade="BF"/>
        <w:sz w:val="16"/>
        <w:szCs w:val="16"/>
      </w:rPr>
      <w:t xml:space="preserve">-2 </w:t>
    </w:r>
  </w:p>
  <w:p w:rsidR="00C64145" w:rsidRDefault="00A53A95">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31DE60E0"/>
    <w:multiLevelType w:val="hybridMultilevel"/>
    <w:tmpl w:val="73CA9E5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657807BC"/>
    <w:multiLevelType w:val="hybridMultilevel"/>
    <w:tmpl w:val="D93081B8"/>
    <w:lvl w:ilvl="0" w:tplc="080A0001">
      <w:start w:val="1"/>
      <w:numFmt w:val="bullet"/>
      <w:lvlText w:val=""/>
      <w:lvlJc w:val="left"/>
      <w:pPr>
        <w:ind w:left="72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6">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6"/>
  </w:num>
  <w:num w:numId="4">
    <w:abstractNumId w:val="0"/>
  </w:num>
  <w:num w:numId="5">
    <w:abstractNumId w:val="1"/>
  </w:num>
  <w:num w:numId="6">
    <w:abstractNumId w:val="3"/>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footnotePr>
    <w:footnote w:id="-1"/>
    <w:footnote w:id="0"/>
  </w:footnotePr>
  <w:endnotePr>
    <w:endnote w:id="-1"/>
    <w:endnote w:id="0"/>
  </w:endnotePr>
  <w:compat/>
  <w:rsids>
    <w:rsidRoot w:val="006C043F"/>
    <w:rsid w:val="00022A76"/>
    <w:rsid w:val="000541A8"/>
    <w:rsid w:val="00086A68"/>
    <w:rsid w:val="000C5C31"/>
    <w:rsid w:val="000E0869"/>
    <w:rsid w:val="000E3CB7"/>
    <w:rsid w:val="00175E14"/>
    <w:rsid w:val="001A28A1"/>
    <w:rsid w:val="001A338E"/>
    <w:rsid w:val="001C5BC9"/>
    <w:rsid w:val="001D2F80"/>
    <w:rsid w:val="001D4393"/>
    <w:rsid w:val="00224528"/>
    <w:rsid w:val="00237288"/>
    <w:rsid w:val="00241B7E"/>
    <w:rsid w:val="00241CAA"/>
    <w:rsid w:val="0024490A"/>
    <w:rsid w:val="00246EE2"/>
    <w:rsid w:val="00277EEB"/>
    <w:rsid w:val="00280FE1"/>
    <w:rsid w:val="00282FCC"/>
    <w:rsid w:val="002C6F10"/>
    <w:rsid w:val="002E1192"/>
    <w:rsid w:val="002F6FC4"/>
    <w:rsid w:val="00350868"/>
    <w:rsid w:val="003602D9"/>
    <w:rsid w:val="003829F6"/>
    <w:rsid w:val="00390A0B"/>
    <w:rsid w:val="003B32D5"/>
    <w:rsid w:val="003D1009"/>
    <w:rsid w:val="003F009A"/>
    <w:rsid w:val="003F4451"/>
    <w:rsid w:val="003F6E5A"/>
    <w:rsid w:val="0040650A"/>
    <w:rsid w:val="00422324"/>
    <w:rsid w:val="004233F4"/>
    <w:rsid w:val="00427E48"/>
    <w:rsid w:val="00433567"/>
    <w:rsid w:val="004518F9"/>
    <w:rsid w:val="00465EC0"/>
    <w:rsid w:val="004972D3"/>
    <w:rsid w:val="004C3428"/>
    <w:rsid w:val="004E0713"/>
    <w:rsid w:val="004E51AE"/>
    <w:rsid w:val="004E7641"/>
    <w:rsid w:val="004F706C"/>
    <w:rsid w:val="005138CF"/>
    <w:rsid w:val="00527392"/>
    <w:rsid w:val="00567503"/>
    <w:rsid w:val="00571DEF"/>
    <w:rsid w:val="005753E4"/>
    <w:rsid w:val="005755D0"/>
    <w:rsid w:val="00580B73"/>
    <w:rsid w:val="005A4C17"/>
    <w:rsid w:val="005B0368"/>
    <w:rsid w:val="005B3313"/>
    <w:rsid w:val="005D70AB"/>
    <w:rsid w:val="005E4E2A"/>
    <w:rsid w:val="005E6F7D"/>
    <w:rsid w:val="005F4B4F"/>
    <w:rsid w:val="00615B72"/>
    <w:rsid w:val="006535CB"/>
    <w:rsid w:val="00662B7F"/>
    <w:rsid w:val="00677FB7"/>
    <w:rsid w:val="00682921"/>
    <w:rsid w:val="006A7473"/>
    <w:rsid w:val="006C043F"/>
    <w:rsid w:val="006C301F"/>
    <w:rsid w:val="006C7F58"/>
    <w:rsid w:val="006E081D"/>
    <w:rsid w:val="00712576"/>
    <w:rsid w:val="00736429"/>
    <w:rsid w:val="00741537"/>
    <w:rsid w:val="00765FC8"/>
    <w:rsid w:val="00772434"/>
    <w:rsid w:val="007C75EF"/>
    <w:rsid w:val="007D62E5"/>
    <w:rsid w:val="007E7232"/>
    <w:rsid w:val="007F1096"/>
    <w:rsid w:val="00803097"/>
    <w:rsid w:val="0081086D"/>
    <w:rsid w:val="00823418"/>
    <w:rsid w:val="00824254"/>
    <w:rsid w:val="00826064"/>
    <w:rsid w:val="008335F8"/>
    <w:rsid w:val="008344E9"/>
    <w:rsid w:val="00863FD6"/>
    <w:rsid w:val="008778D1"/>
    <w:rsid w:val="008866E2"/>
    <w:rsid w:val="008E4ADB"/>
    <w:rsid w:val="008F6E3F"/>
    <w:rsid w:val="00905010"/>
    <w:rsid w:val="00940900"/>
    <w:rsid w:val="00955E83"/>
    <w:rsid w:val="00995B21"/>
    <w:rsid w:val="009A51D0"/>
    <w:rsid w:val="009C1DBE"/>
    <w:rsid w:val="009F3DC9"/>
    <w:rsid w:val="00A03C39"/>
    <w:rsid w:val="00A20543"/>
    <w:rsid w:val="00A2548B"/>
    <w:rsid w:val="00A53A95"/>
    <w:rsid w:val="00A6692A"/>
    <w:rsid w:val="00AC5A70"/>
    <w:rsid w:val="00AD28C4"/>
    <w:rsid w:val="00AE0CAC"/>
    <w:rsid w:val="00AF6E55"/>
    <w:rsid w:val="00B073FC"/>
    <w:rsid w:val="00B1132B"/>
    <w:rsid w:val="00B15606"/>
    <w:rsid w:val="00BB4BC0"/>
    <w:rsid w:val="00BC4A42"/>
    <w:rsid w:val="00BE5684"/>
    <w:rsid w:val="00C46826"/>
    <w:rsid w:val="00C47D73"/>
    <w:rsid w:val="00C77098"/>
    <w:rsid w:val="00CF15CC"/>
    <w:rsid w:val="00D53AE4"/>
    <w:rsid w:val="00D64762"/>
    <w:rsid w:val="00D7490A"/>
    <w:rsid w:val="00DE0093"/>
    <w:rsid w:val="00DF7F9A"/>
    <w:rsid w:val="00E001D8"/>
    <w:rsid w:val="00E12576"/>
    <w:rsid w:val="00E136EC"/>
    <w:rsid w:val="00E16B26"/>
    <w:rsid w:val="00E23779"/>
    <w:rsid w:val="00E96922"/>
    <w:rsid w:val="00EA0767"/>
    <w:rsid w:val="00EA1883"/>
    <w:rsid w:val="00EC3436"/>
    <w:rsid w:val="00EC7850"/>
    <w:rsid w:val="00EE4A6A"/>
    <w:rsid w:val="00EF3616"/>
    <w:rsid w:val="00F03336"/>
    <w:rsid w:val="00F36A77"/>
    <w:rsid w:val="00F4586B"/>
    <w:rsid w:val="00F61018"/>
    <w:rsid w:val="00F71EA2"/>
    <w:rsid w:val="00F72522"/>
    <w:rsid w:val="00FA0ABD"/>
    <w:rsid w:val="00FA1E8B"/>
    <w:rsid w:val="00FB127F"/>
    <w:rsid w:val="00FC64C6"/>
    <w:rsid w:val="00FE30C7"/>
    <w:rsid w:val="00FF0E3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43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6C043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6C043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6C043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6C043F"/>
    <w:rPr>
      <w:rFonts w:ascii="Arial" w:eastAsia="Times New Roman" w:hAnsi="Arial" w:cs="Times New Roman"/>
      <w:b/>
      <w:caps/>
      <w:sz w:val="30"/>
      <w:szCs w:val="20"/>
      <w:lang w:eastAsia="es-MX"/>
    </w:rPr>
  </w:style>
  <w:style w:type="character" w:customStyle="1" w:styleId="corte4fondoCar1">
    <w:name w:val="corte4 fondo Car1"/>
    <w:link w:val="corte4fondo"/>
    <w:rsid w:val="006C043F"/>
    <w:rPr>
      <w:rFonts w:ascii="Arial" w:eastAsia="Times New Roman" w:hAnsi="Arial" w:cs="Times New Roman"/>
      <w:sz w:val="30"/>
      <w:szCs w:val="20"/>
      <w:lang w:eastAsia="es-MX"/>
    </w:rPr>
  </w:style>
  <w:style w:type="character" w:customStyle="1" w:styleId="corte1datosCar">
    <w:name w:val="corte1 datos Car"/>
    <w:link w:val="corte1datos"/>
    <w:rsid w:val="006C043F"/>
    <w:rPr>
      <w:rFonts w:ascii="Arial" w:eastAsia="Times New Roman" w:hAnsi="Arial" w:cs="Times New Roman"/>
      <w:b/>
      <w:caps/>
      <w:sz w:val="30"/>
      <w:szCs w:val="20"/>
      <w:lang w:eastAsia="es-MX"/>
    </w:rPr>
  </w:style>
  <w:style w:type="paragraph" w:styleId="Encabezado">
    <w:name w:val="header"/>
    <w:basedOn w:val="Normal"/>
    <w:link w:val="EncabezadoCar"/>
    <w:unhideWhenUsed/>
    <w:rsid w:val="006C043F"/>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6C043F"/>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6C043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6C043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C043F"/>
    <w:rPr>
      <w:rFonts w:ascii="Calibri" w:eastAsia="Calibri" w:hAnsi="Calibri" w:cs="Times New Roman"/>
      <w:sz w:val="20"/>
      <w:szCs w:val="20"/>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C043F"/>
    <w:pPr>
      <w:ind w:left="720"/>
      <w:contextualSpacing/>
    </w:pPr>
  </w:style>
  <w:style w:type="paragraph" w:styleId="Ttulo">
    <w:name w:val="Title"/>
    <w:basedOn w:val="Normal"/>
    <w:next w:val="Normal"/>
    <w:link w:val="TtuloCar"/>
    <w:uiPriority w:val="10"/>
    <w:qFormat/>
    <w:rsid w:val="006C043F"/>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6C043F"/>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6C043F"/>
    <w:rPr>
      <w:rFonts w:ascii="Calibri" w:eastAsia="Calibri" w:hAnsi="Calibri" w:cs="Times New Roman"/>
    </w:rPr>
  </w:style>
  <w:style w:type="paragraph" w:customStyle="1" w:styleId="Default">
    <w:name w:val="Default"/>
    <w:uiPriority w:val="99"/>
    <w:rsid w:val="006C043F"/>
    <w:pPr>
      <w:autoSpaceDE w:val="0"/>
      <w:autoSpaceDN w:val="0"/>
      <w:adjustRightInd w:val="0"/>
      <w:spacing w:after="0" w:line="240" w:lineRule="auto"/>
    </w:pPr>
    <w:rPr>
      <w:rFonts w:ascii="Arial" w:eastAsia="Calibri" w:hAnsi="Arial" w:cs="Arial"/>
      <w:color w:val="000000"/>
      <w:sz w:val="24"/>
      <w:szCs w:val="24"/>
      <w:lang w:eastAsia="es-MX"/>
    </w:rPr>
  </w:style>
  <w:style w:type="paragraph" w:styleId="Piedepgina">
    <w:name w:val="footer"/>
    <w:basedOn w:val="Normal"/>
    <w:link w:val="PiedepginaCar"/>
    <w:uiPriority w:val="99"/>
    <w:unhideWhenUsed/>
    <w:rsid w:val="006C043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043F"/>
    <w:rPr>
      <w:rFonts w:ascii="Calibri" w:eastAsia="Calibri" w:hAnsi="Calibri" w:cs="Times New Roman"/>
    </w:rPr>
  </w:style>
  <w:style w:type="paragraph" w:styleId="NormalWeb">
    <w:name w:val="Normal (Web)"/>
    <w:basedOn w:val="Normal"/>
    <w:uiPriority w:val="99"/>
    <w:unhideWhenUsed/>
    <w:rsid w:val="003829F6"/>
    <w:pPr>
      <w:spacing w:before="100" w:beforeAutospacing="1" w:after="100" w:afterAutospacing="1" w:line="240" w:lineRule="auto"/>
    </w:pPr>
    <w:rPr>
      <w:rFonts w:ascii="Times New Roman" w:eastAsia="Times New Roman" w:hAnsi="Times New Roman"/>
      <w:sz w:val="24"/>
      <w:szCs w:val="24"/>
      <w:lang w:eastAsia="es-MX"/>
    </w:rPr>
  </w:style>
  <w:style w:type="paragraph" w:styleId="Textodeglobo">
    <w:name w:val="Balloon Text"/>
    <w:basedOn w:val="Normal"/>
    <w:link w:val="TextodegloboCar"/>
    <w:uiPriority w:val="99"/>
    <w:semiHidden/>
    <w:unhideWhenUsed/>
    <w:rsid w:val="00E001D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001D8"/>
    <w:rPr>
      <w:rFonts w:ascii="Tahoma" w:eastAsia="Calibri" w:hAnsi="Tahoma" w:cs="Tahoma"/>
      <w:sz w:val="16"/>
      <w:szCs w:val="16"/>
    </w:rPr>
  </w:style>
  <w:style w:type="paragraph" w:styleId="Textoindependiente">
    <w:name w:val="Body Text"/>
    <w:basedOn w:val="Normal"/>
    <w:link w:val="TextoindependienteCar"/>
    <w:uiPriority w:val="99"/>
    <w:semiHidden/>
    <w:unhideWhenUsed/>
    <w:rsid w:val="00AC5A70"/>
    <w:pPr>
      <w:spacing w:after="120"/>
    </w:pPr>
  </w:style>
  <w:style w:type="character" w:customStyle="1" w:styleId="TextoindependienteCar">
    <w:name w:val="Texto independiente Car"/>
    <w:basedOn w:val="Fuentedeprrafopredeter"/>
    <w:link w:val="Textoindependiente"/>
    <w:uiPriority w:val="99"/>
    <w:semiHidden/>
    <w:rsid w:val="00AC5A70"/>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semiHidden/>
    <w:unhideWhenUsed/>
    <w:rsid w:val="00AC5A70"/>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semiHidden/>
    <w:rsid w:val="00AC5A70"/>
    <w:rPr>
      <w:rFonts w:eastAsia="Times New Roman"/>
      <w:sz w:val="26"/>
      <w:szCs w:val="24"/>
      <w:lang w:val="es-ES" w:eastAsia="es-ES"/>
    </w:rPr>
  </w:style>
  <w:style w:type="paragraph" w:customStyle="1" w:styleId="xmsonormal">
    <w:name w:val="x_msonormal"/>
    <w:basedOn w:val="Normal"/>
    <w:uiPriority w:val="99"/>
    <w:rsid w:val="00AC5A70"/>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r="http://schemas.openxmlformats.org/officeDocument/2006/relationships" xmlns:w="http://schemas.openxmlformats.org/wordprocessingml/2006/main">
  <w:divs>
    <w:div w:id="47807863">
      <w:bodyDiv w:val="1"/>
      <w:marLeft w:val="0"/>
      <w:marRight w:val="0"/>
      <w:marTop w:val="0"/>
      <w:marBottom w:val="0"/>
      <w:divBdr>
        <w:top w:val="none" w:sz="0" w:space="0" w:color="auto"/>
        <w:left w:val="none" w:sz="0" w:space="0" w:color="auto"/>
        <w:bottom w:val="none" w:sz="0" w:space="0" w:color="auto"/>
        <w:right w:val="none" w:sz="0" w:space="0" w:color="auto"/>
      </w:divBdr>
    </w:div>
    <w:div w:id="890650079">
      <w:bodyDiv w:val="1"/>
      <w:marLeft w:val="0"/>
      <w:marRight w:val="0"/>
      <w:marTop w:val="0"/>
      <w:marBottom w:val="0"/>
      <w:divBdr>
        <w:top w:val="none" w:sz="0" w:space="0" w:color="auto"/>
        <w:left w:val="none" w:sz="0" w:space="0" w:color="auto"/>
        <w:bottom w:val="none" w:sz="0" w:space="0" w:color="auto"/>
        <w:right w:val="none" w:sz="0" w:space="0" w:color="auto"/>
      </w:divBdr>
    </w:div>
    <w:div w:id="150289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935AE-73D7-4C9A-B686-E3EDE416E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19</Pages>
  <Words>7454</Words>
  <Characters>40998</Characters>
  <Application>Microsoft Office Word</Application>
  <DocSecurity>0</DocSecurity>
  <Lines>341</Lines>
  <Paragraphs>96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ELI</cp:lastModifiedBy>
  <cp:revision>11</cp:revision>
  <dcterms:created xsi:type="dcterms:W3CDTF">2019-08-14T19:54:00Z</dcterms:created>
  <dcterms:modified xsi:type="dcterms:W3CDTF">2019-08-29T19:15:00Z</dcterms:modified>
</cp:coreProperties>
</file>