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
<Relationship Id="rId3" Type="http://schemas.openxmlformats.org/officeDocument/2006/relationships/extended-properties"  Target="docProps/app.xml"  />
<Relationship Id="rId2" Type="http://schemas.openxmlformats.org/package/2006/relationships/metadata/core-properties"  Target="docProps/core.xml"  />
<Relationship Id="rId1" Type="http://schemas.openxmlformats.org/officeDocument/2006/relationships/officeDocument"  Target="word/document.xml" 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365"/>
        <w:gridCol w:w="627"/>
        <w:gridCol w:w="567"/>
        <w:gridCol w:w="425"/>
        <w:gridCol w:w="1276"/>
        <w:gridCol w:w="2835"/>
        <w:gridCol w:w="1843"/>
        <w:gridCol w:w="709"/>
        <w:gridCol w:w="851"/>
        <w:gridCol w:w="283"/>
        <w:gridCol w:w="284"/>
        <w:gridCol w:w="851"/>
        <w:gridCol w:w="760"/>
        <w:gridCol w:w="2784"/>
      </w:tblGrid>
      <w:tr>
        <w:trPr>
          <w:trHeight w:hRule="exact" w:val="277.83"/>
        </w:trPr>
        <w:tc>
          <w:tcPr>
            <w:tcW w:w="1984.5" w:type="dxa"/>
            <w:gridSpan w:val="4"/>
            <w:tcBorders>
</w:tcBorders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1260000" cy="270000"/>
                  <wp:docPr id="1" name="1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1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60000" cy="27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12.7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Arial" w:hAnsi="Arial" w:cs="Arial"/>
                <w:b/>
                <w:color w:val="#000000"/>
                <w:sz w:val="24"/>
                <w:szCs w:val="24"/>
              </w:rPr>
              <w:t> MUNICIPIO DE TAMUÍN</w:t>
            </w:r>
          </w:p>
        </w:tc>
        <w:tc>
          <w:tcPr>
            <w:tcW w:w="283" w:type="dxa"/>
          </w:tcPr>
          <w:p/>
        </w:tc>
        <w:tc>
          <w:tcPr>
            <w:tcW w:w="284" w:type="dxa"/>
          </w:tcPr>
          <w:p/>
        </w:tc>
        <w:tc>
          <w:tcPr>
            <w:tcW w:w="851" w:type="dxa"/>
          </w:tcPr>
          <w:p/>
        </w:tc>
        <w:tc>
          <w:tcPr>
            <w:tcW w:w="760" w:type="dxa"/>
          </w:tcPr>
          <w:p/>
        </w:tc>
        <w:tc>
          <w:tcPr>
            <w:tcW w:w="2784" w:type="dxa"/>
          </w:tcPr>
          <w:p/>
        </w:tc>
      </w:tr>
      <w:tr>
        <w:trPr>
          <w:trHeight w:hRule="exact" w:val="263.13"/>
        </w:trPr>
        <w:tc>
          <w:tcPr>
            <w:tcW w:w="365" w:type="dxa"/>
          </w:tcPr>
          <w:p/>
        </w:tc>
        <w:tc>
          <w:tcPr>
            <w:tcW w:w="627" w:type="dxa"/>
          </w:tcPr>
          <w:p/>
        </w:tc>
        <w:tc>
          <w:tcPr>
            <w:tcW w:w="9072" w:type="dxa"/>
            <w:gridSpan w:val="9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#000000"/>
                <w:sz w:val="22"/>
                <w:szCs w:val="22"/>
              </w:rPr>
              <w:t> SAN LUIS POTOSI</w:t>
            </w:r>
          </w:p>
        </w:tc>
        <w:tc>
          <w:tcPr>
            <w:tcW w:w="851" w:type="dxa"/>
          </w:tcPr>
          <w:p/>
        </w:tc>
        <w:tc>
          <w:tcPr>
            <w:tcW w:w="760" w:type="dxa"/>
          </w:tcPr>
          <w:p/>
        </w:tc>
        <w:tc>
          <w:tcPr>
            <w:tcW w:w="2784" w:type="dxa"/>
          </w:tcPr>
          <w:p/>
        </w:tc>
      </w:tr>
      <w:tr>
        <w:trPr>
          <w:trHeight w:hRule="exact" w:val="263.13"/>
        </w:trPr>
        <w:tc>
          <w:tcPr>
            <w:tcW w:w="365" w:type="dxa"/>
          </w:tcPr>
          <w:p/>
        </w:tc>
        <w:tc>
          <w:tcPr>
            <w:tcW w:w="627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1276" w:type="dxa"/>
          </w:tcPr>
          <w:p/>
        </w:tc>
        <w:tc>
          <w:tcPr>
            <w:tcW w:w="2835" w:type="dxa"/>
          </w:tcPr>
          <w:p/>
        </w:tc>
        <w:tc>
          <w:tcPr>
            <w:tcW w:w="1843" w:type="dxa"/>
          </w:tcPr>
          <w:p/>
        </w:tc>
        <w:tc>
          <w:tcPr>
            <w:tcW w:w="709" w:type="dxa"/>
          </w:tcPr>
          <w:p/>
        </w:tc>
        <w:tc>
          <w:tcPr>
            <w:tcW w:w="851" w:type="dxa"/>
          </w:tcPr>
          <w:p/>
        </w:tc>
        <w:tc>
          <w:tcPr>
            <w:tcW w:w="283" w:type="dxa"/>
          </w:tcPr>
          <w:p/>
        </w:tc>
        <w:tc>
          <w:tcPr>
            <w:tcW w:w="284" w:type="dxa"/>
          </w:tcPr>
          <w:p/>
        </w:tc>
        <w:tc>
          <w:tcPr>
            <w:tcW w:w="851" w:type="dxa"/>
          </w:tcPr>
          <w:p/>
        </w:tc>
        <w:tc>
          <w:tcPr>
            <w:tcW w:w="760" w:type="dxa"/>
          </w:tcPr>
          <w:p/>
        </w:tc>
        <w:tc>
          <w:tcPr>
            <w:tcW w:w="2784" w:type="dxa"/>
          </w:tcPr>
          <w:p/>
        </w:tc>
      </w:tr>
      <w:tr>
        <w:trPr>
          <w:trHeight w:hRule="exact" w:val="263.13"/>
        </w:trPr>
        <w:tc>
          <w:tcPr>
            <w:tcW w:w="1559.25" w:type="dxa"/>
            <w:gridSpan w:val="3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Usr: SUPERVISOR</w:t>
            </w:r>
          </w:p>
        </w:tc>
        <w:tc>
          <w:tcPr>
            <w:tcW w:w="7938" w:type="dxa"/>
            <w:gridSpan w:val="6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566.9998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Fecha y</w:t>
            </w:r>
          </w:p>
        </w:tc>
        <w:tc>
          <w:tcPr>
            <w:tcW w:w="992.2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09:46 a. m.</w:t>
            </w:r>
          </w:p>
        </w:tc>
        <w:tc>
          <w:tcPr>
            <w:tcW w:w="760" w:type="dxa"/>
          </w:tcPr>
          <w:p/>
        </w:tc>
        <w:tc>
          <w:tcPr>
            <w:tcW w:w="2784" w:type="dxa"/>
          </w:tcPr>
          <w:p/>
        </w:tc>
      </w:tr>
      <w:tr>
        <w:trPr>
          <w:trHeight w:hRule="exact" w:val="826.875"/>
        </w:trPr>
        <w:tc>
          <w:tcPr>
            <w:tcW w:w="11674.53" w:type="dxa"/>
            <w:gridSpan w:val="13"/>
            <w:tcBorders>
              <w:top w:val="single" w:sz="8" w:space="0" w:color="#FFFFFF"/>
              <w:left w:val="single" w:sz="8" w:space="0" w:color="#FFFFFF"/>
              <w:bottom w:val="single" w:sz="8" w:space="0" w:color="#FFFFFF"/>
              <w:right w:val="single" w:sz="8" w:space="0" w:color="#FFFFFF"/>
            </w:tcBorders>
            <w:shd w:val="clear" w:color="#FFFFFF" w:fill="#D3D3D3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/>
        </w:tc>
        <w:tc>
          <w:tcPr>
            <w:tcW w:w="2784" w:type="dxa"/>
          </w:tcPr>
          <w:p/>
        </w:tc>
      </w:tr>
      <w:tr>
        <w:trPr>
          <w:trHeight w:hRule="exact" w:val="152.5861"/>
        </w:trPr>
        <w:tc>
          <w:tcPr>
            <w:tcW w:w="365" w:type="dxa"/>
          </w:tcPr>
          <w:p/>
        </w:tc>
        <w:tc>
          <w:tcPr>
            <w:tcW w:w="627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1276" w:type="dxa"/>
          </w:tcPr>
          <w:p/>
        </w:tc>
        <w:tc>
          <w:tcPr>
            <w:tcW w:w="2835" w:type="dxa"/>
          </w:tcPr>
          <w:p/>
        </w:tc>
        <w:tc>
          <w:tcPr>
            <w:tcW w:w="1843" w:type="dxa"/>
          </w:tcPr>
          <w:p/>
        </w:tc>
        <w:tc>
          <w:tcPr>
            <w:tcW w:w="709" w:type="dxa"/>
          </w:tcPr>
          <w:p/>
        </w:tc>
        <w:tc>
          <w:tcPr>
            <w:tcW w:w="851" w:type="dxa"/>
          </w:tcPr>
          <w:p/>
        </w:tc>
        <w:tc>
          <w:tcPr>
            <w:tcW w:w="283" w:type="dxa"/>
          </w:tcPr>
          <w:p/>
        </w:tc>
        <w:tc>
          <w:tcPr>
            <w:tcW w:w="284" w:type="dxa"/>
          </w:tcPr>
          <w:p/>
        </w:tc>
        <w:tc>
          <w:tcPr>
            <w:tcW w:w="851" w:type="dxa"/>
          </w:tcPr>
          <w:p/>
        </w:tc>
        <w:tc>
          <w:tcPr>
            <w:tcW w:w="760" w:type="dxa"/>
          </w:tcPr>
          <w:p/>
        </w:tc>
        <w:tc>
          <w:tcPr>
            <w:tcW w:w="2784" w:type="dxa"/>
          </w:tcPr>
          <w:p/>
        </w:tc>
      </w:tr>
      <w:tr>
        <w:trPr>
          <w:trHeight w:hRule="exact" w:val="194.4809"/>
        </w:trPr>
        <w:tc>
          <w:tcPr>
            <w:tcW w:w="365" w:type="dxa"/>
          </w:tcPr>
          <w:p/>
        </w:tc>
        <w:tc>
          <w:tcPr>
            <w:tcW w:w="5811.7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I. Ingresos Presupuestarios (I=1+2)</w:t>
            </w:r>
          </w:p>
        </w:tc>
        <w:tc>
          <w:tcPr>
            <w:tcW w:w="1842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$168,914,365.00</w:t>
            </w:r>
          </w:p>
        </w:tc>
        <w:tc>
          <w:tcPr>
            <w:tcW w:w="1842.7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$98,428,519.49</w:t>
            </w:r>
          </w:p>
        </w:tc>
        <w:tc>
          <w:tcPr>
            <w:tcW w:w="1842.7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$98,428,519.49</w:t>
            </w:r>
          </w:p>
        </w:tc>
        <w:tc>
          <w:tcPr>
            <w:tcW w:w="2784" w:type="dxa"/>
          </w:tcPr>
          <w:p/>
        </w:tc>
      </w:tr>
      <w:tr>
        <w:trPr>
          <w:trHeight w:hRule="exact" w:val="202.566"/>
        </w:trPr>
        <w:tc>
          <w:tcPr>
            <w:tcW w:w="365" w:type="dxa"/>
          </w:tcPr>
          <w:p/>
        </w:tc>
        <w:tc>
          <w:tcPr>
            <w:tcW w:w="5811.7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       1. Ingresos del Gobierno de la Entidad Federativa                                                            </w:t>
            </w:r>
          </w:p>
        </w:tc>
        <w:tc>
          <w:tcPr>
            <w:tcW w:w="1842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$168,914,365.00</w:t>
            </w:r>
          </w:p>
        </w:tc>
        <w:tc>
          <w:tcPr>
            <w:tcW w:w="1842.7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$98,428,519.49</w:t>
            </w:r>
          </w:p>
        </w:tc>
        <w:tc>
          <w:tcPr>
            <w:tcW w:w="1842.7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$98,428,519.49</w:t>
            </w:r>
          </w:p>
        </w:tc>
        <w:tc>
          <w:tcPr>
            <w:tcW w:w="2784" w:type="dxa"/>
          </w:tcPr>
          <w:p/>
        </w:tc>
      </w:tr>
      <w:tr>
        <w:trPr>
          <w:trHeight w:hRule="exact" w:val="202.566"/>
        </w:trPr>
        <w:tc>
          <w:tcPr>
            <w:tcW w:w="365" w:type="dxa"/>
          </w:tcPr>
          <w:p/>
        </w:tc>
        <w:tc>
          <w:tcPr>
            <w:tcW w:w="5811.7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       2. Ingresos del Sector Paraestatal</w:t>
            </w:r>
          </w:p>
        </w:tc>
        <w:tc>
          <w:tcPr>
            <w:tcW w:w="1842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842.7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842.7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2784" w:type="dxa"/>
          </w:tcPr>
          <w:p/>
        </w:tc>
      </w:tr>
      <w:tr>
        <w:trPr>
          <w:trHeight w:hRule="exact" w:val="202.566"/>
        </w:trPr>
        <w:tc>
          <w:tcPr>
            <w:tcW w:w="365" w:type="dxa"/>
          </w:tcPr>
          <w:p/>
        </w:tc>
        <w:tc>
          <w:tcPr>
            <w:tcW w:w="5811.7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II. Egresos Presupuestarios (II=3+4)</w:t>
            </w:r>
          </w:p>
        </w:tc>
        <w:tc>
          <w:tcPr>
            <w:tcW w:w="1842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$161,957,672.00</w:t>
            </w:r>
          </w:p>
        </w:tc>
        <w:tc>
          <w:tcPr>
            <w:tcW w:w="1842.7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$8,204,360.59</w:t>
            </w:r>
          </w:p>
        </w:tc>
        <w:tc>
          <w:tcPr>
            <w:tcW w:w="1842.7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$8,204,360.59</w:t>
            </w:r>
          </w:p>
        </w:tc>
        <w:tc>
          <w:tcPr>
            <w:tcW w:w="2784" w:type="dxa"/>
          </w:tcPr>
          <w:p/>
        </w:tc>
      </w:tr>
      <w:tr>
        <w:trPr>
          <w:trHeight w:hRule="exact" w:val="202.566"/>
        </w:trPr>
        <w:tc>
          <w:tcPr>
            <w:tcW w:w="365" w:type="dxa"/>
          </w:tcPr>
          <w:p/>
        </w:tc>
        <w:tc>
          <w:tcPr>
            <w:tcW w:w="5811.7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       3. Egresos del Gobierno de la Entidad Federativa</w:t>
            </w:r>
          </w:p>
        </w:tc>
        <w:tc>
          <w:tcPr>
            <w:tcW w:w="1842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$161,957,672.00</w:t>
            </w:r>
          </w:p>
        </w:tc>
        <w:tc>
          <w:tcPr>
            <w:tcW w:w="1842.7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$8,204,360.59</w:t>
            </w:r>
          </w:p>
        </w:tc>
        <w:tc>
          <w:tcPr>
            <w:tcW w:w="1842.7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$8,204,360.59</w:t>
            </w:r>
          </w:p>
        </w:tc>
        <w:tc>
          <w:tcPr>
            <w:tcW w:w="2784" w:type="dxa"/>
          </w:tcPr>
          <w:p/>
        </w:tc>
      </w:tr>
      <w:tr>
        <w:trPr>
          <w:trHeight w:hRule="exact" w:val="202.566"/>
        </w:trPr>
        <w:tc>
          <w:tcPr>
            <w:tcW w:w="365" w:type="dxa"/>
          </w:tcPr>
          <w:p/>
        </w:tc>
        <w:tc>
          <w:tcPr>
            <w:tcW w:w="5811.7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       4. Egresos del Sector Paraestatal</w:t>
            </w:r>
          </w:p>
        </w:tc>
        <w:tc>
          <w:tcPr>
            <w:tcW w:w="1842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842.7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842.7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2784" w:type="dxa"/>
          </w:tcPr>
          <w:p/>
        </w:tc>
      </w:tr>
      <w:tr>
        <w:trPr>
          <w:trHeight w:hRule="exact" w:val="202.566"/>
        </w:trPr>
        <w:tc>
          <w:tcPr>
            <w:tcW w:w="365" w:type="dxa"/>
          </w:tcPr>
          <w:p/>
        </w:tc>
        <w:tc>
          <w:tcPr>
            <w:tcW w:w="5811.7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III. Balance Presupuestario (Superávit o Déficit) (III = I - II)</w:t>
            </w:r>
          </w:p>
        </w:tc>
        <w:tc>
          <w:tcPr>
            <w:tcW w:w="1842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$6,956,693.00</w:t>
            </w:r>
          </w:p>
        </w:tc>
        <w:tc>
          <w:tcPr>
            <w:tcW w:w="1842.7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$90,224,158.90</w:t>
            </w:r>
          </w:p>
        </w:tc>
        <w:tc>
          <w:tcPr>
            <w:tcW w:w="1842.7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$90,224,158.90</w:t>
            </w:r>
          </w:p>
        </w:tc>
        <w:tc>
          <w:tcPr>
            <w:tcW w:w="2784" w:type="dxa"/>
          </w:tcPr>
          <w:p/>
        </w:tc>
      </w:tr>
      <w:tr>
        <w:trPr>
          <w:trHeight w:hRule="exact" w:val="419.2438"/>
        </w:trPr>
        <w:tc>
          <w:tcPr>
            <w:tcW w:w="365" w:type="dxa"/>
          </w:tcPr>
          <w:p/>
        </w:tc>
        <w:tc>
          <w:tcPr>
            <w:tcW w:w="627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1276" w:type="dxa"/>
          </w:tcPr>
          <w:p/>
        </w:tc>
        <w:tc>
          <w:tcPr>
            <w:tcW w:w="2835" w:type="dxa"/>
          </w:tcPr>
          <w:p/>
        </w:tc>
        <w:tc>
          <w:tcPr>
            <w:tcW w:w="1843" w:type="dxa"/>
          </w:tcPr>
          <w:p/>
        </w:tc>
        <w:tc>
          <w:tcPr>
            <w:tcW w:w="709" w:type="dxa"/>
          </w:tcPr>
          <w:p/>
        </w:tc>
        <w:tc>
          <w:tcPr>
            <w:tcW w:w="851" w:type="dxa"/>
          </w:tcPr>
          <w:p/>
        </w:tc>
        <w:tc>
          <w:tcPr>
            <w:tcW w:w="283" w:type="dxa"/>
          </w:tcPr>
          <w:p/>
        </w:tc>
        <w:tc>
          <w:tcPr>
            <w:tcW w:w="284" w:type="dxa"/>
          </w:tcPr>
          <w:p/>
        </w:tc>
        <w:tc>
          <w:tcPr>
            <w:tcW w:w="851" w:type="dxa"/>
          </w:tcPr>
          <w:p/>
        </w:tc>
        <w:tc>
          <w:tcPr>
            <w:tcW w:w="760" w:type="dxa"/>
          </w:tcPr>
          <w:p/>
        </w:tc>
        <w:tc>
          <w:tcPr>
            <w:tcW w:w="2784" w:type="dxa"/>
          </w:tcPr>
          <w:p/>
        </w:tc>
      </w:tr>
      <w:tr>
        <w:trPr>
          <w:trHeight w:hRule="exact" w:val="694.575"/>
        </w:trPr>
        <w:tc>
          <w:tcPr>
            <w:tcW w:w="5953.5" w:type="dxa"/>
            <w:gridSpan w:val="6"/>
            <w:tcBorders>
</w:tcBorders>
            <w:shd w:val="clear" w:color="#000000" w:fill="#D3D3D3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Concepto</w:t>
            </w:r>
          </w:p>
        </w:tc>
        <w:tc>
          <w:tcPr>
            <w:tcW w:w="1842.75" w:type="dxa"/>
            <w:tcBorders>
</w:tcBorders>
            <w:shd w:val="clear" w:color="#000000" w:fill="#D3D3D3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Estimado</w:t>
            </w:r>
          </w:p>
        </w:tc>
        <w:tc>
          <w:tcPr>
            <w:tcW w:w="1842.75" w:type="dxa"/>
            <w:gridSpan w:val="3"/>
            <w:tcBorders>
</w:tcBorders>
            <w:shd w:val="clear" w:color="#000000" w:fill="#D3D3D3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Devengado</w:t>
            </w:r>
          </w:p>
        </w:tc>
        <w:tc>
          <w:tcPr>
            <w:tcW w:w="1842.75" w:type="dxa"/>
            <w:gridSpan w:val="3"/>
            <w:tcBorders>
</w:tcBorders>
            <w:shd w:val="clear" w:color="#000000" w:fill="#D3D3D3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Pagado</w:t>
            </w:r>
          </w:p>
        </w:tc>
        <w:tc>
          <w:tcPr>
            <w:tcW w:w="2784" w:type="dxa"/>
          </w:tcPr>
          <w:p/>
        </w:tc>
      </w:tr>
      <w:tr>
        <w:trPr>
          <w:trHeight w:hRule="exact" w:val="194.4812"/>
        </w:trPr>
        <w:tc>
          <w:tcPr>
            <w:tcW w:w="365" w:type="dxa"/>
          </w:tcPr>
          <w:p/>
        </w:tc>
        <w:tc>
          <w:tcPr>
            <w:tcW w:w="5811.7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III. Balance Presupuestario (Superávit o Déficit)</w:t>
            </w:r>
          </w:p>
        </w:tc>
        <w:tc>
          <w:tcPr>
            <w:tcW w:w="1842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$6,956,693.00</w:t>
            </w:r>
          </w:p>
        </w:tc>
        <w:tc>
          <w:tcPr>
            <w:tcW w:w="1842.7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$90,224,158.90</w:t>
            </w:r>
          </w:p>
        </w:tc>
        <w:tc>
          <w:tcPr>
            <w:tcW w:w="1842.7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$90,224,158.90</w:t>
            </w:r>
          </w:p>
        </w:tc>
        <w:tc>
          <w:tcPr>
            <w:tcW w:w="2784" w:type="dxa"/>
          </w:tcPr>
          <w:p/>
        </w:tc>
      </w:tr>
      <w:tr>
        <w:trPr>
          <w:trHeight w:hRule="exact" w:val="196.9804"/>
        </w:trPr>
        <w:tc>
          <w:tcPr>
            <w:tcW w:w="365" w:type="dxa"/>
          </w:tcPr>
          <w:p/>
        </w:tc>
        <w:tc>
          <w:tcPr>
            <w:tcW w:w="5811.7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IV. Intereses, Comisiones y Gastos de la Deuda</w:t>
            </w:r>
          </w:p>
        </w:tc>
        <w:tc>
          <w:tcPr>
            <w:tcW w:w="1842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$4,152,423.00</w:t>
            </w:r>
          </w:p>
        </w:tc>
        <w:tc>
          <w:tcPr>
            <w:tcW w:w="1842.7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$333,146.54</w:t>
            </w:r>
          </w:p>
        </w:tc>
        <w:tc>
          <w:tcPr>
            <w:tcW w:w="1842.7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$333,146.54</w:t>
            </w:r>
          </w:p>
        </w:tc>
        <w:tc>
          <w:tcPr>
            <w:tcW w:w="2784" w:type="dxa"/>
          </w:tcPr>
          <w:p/>
        </w:tc>
      </w:tr>
      <w:tr>
        <w:trPr>
          <w:trHeight w:hRule="exact" w:val="196.9799"/>
        </w:trPr>
        <w:tc>
          <w:tcPr>
            <w:tcW w:w="365" w:type="dxa"/>
          </w:tcPr>
          <w:p/>
        </w:tc>
        <w:tc>
          <w:tcPr>
            <w:tcW w:w="5811.7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V. Balance Primario ( Superávit o Déficit) (V= III - IV)</w:t>
            </w:r>
          </w:p>
        </w:tc>
        <w:tc>
          <w:tcPr>
            <w:tcW w:w="1842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$2,804,270.00</w:t>
            </w:r>
          </w:p>
        </w:tc>
        <w:tc>
          <w:tcPr>
            <w:tcW w:w="1842.7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$89,891,012.36</w:t>
            </w:r>
          </w:p>
        </w:tc>
        <w:tc>
          <w:tcPr>
            <w:tcW w:w="1842.7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$89,891,012.36</w:t>
            </w:r>
          </w:p>
        </w:tc>
        <w:tc>
          <w:tcPr>
            <w:tcW w:w="2784" w:type="dxa"/>
          </w:tcPr>
          <w:p/>
        </w:tc>
      </w:tr>
      <w:tr>
        <w:trPr>
          <w:trHeight w:hRule="exact" w:val="419.2438"/>
        </w:trPr>
        <w:tc>
          <w:tcPr>
            <w:tcW w:w="365" w:type="dxa"/>
          </w:tcPr>
          <w:p/>
        </w:tc>
        <w:tc>
          <w:tcPr>
            <w:tcW w:w="627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1276" w:type="dxa"/>
          </w:tcPr>
          <w:p/>
        </w:tc>
        <w:tc>
          <w:tcPr>
            <w:tcW w:w="2835" w:type="dxa"/>
          </w:tcPr>
          <w:p/>
        </w:tc>
        <w:tc>
          <w:tcPr>
            <w:tcW w:w="1843" w:type="dxa"/>
          </w:tcPr>
          <w:p/>
        </w:tc>
        <w:tc>
          <w:tcPr>
            <w:tcW w:w="709" w:type="dxa"/>
          </w:tcPr>
          <w:p/>
        </w:tc>
        <w:tc>
          <w:tcPr>
            <w:tcW w:w="851" w:type="dxa"/>
          </w:tcPr>
          <w:p/>
        </w:tc>
        <w:tc>
          <w:tcPr>
            <w:tcW w:w="283" w:type="dxa"/>
          </w:tcPr>
          <w:p/>
        </w:tc>
        <w:tc>
          <w:tcPr>
            <w:tcW w:w="284" w:type="dxa"/>
          </w:tcPr>
          <w:p/>
        </w:tc>
        <w:tc>
          <w:tcPr>
            <w:tcW w:w="851" w:type="dxa"/>
          </w:tcPr>
          <w:p/>
        </w:tc>
        <w:tc>
          <w:tcPr>
            <w:tcW w:w="760" w:type="dxa"/>
          </w:tcPr>
          <w:p/>
        </w:tc>
        <w:tc>
          <w:tcPr>
            <w:tcW w:w="2784" w:type="dxa"/>
          </w:tcPr>
          <w:p/>
        </w:tc>
      </w:tr>
      <w:tr>
        <w:trPr>
          <w:trHeight w:hRule="exact" w:val="694.575"/>
        </w:trPr>
        <w:tc>
          <w:tcPr>
            <w:tcW w:w="5953.5" w:type="dxa"/>
            <w:gridSpan w:val="6"/>
            <w:tcBorders>
</w:tcBorders>
            <w:shd w:val="clear" w:color="#000000" w:fill="#D3D3D3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Concepto</w:t>
            </w:r>
          </w:p>
        </w:tc>
        <w:tc>
          <w:tcPr>
            <w:tcW w:w="1842.75" w:type="dxa"/>
            <w:tcBorders>
</w:tcBorders>
            <w:shd w:val="clear" w:color="#000000" w:fill="#D3D3D3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Estimado</w:t>
            </w:r>
          </w:p>
        </w:tc>
        <w:tc>
          <w:tcPr>
            <w:tcW w:w="1842.75" w:type="dxa"/>
            <w:gridSpan w:val="3"/>
            <w:tcBorders>
</w:tcBorders>
            <w:shd w:val="clear" w:color="#000000" w:fill="#D3D3D3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Devengado</w:t>
            </w:r>
          </w:p>
        </w:tc>
        <w:tc>
          <w:tcPr>
            <w:tcW w:w="1842.75" w:type="dxa"/>
            <w:gridSpan w:val="3"/>
            <w:tcBorders>
</w:tcBorders>
            <w:shd w:val="clear" w:color="#000000" w:fill="#D3D3D3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Pagado</w:t>
            </w:r>
          </w:p>
        </w:tc>
        <w:tc>
          <w:tcPr>
            <w:tcW w:w="2784" w:type="dxa"/>
          </w:tcPr>
          <w:p/>
        </w:tc>
      </w:tr>
      <w:tr>
        <w:trPr>
          <w:trHeight w:hRule="exact" w:val="194.4812"/>
        </w:trPr>
        <w:tc>
          <w:tcPr>
            <w:tcW w:w="365" w:type="dxa"/>
          </w:tcPr>
          <w:p/>
        </w:tc>
        <w:tc>
          <w:tcPr>
            <w:tcW w:w="5811.7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A. Financiamiento</w:t>
            </w:r>
          </w:p>
        </w:tc>
        <w:tc>
          <w:tcPr>
            <w:tcW w:w="1842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$2,500,000.00</w:t>
            </w:r>
          </w:p>
        </w:tc>
        <w:tc>
          <w:tcPr>
            <w:tcW w:w="1842.7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$0.00</w:t>
            </w:r>
          </w:p>
        </w:tc>
        <w:tc>
          <w:tcPr>
            <w:tcW w:w="1842.7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$0.00</w:t>
            </w:r>
          </w:p>
        </w:tc>
        <w:tc>
          <w:tcPr>
            <w:tcW w:w="2784" w:type="dxa"/>
          </w:tcPr>
          <w:p/>
        </w:tc>
      </w:tr>
      <w:tr>
        <w:trPr>
          <w:trHeight w:hRule="exact" w:val="196.9799"/>
        </w:trPr>
        <w:tc>
          <w:tcPr>
            <w:tcW w:w="365" w:type="dxa"/>
          </w:tcPr>
          <w:p/>
        </w:tc>
        <w:tc>
          <w:tcPr>
            <w:tcW w:w="5811.7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B.  Amortización de la deuda</w:t>
            </w:r>
          </w:p>
        </w:tc>
        <w:tc>
          <w:tcPr>
            <w:tcW w:w="1842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$5,414,270.00</w:t>
            </w:r>
          </w:p>
        </w:tc>
        <w:tc>
          <w:tcPr>
            <w:tcW w:w="1842.7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$110,000.00</w:t>
            </w:r>
          </w:p>
        </w:tc>
        <w:tc>
          <w:tcPr>
            <w:tcW w:w="1842.7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$110,000.00</w:t>
            </w:r>
          </w:p>
        </w:tc>
        <w:tc>
          <w:tcPr>
            <w:tcW w:w="2784" w:type="dxa"/>
          </w:tcPr>
          <w:p/>
        </w:tc>
      </w:tr>
      <w:tr>
        <w:trPr>
          <w:trHeight w:hRule="exact" w:val="196.9799"/>
        </w:trPr>
        <w:tc>
          <w:tcPr>
            <w:tcW w:w="365" w:type="dxa"/>
          </w:tcPr>
          <w:p/>
        </w:tc>
        <w:tc>
          <w:tcPr>
            <w:tcW w:w="5811.7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C. Endeudamiento ó desendeudamiento (C = A - B)</w:t>
            </w:r>
          </w:p>
        </w:tc>
        <w:tc>
          <w:tcPr>
            <w:tcW w:w="1842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-$2,914,270.00</w:t>
            </w:r>
          </w:p>
        </w:tc>
        <w:tc>
          <w:tcPr>
            <w:tcW w:w="1842.7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-$110,000.00</w:t>
            </w:r>
          </w:p>
        </w:tc>
        <w:tc>
          <w:tcPr>
            <w:tcW w:w="1842.75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-$110,000.00</w:t>
            </w:r>
          </w:p>
        </w:tc>
        <w:tc>
          <w:tcPr>
            <w:tcW w:w="2784" w:type="dxa"/>
          </w:tcPr>
          <w:p/>
        </w:tc>
      </w:tr>
      <w:tr>
        <w:trPr>
          <w:trHeight w:hRule="exact" w:val="7779.828"/>
        </w:trPr>
        <w:tc>
          <w:tcPr>
            <w:tcW w:w="365" w:type="dxa"/>
          </w:tcPr>
          <w:p/>
        </w:tc>
        <w:tc>
          <w:tcPr>
            <w:tcW w:w="627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1276" w:type="dxa"/>
          </w:tcPr>
          <w:p/>
        </w:tc>
        <w:tc>
          <w:tcPr>
            <w:tcW w:w="2835" w:type="dxa"/>
          </w:tcPr>
          <w:p/>
        </w:tc>
        <w:tc>
          <w:tcPr>
            <w:tcW w:w="1843" w:type="dxa"/>
          </w:tcPr>
          <w:p/>
        </w:tc>
        <w:tc>
          <w:tcPr>
            <w:tcW w:w="709" w:type="dxa"/>
          </w:tcPr>
          <w:p/>
        </w:tc>
        <w:tc>
          <w:tcPr>
            <w:tcW w:w="851" w:type="dxa"/>
          </w:tcPr>
          <w:p/>
        </w:tc>
        <w:tc>
          <w:tcPr>
            <w:tcW w:w="283" w:type="dxa"/>
          </w:tcPr>
          <w:p/>
        </w:tc>
        <w:tc>
          <w:tcPr>
            <w:tcW w:w="284" w:type="dxa"/>
          </w:tcPr>
          <w:p/>
        </w:tc>
        <w:tc>
          <w:tcPr>
            <w:tcW w:w="851" w:type="dxa"/>
          </w:tcPr>
          <w:p/>
        </w:tc>
        <w:tc>
          <w:tcPr>
            <w:tcW w:w="760" w:type="dxa"/>
          </w:tcPr>
          <w:p/>
        </w:tc>
        <w:tc>
          <w:tcPr>
            <w:tcW w:w="2784" w:type="dxa"/>
          </w:tcPr>
          <w:p/>
        </w:tc>
      </w:tr>
      <w:tr>
        <w:trPr>
          <w:trHeight w:hRule="exact" w:val="277.8304"/>
        </w:trPr>
        <w:tc>
          <w:tcPr>
            <w:tcW w:w="365" w:type="dxa"/>
          </w:tcPr>
          <w:p/>
        </w:tc>
        <w:tc>
          <w:tcPr>
            <w:tcW w:w="627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1276" w:type="dxa"/>
          </w:tcPr>
          <w:p/>
        </w:tc>
        <w:tc>
          <w:tcPr>
            <w:tcW w:w="2835" w:type="dxa"/>
          </w:tcPr>
          <w:p/>
        </w:tc>
        <w:tc>
          <w:tcPr>
            <w:tcW w:w="1843" w:type="dxa"/>
          </w:tcPr>
          <w:p/>
        </w:tc>
        <w:tc>
          <w:tcPr>
            <w:tcW w:w="709" w:type="dxa"/>
          </w:tcPr>
          <w:p/>
        </w:tc>
        <w:tc>
          <w:tcPr>
            <w:tcW w:w="851" w:type="dxa"/>
          </w:tcPr>
          <w:p/>
        </w:tc>
        <w:tc>
          <w:tcPr>
            <w:tcW w:w="283" w:type="dxa"/>
          </w:tcPr>
          <w:p/>
        </w:tc>
        <w:tc>
          <w:tcPr>
            <w:tcW w:w="284" w:type="dxa"/>
          </w:tcPr>
          <w:p/>
        </w:tc>
        <w:tc>
          <w:tcPr>
            <w:tcW w:w="851" w:type="dxa"/>
          </w:tcPr>
          <w:p/>
        </w:tc>
        <w:tc>
          <w:tcPr>
            <w:tcW w:w="760" w:type="dxa"/>
          </w:tcPr>
          <w:p/>
        </w:tc>
        <w:tc>
          <w:tcPr>
            <w:tcW w:w="2784" w:type="dxa"/>
          </w:tcPr>
          <w:p/>
        </w:tc>
      </w:tr>
      <w:p>
        <w:pPr>
          <w:rPr>
            <w:sz w:val="0"/>
            <w:szCs w:val="0"/>
          </w:rPr>
        </w:pPr>
        <w:r>
          <w:br w:type="page"/>
        </w:r>
      </w:p>
    </w:tbl>
    <w:p/>
    <w:sectPr>
      <w:pgSz w:w="12241" w:h="15842"/>
      <w:pgMar w:top="283" w:right="283" w:bottom="270" w:left="28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ahoma">
    <w:panose1 w:val="020B0604030504040204"/>
    <w:charset w:val="CC"/>
    <w:family w:val="swiss"/>
    <w:pitch w:val="variable"/>
    <w:sig w:usb0="E1002AFF" w:usb1="C000605B" w:usb2="00000029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</w:compat>
  <w:rsids>
    <w:rsidRoot w:val="00D31453"/>
    <w:rsid w:val="0002418B"/>
    <w:rsid w:val="001F0BC7"/>
    <w:rsid w:val="00D31453"/>
    <w:rsid w:val="00E209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_rels/document.xml.rels><?xml version="1.0" encoding="UTF-8" standalone="yes"?>
<Relationships xmlns="http://schemas.openxmlformats.org/package/2006/relationships">
<Relationship Id="rId1" Type="http://schemas.openxmlformats.org/officeDocument/2006/relationships/settings" Target="settings.xml" />
<Relationship Id="rId2" Type="http://schemas.openxmlformats.org/officeDocument/2006/relationships/styles" Target="styles.xml" />
<Relationship Id="rId3" Type="http://schemas.openxmlformats.org/officeDocument/2006/relationships/fontTable" Target="fontTable.xml" />
<Relationship Id="rId11" Type="http://schemas.openxmlformats.org/officeDocument/2006/relationships/image" Target="media/image1.png" />
</Relationships>

</file>

<file path=docProps/app.xml><?xml version="1.0" encoding="utf-8"?>
<Properties xmlns="http://schemas.openxmlformats.org/officeDocument/2006/extended-properties" xmlns:vt="http://schemas.openxmlformats.org/officeDocument/2006/docPropsVTypes">
  <DocSecurity>0</DocSecurity>
  <ScaleCrop>false</ScaleCrop>
  <HeadingPairs>
    <vt:vector size="2" baseType="variant">
      <vt:variant>
        <vt:lpstr>Worksheets</vt:lpstr>
      </vt:variant>
      <vt:variant>
        <vt:i4>2</vt:i4>
      </vt:variant>
    </vt:vector>
  </HeadingPairs>
  <TitlesOfParts>
    <vt:vector size="1" baseType="lpstr">
      <vt:lpstr>Лист1</vt:lpstr>
    </vt:vector>
  </TitlesOfParts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2009-06-17T07:33:19Z</dcterms:created>
  <dc:title>Indicadores de Postura Fiscal</dc:title>
  <dc:creator>FastReport.NET</dc:creator>
</cp:coreProperties>
</file>