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5B3" w:rsidRPr="002868AD" w:rsidRDefault="00C225B3" w:rsidP="00C225B3">
      <w:pPr>
        <w:pStyle w:val="corte1datos"/>
        <w:spacing w:line="276" w:lineRule="auto"/>
        <w:ind w:left="2832"/>
        <w:jc w:val="right"/>
        <w:rPr>
          <w:rFonts w:cs="Arial"/>
          <w:color w:val="2E74B5" w:themeColor="accent1" w:themeShade="BF"/>
          <w:sz w:val="24"/>
          <w:szCs w:val="24"/>
        </w:rPr>
      </w:pPr>
      <w:r>
        <w:rPr>
          <w:rFonts w:cs="Arial"/>
          <w:color w:val="2E74B5" w:themeColor="accent1" w:themeShade="BF"/>
          <w:sz w:val="24"/>
          <w:szCs w:val="24"/>
        </w:rPr>
        <w:t>RECURSO DE REVISIÓN 671/2019</w:t>
      </w:r>
      <w:r w:rsidRPr="002868AD">
        <w:rPr>
          <w:rFonts w:cs="Arial"/>
          <w:color w:val="2E74B5" w:themeColor="accent1" w:themeShade="BF"/>
          <w:sz w:val="24"/>
          <w:szCs w:val="24"/>
        </w:rPr>
        <w:t>-2.</w:t>
      </w:r>
    </w:p>
    <w:p w:rsidR="00C225B3" w:rsidRPr="002868AD" w:rsidRDefault="00C225B3" w:rsidP="00C225B3">
      <w:pPr>
        <w:pStyle w:val="corte1datos"/>
        <w:spacing w:line="276" w:lineRule="auto"/>
        <w:jc w:val="right"/>
        <w:rPr>
          <w:rFonts w:cs="Arial"/>
          <w:color w:val="2E74B5" w:themeColor="accent1" w:themeShade="BF"/>
          <w:sz w:val="24"/>
          <w:szCs w:val="24"/>
        </w:rPr>
      </w:pPr>
    </w:p>
    <w:p w:rsidR="00C225B3" w:rsidRPr="002868AD" w:rsidRDefault="00C225B3" w:rsidP="00C225B3">
      <w:pPr>
        <w:pStyle w:val="corte1datos"/>
        <w:spacing w:line="276" w:lineRule="auto"/>
        <w:jc w:val="right"/>
        <w:rPr>
          <w:rFonts w:cs="Arial"/>
          <w:color w:val="2E74B5" w:themeColor="accent1" w:themeShade="BF"/>
          <w:sz w:val="24"/>
          <w:szCs w:val="24"/>
        </w:rPr>
      </w:pPr>
    </w:p>
    <w:p w:rsidR="00C225B3" w:rsidRPr="002868AD" w:rsidRDefault="00C225B3" w:rsidP="00C225B3">
      <w:pPr>
        <w:spacing w:after="0"/>
        <w:jc w:val="right"/>
        <w:rPr>
          <w:rFonts w:ascii="Arial" w:eastAsia="Times New Roman" w:hAnsi="Arial" w:cs="Arial"/>
          <w:b/>
          <w:caps/>
          <w:color w:val="2E74B5" w:themeColor="accent1" w:themeShade="BF"/>
          <w:sz w:val="24"/>
          <w:szCs w:val="24"/>
          <w:lang w:eastAsia="es-MX"/>
        </w:rPr>
      </w:pPr>
      <w:r w:rsidRPr="002868AD">
        <w:rPr>
          <w:rFonts w:ascii="Arial" w:eastAsia="Times New Roman" w:hAnsi="Arial" w:cs="Arial"/>
          <w:b/>
          <w:caps/>
          <w:color w:val="2E74B5" w:themeColor="accent1" w:themeShade="BF"/>
          <w:sz w:val="24"/>
          <w:szCs w:val="24"/>
          <w:lang w:eastAsia="es-MX"/>
        </w:rPr>
        <w:t xml:space="preserve">COMISIONADO PONENTE: </w:t>
      </w:r>
    </w:p>
    <w:p w:rsidR="00C225B3" w:rsidRPr="002868AD" w:rsidRDefault="00C225B3" w:rsidP="00C225B3">
      <w:pPr>
        <w:spacing w:after="0"/>
        <w:jc w:val="right"/>
        <w:rPr>
          <w:rFonts w:ascii="Arial" w:eastAsia="Times New Roman" w:hAnsi="Arial" w:cs="Arial"/>
          <w:b/>
          <w:caps/>
          <w:color w:val="2E74B5" w:themeColor="accent1" w:themeShade="BF"/>
          <w:sz w:val="24"/>
          <w:szCs w:val="24"/>
          <w:lang w:eastAsia="es-MX"/>
        </w:rPr>
      </w:pPr>
      <w:r w:rsidRPr="002868AD">
        <w:rPr>
          <w:rFonts w:ascii="Arial" w:eastAsia="Times New Roman" w:hAnsi="Arial" w:cs="Arial"/>
          <w:b/>
          <w:caps/>
          <w:color w:val="2E74B5" w:themeColor="accent1" w:themeShade="BF"/>
          <w:sz w:val="24"/>
          <w:szCs w:val="24"/>
          <w:lang w:eastAsia="es-MX"/>
        </w:rPr>
        <w:t xml:space="preserve">Paulina Sánchez PÉREZ DEL POZO </w:t>
      </w:r>
    </w:p>
    <w:p w:rsidR="00C225B3" w:rsidRPr="002868AD" w:rsidRDefault="00C225B3" w:rsidP="00C225B3">
      <w:pPr>
        <w:spacing w:after="0"/>
        <w:jc w:val="right"/>
        <w:rPr>
          <w:rFonts w:ascii="Arial" w:eastAsia="Times New Roman" w:hAnsi="Arial" w:cs="Arial"/>
          <w:b/>
          <w:caps/>
          <w:color w:val="2E74B5" w:themeColor="accent1" w:themeShade="BF"/>
          <w:sz w:val="24"/>
          <w:szCs w:val="24"/>
          <w:lang w:eastAsia="es-MX"/>
        </w:rPr>
      </w:pPr>
    </w:p>
    <w:p w:rsidR="00C225B3" w:rsidRPr="002868AD" w:rsidRDefault="00C225B3" w:rsidP="00C225B3">
      <w:pPr>
        <w:pStyle w:val="corte2ponente"/>
        <w:tabs>
          <w:tab w:val="left" w:pos="1488"/>
        </w:tabs>
        <w:spacing w:line="276" w:lineRule="auto"/>
        <w:jc w:val="right"/>
        <w:rPr>
          <w:rFonts w:cs="Arial"/>
          <w:color w:val="2E74B5" w:themeColor="accent1" w:themeShade="BF"/>
          <w:sz w:val="24"/>
          <w:szCs w:val="24"/>
        </w:rPr>
      </w:pPr>
      <w:r w:rsidRPr="002868AD">
        <w:rPr>
          <w:rFonts w:cs="Arial"/>
          <w:color w:val="2E74B5" w:themeColor="accent1" w:themeShade="BF"/>
          <w:sz w:val="24"/>
          <w:szCs w:val="24"/>
        </w:rPr>
        <w:tab/>
      </w:r>
    </w:p>
    <w:p w:rsidR="00C225B3" w:rsidRPr="002868AD" w:rsidRDefault="00C225B3" w:rsidP="00C225B3">
      <w:pPr>
        <w:pStyle w:val="corte2ponente"/>
        <w:spacing w:line="276" w:lineRule="auto"/>
        <w:jc w:val="right"/>
        <w:rPr>
          <w:rFonts w:cs="Arial"/>
          <w:color w:val="2E74B5" w:themeColor="accent1" w:themeShade="BF"/>
          <w:sz w:val="24"/>
          <w:szCs w:val="24"/>
        </w:rPr>
      </w:pPr>
      <w:r w:rsidRPr="002868AD">
        <w:rPr>
          <w:rFonts w:cs="Arial"/>
          <w:color w:val="2E74B5" w:themeColor="accent1" w:themeShade="BF"/>
          <w:sz w:val="24"/>
          <w:szCs w:val="24"/>
        </w:rPr>
        <w:t>sujeto OBLIGADO:</w:t>
      </w:r>
    </w:p>
    <w:p w:rsidR="00C225B3" w:rsidRPr="001B3F59" w:rsidRDefault="00C225B3" w:rsidP="00C225B3">
      <w:pPr>
        <w:pStyle w:val="corte2ponente"/>
        <w:spacing w:line="276" w:lineRule="auto"/>
        <w:jc w:val="right"/>
        <w:rPr>
          <w:rFonts w:cs="Arial"/>
          <w:color w:val="2E74B5" w:themeColor="accent1" w:themeShade="BF"/>
          <w:sz w:val="24"/>
          <w:szCs w:val="24"/>
        </w:rPr>
      </w:pPr>
      <w:r w:rsidRPr="001B3F59">
        <w:rPr>
          <w:rFonts w:cs="Arial"/>
          <w:caps w:val="0"/>
          <w:color w:val="2E74B5" w:themeColor="accent1" w:themeShade="BF"/>
          <w:sz w:val="24"/>
          <w:szCs w:val="24"/>
        </w:rPr>
        <w:t>H. AYUNTAMIENTO DE SAN LUIS POTOSÍ</w:t>
      </w:r>
      <w:r w:rsidRPr="001B3F59">
        <w:rPr>
          <w:rFonts w:cs="Arial"/>
          <w:color w:val="2E74B5" w:themeColor="accent1" w:themeShade="BF"/>
          <w:sz w:val="24"/>
          <w:szCs w:val="24"/>
        </w:rPr>
        <w:t>.</w:t>
      </w:r>
    </w:p>
    <w:p w:rsidR="00C225B3" w:rsidRPr="001B3F59" w:rsidRDefault="00C225B3" w:rsidP="00C225B3">
      <w:pPr>
        <w:pStyle w:val="corte2ponente"/>
        <w:spacing w:line="276" w:lineRule="auto"/>
        <w:jc w:val="both"/>
        <w:rPr>
          <w:rFonts w:cs="Arial"/>
          <w:color w:val="2E74B5" w:themeColor="accent1" w:themeShade="BF"/>
          <w:sz w:val="24"/>
          <w:szCs w:val="24"/>
        </w:rPr>
      </w:pPr>
    </w:p>
    <w:p w:rsidR="00C225B3" w:rsidRPr="001B3F59" w:rsidRDefault="00C225B3" w:rsidP="00C225B3">
      <w:pPr>
        <w:pStyle w:val="corte2ponente"/>
        <w:spacing w:line="276" w:lineRule="auto"/>
        <w:jc w:val="both"/>
        <w:rPr>
          <w:rFonts w:cs="Arial"/>
          <w:color w:val="2E74B5" w:themeColor="accent1" w:themeShade="BF"/>
          <w:sz w:val="24"/>
          <w:szCs w:val="24"/>
        </w:rPr>
      </w:pPr>
    </w:p>
    <w:p w:rsidR="00C225B3" w:rsidRPr="002868AD" w:rsidRDefault="00C225B3" w:rsidP="00C225B3">
      <w:pPr>
        <w:pStyle w:val="corte4fondo"/>
        <w:spacing w:line="276" w:lineRule="auto"/>
        <w:ind w:firstLine="0"/>
        <w:rPr>
          <w:rFonts w:cs="Arial"/>
          <w:b/>
          <w:color w:val="2E74B5" w:themeColor="accent1" w:themeShade="BF"/>
          <w:sz w:val="24"/>
          <w:szCs w:val="24"/>
          <w:vertAlign w:val="subscript"/>
        </w:rPr>
      </w:pPr>
      <w:r w:rsidRPr="001B3F59">
        <w:rPr>
          <w:rFonts w:cs="Arial"/>
          <w:color w:val="2E74B5" w:themeColor="accent1" w:themeShade="BF"/>
          <w:sz w:val="24"/>
          <w:szCs w:val="24"/>
        </w:rPr>
        <w:tab/>
        <w:t xml:space="preserve">San Luis Potosí, San Luis Potosí. Acuerdo del Pleno de la Comisión Estatal de Garantía de Acceso a la Información Pública, correspondiente a la sesión </w:t>
      </w:r>
      <w:r>
        <w:rPr>
          <w:rFonts w:cs="Arial"/>
          <w:color w:val="2E74B5" w:themeColor="accent1" w:themeShade="BF"/>
          <w:sz w:val="24"/>
          <w:szCs w:val="24"/>
        </w:rPr>
        <w:t xml:space="preserve">Extraordinaria </w:t>
      </w:r>
      <w:r w:rsidRPr="001B3F59">
        <w:rPr>
          <w:rFonts w:cs="Arial"/>
          <w:color w:val="2E74B5" w:themeColor="accent1" w:themeShade="BF"/>
          <w:sz w:val="24"/>
          <w:szCs w:val="24"/>
        </w:rPr>
        <w:t>de</w:t>
      </w:r>
      <w:r>
        <w:rPr>
          <w:rFonts w:cs="Arial"/>
          <w:color w:val="2E74B5" w:themeColor="accent1" w:themeShade="BF"/>
          <w:sz w:val="24"/>
          <w:szCs w:val="24"/>
        </w:rPr>
        <w:t xml:space="preserve"> </w:t>
      </w:r>
      <w:r w:rsidRPr="001B3F59">
        <w:rPr>
          <w:rFonts w:cs="Arial"/>
          <w:color w:val="2E74B5" w:themeColor="accent1" w:themeShade="BF"/>
          <w:sz w:val="24"/>
          <w:szCs w:val="24"/>
        </w:rPr>
        <w:t>15 quince de agosto de 2019 dos mil diecinueve.</w:t>
      </w:r>
      <w:r w:rsidRPr="002868AD">
        <w:rPr>
          <w:rFonts w:cs="Arial"/>
          <w:b/>
          <w:color w:val="2E74B5" w:themeColor="accent1" w:themeShade="BF"/>
          <w:sz w:val="24"/>
          <w:szCs w:val="24"/>
          <w:vertAlign w:val="subscript"/>
        </w:rPr>
        <w:t xml:space="preserve"> </w:t>
      </w:r>
    </w:p>
    <w:p w:rsidR="00C225B3" w:rsidRPr="002868AD" w:rsidRDefault="00C225B3" w:rsidP="00C225B3">
      <w:pPr>
        <w:pStyle w:val="corte4fondo"/>
        <w:spacing w:line="276" w:lineRule="auto"/>
        <w:ind w:firstLine="0"/>
        <w:rPr>
          <w:rFonts w:cs="Arial"/>
          <w:b/>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VISTOS</w:t>
      </w:r>
      <w:r w:rsidRPr="002868AD">
        <w:rPr>
          <w:rFonts w:cs="Arial"/>
          <w:color w:val="2E74B5" w:themeColor="accent1" w:themeShade="BF"/>
          <w:sz w:val="24"/>
          <w:szCs w:val="24"/>
        </w:rPr>
        <w:t>, para resolver, los autos del recurso de revisión identificado al rubro; y</w:t>
      </w:r>
    </w:p>
    <w:p w:rsidR="00C225B3" w:rsidRPr="002868AD" w:rsidRDefault="00C225B3" w:rsidP="00C225B3">
      <w:pPr>
        <w:pStyle w:val="corte4fondo"/>
        <w:spacing w:line="276" w:lineRule="auto"/>
        <w:jc w:val="center"/>
        <w:rPr>
          <w:rFonts w:cs="Arial"/>
          <w:color w:val="2E74B5" w:themeColor="accent1" w:themeShade="BF"/>
          <w:sz w:val="24"/>
          <w:szCs w:val="24"/>
        </w:rPr>
      </w:pPr>
      <w:r w:rsidRPr="002868AD">
        <w:rPr>
          <w:rFonts w:cs="Arial"/>
          <w:b/>
          <w:color w:val="2E74B5" w:themeColor="accent1" w:themeShade="BF"/>
          <w:sz w:val="24"/>
          <w:szCs w:val="24"/>
        </w:rPr>
        <w:t>RESULTANDO</w:t>
      </w:r>
      <w:r w:rsidRPr="002868AD">
        <w:rPr>
          <w:rFonts w:cs="Arial"/>
          <w:color w:val="2E74B5" w:themeColor="accent1" w:themeShade="BF"/>
          <w:sz w:val="24"/>
          <w:szCs w:val="24"/>
        </w:rPr>
        <w:t>:</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PRIMERO. Solicitud de acceso a la información pública. </w:t>
      </w:r>
      <w:r>
        <w:rPr>
          <w:color w:val="2E74B5" w:themeColor="accent1" w:themeShade="BF"/>
          <w:sz w:val="24"/>
          <w:szCs w:val="24"/>
        </w:rPr>
        <w:t xml:space="preserve">Según consta en la Plataforma Nacional </w:t>
      </w:r>
      <w:bookmarkStart w:id="0" w:name="_GoBack"/>
      <w:bookmarkEnd w:id="0"/>
      <w:r>
        <w:rPr>
          <w:color w:val="2E74B5" w:themeColor="accent1" w:themeShade="BF"/>
          <w:sz w:val="24"/>
          <w:szCs w:val="24"/>
        </w:rPr>
        <w:t xml:space="preserve">de Transparencia en el folio 00268919 cero, cero, </w:t>
      </w:r>
      <w:r w:rsidR="001B21C6">
        <w:rPr>
          <w:color w:val="2E74B5" w:themeColor="accent1" w:themeShade="BF"/>
          <w:sz w:val="24"/>
          <w:szCs w:val="24"/>
        </w:rPr>
        <w:t>doscientos sesenta y ocho mil</w:t>
      </w:r>
      <w:r>
        <w:rPr>
          <w:color w:val="2E74B5" w:themeColor="accent1" w:themeShade="BF"/>
          <w:sz w:val="24"/>
          <w:szCs w:val="24"/>
        </w:rPr>
        <w:t>,</w:t>
      </w:r>
      <w:r w:rsidR="001B21C6">
        <w:rPr>
          <w:color w:val="2E74B5" w:themeColor="accent1" w:themeShade="BF"/>
          <w:sz w:val="24"/>
          <w:szCs w:val="24"/>
        </w:rPr>
        <w:t xml:space="preserve"> novecientos diecinueve,</w:t>
      </w:r>
      <w:r>
        <w:rPr>
          <w:color w:val="2E74B5" w:themeColor="accent1" w:themeShade="BF"/>
          <w:sz w:val="24"/>
          <w:szCs w:val="24"/>
        </w:rPr>
        <w:t xml:space="preserve"> </w:t>
      </w:r>
      <w:r w:rsidRPr="002868AD">
        <w:rPr>
          <w:rFonts w:cs="Arial"/>
          <w:color w:val="2E74B5" w:themeColor="accent1" w:themeShade="BF"/>
          <w:sz w:val="24"/>
          <w:szCs w:val="24"/>
        </w:rPr>
        <w:t xml:space="preserve">el </w:t>
      </w:r>
      <w:r>
        <w:rPr>
          <w:rFonts w:cs="Arial"/>
          <w:color w:val="2E74B5" w:themeColor="accent1" w:themeShade="BF"/>
          <w:sz w:val="24"/>
          <w:szCs w:val="24"/>
        </w:rPr>
        <w:t>01 uno de Marzo del 2019 dos mil diecinueve</w:t>
      </w:r>
      <w:r w:rsidRPr="002868AD">
        <w:rPr>
          <w:rFonts w:cs="Arial"/>
          <w:color w:val="2E74B5" w:themeColor="accent1" w:themeShade="BF"/>
          <w:sz w:val="24"/>
          <w:szCs w:val="24"/>
        </w:rPr>
        <w:t xml:space="preserve"> el</w:t>
      </w:r>
      <w:r>
        <w:rPr>
          <w:rFonts w:cs="Arial"/>
          <w:color w:val="2E74B5" w:themeColor="accent1" w:themeShade="BF"/>
          <w:sz w:val="24"/>
          <w:szCs w:val="24"/>
        </w:rPr>
        <w:t xml:space="preserve"> </w:t>
      </w:r>
      <w:r>
        <w:rPr>
          <w:rFonts w:cs="Arial"/>
          <w:b/>
          <w:color w:val="2E74B5" w:themeColor="accent1" w:themeShade="BF"/>
          <w:sz w:val="24"/>
          <w:szCs w:val="24"/>
        </w:rPr>
        <w:t xml:space="preserve">Municipio de San Luis Potosí </w:t>
      </w:r>
      <w:r>
        <w:rPr>
          <w:rFonts w:cs="Arial"/>
          <w:color w:val="2E74B5" w:themeColor="accent1" w:themeShade="BF"/>
          <w:sz w:val="24"/>
          <w:szCs w:val="24"/>
        </w:rPr>
        <w:t>recibió una solicitud de acceso a la información pública en donde se le pidió la información siguiente</w:t>
      </w:r>
      <w:r w:rsidR="00E03D8B">
        <w:rPr>
          <w:rStyle w:val="Refdenotaalpie"/>
          <w:rFonts w:cs="Arial"/>
          <w:color w:val="2E74B5" w:themeColor="accent1" w:themeShade="BF"/>
          <w:sz w:val="24"/>
          <w:szCs w:val="24"/>
        </w:rPr>
        <w:footnoteReference w:id="1"/>
      </w:r>
      <w:r w:rsidRPr="002868AD">
        <w:rPr>
          <w:rFonts w:cs="Arial"/>
          <w:color w:val="2E74B5" w:themeColor="accent1" w:themeShade="BF"/>
          <w:sz w:val="24"/>
          <w:szCs w:val="24"/>
        </w:rPr>
        <w:t>:</w:t>
      </w:r>
    </w:p>
    <w:p w:rsidR="00C225B3" w:rsidRDefault="00C225B3" w:rsidP="00C225B3">
      <w:pPr>
        <w:pStyle w:val="corte4fondo"/>
        <w:spacing w:line="276" w:lineRule="auto"/>
        <w:ind w:firstLine="0"/>
        <w:rPr>
          <w:rFonts w:cs="Arial"/>
          <w:b/>
          <w:color w:val="2E74B5" w:themeColor="accent1" w:themeShade="BF"/>
          <w:sz w:val="24"/>
          <w:szCs w:val="24"/>
        </w:rPr>
      </w:pPr>
      <w:r>
        <w:rPr>
          <w:rFonts w:cs="Arial"/>
          <w:b/>
          <w:color w:val="2E74B5" w:themeColor="accent1" w:themeShade="BF"/>
          <w:sz w:val="24"/>
          <w:szCs w:val="24"/>
        </w:rPr>
        <w:t xml:space="preserve"> </w:t>
      </w:r>
      <w:r w:rsidR="001A422D">
        <w:rPr>
          <w:rFonts w:cs="Arial"/>
          <w:b/>
          <w:noProof/>
          <w:color w:val="2E74B5" w:themeColor="accent1" w:themeShade="BF"/>
          <w:sz w:val="24"/>
          <w:szCs w:val="24"/>
        </w:rPr>
        <w:drawing>
          <wp:inline distT="0" distB="0" distL="0" distR="0">
            <wp:extent cx="5608320" cy="1882140"/>
            <wp:effectExtent l="1905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608320" cy="1882140"/>
                    </a:xfrm>
                    <a:prstGeom prst="rect">
                      <a:avLst/>
                    </a:prstGeom>
                    <a:noFill/>
                    <a:ln w="9525">
                      <a:noFill/>
                      <a:miter lim="800000"/>
                      <a:headEnd/>
                      <a:tailEnd/>
                    </a:ln>
                  </pic:spPr>
                </pic:pic>
              </a:graphicData>
            </a:graphic>
          </wp:inline>
        </w:drawing>
      </w:r>
    </w:p>
    <w:p w:rsidR="00C225B3" w:rsidRPr="002868AD" w:rsidRDefault="00C225B3" w:rsidP="00C225B3">
      <w:pPr>
        <w:pStyle w:val="corte4fondo"/>
        <w:spacing w:line="276" w:lineRule="auto"/>
        <w:ind w:firstLine="0"/>
        <w:rPr>
          <w:rFonts w:cs="Arial"/>
          <w:b/>
          <w:color w:val="2E74B5" w:themeColor="accent1" w:themeShade="BF"/>
          <w:sz w:val="24"/>
          <w:szCs w:val="24"/>
        </w:rPr>
      </w:pPr>
    </w:p>
    <w:p w:rsidR="00C225B3" w:rsidRDefault="00C225B3" w:rsidP="00C225B3">
      <w:pPr>
        <w:pStyle w:val="corte4fondo"/>
        <w:rPr>
          <w:rFonts w:cs="Arial"/>
          <w:b/>
          <w:i/>
          <w:noProof/>
          <w:color w:val="2E74B5" w:themeColor="accent1" w:themeShade="BF"/>
          <w:sz w:val="20"/>
        </w:rPr>
      </w:pPr>
      <w:r>
        <w:rPr>
          <w:rFonts w:cs="Arial"/>
          <w:b/>
          <w:i/>
          <w:noProof/>
          <w:color w:val="2E74B5" w:themeColor="accent1" w:themeShade="BF"/>
          <w:sz w:val="20"/>
        </w:rPr>
        <w:t>“…</w:t>
      </w:r>
      <w:r w:rsidR="001B21C6" w:rsidRPr="001B21C6">
        <w:rPr>
          <w:rFonts w:cs="Arial"/>
          <w:b/>
          <w:i/>
          <w:noProof/>
          <w:color w:val="2E74B5" w:themeColor="accent1" w:themeShade="BF"/>
          <w:sz w:val="20"/>
        </w:rPr>
        <w:t xml:space="preserve">SOLICITO SABRE SI SE DESEMPEÑA COMO TRABAJADOR, CUAL ES O FUE LA DIRECCION DE ADSCRIPCION, HASTA CUANDO LABORO Y CUAL FUE EL MOTIVO DE LA TERMINACIÓN LABORAL DE C. </w:t>
      </w:r>
      <w:r w:rsidR="001B21C6" w:rsidRPr="00D00578">
        <w:rPr>
          <w:rFonts w:cs="Arial"/>
          <w:b/>
          <w:i/>
          <w:noProof/>
          <w:color w:val="2E74B5" w:themeColor="accent1" w:themeShade="BF"/>
          <w:sz w:val="20"/>
        </w:rPr>
        <w:t>MARIA PATRICIA NAVARRO PADILLA</w:t>
      </w:r>
      <w:r>
        <w:rPr>
          <w:rFonts w:cs="Arial"/>
          <w:b/>
          <w:i/>
          <w:noProof/>
          <w:color w:val="2E74B5" w:themeColor="accent1" w:themeShade="BF"/>
          <w:sz w:val="20"/>
        </w:rPr>
        <w:t>...”</w:t>
      </w:r>
    </w:p>
    <w:p w:rsidR="00C225B3" w:rsidRPr="002868AD" w:rsidRDefault="00C225B3" w:rsidP="00C225B3">
      <w:pPr>
        <w:pStyle w:val="corte4fondo"/>
        <w:spacing w:line="276" w:lineRule="auto"/>
        <w:ind w:firstLine="0"/>
        <w:rPr>
          <w:rFonts w:cs="Arial"/>
          <w:b/>
          <w:i/>
          <w:color w:val="2E74B5" w:themeColor="accent1" w:themeShade="BF"/>
          <w:sz w:val="20"/>
        </w:rPr>
      </w:pPr>
      <w:r>
        <w:rPr>
          <w:rFonts w:cs="Arial"/>
          <w:b/>
          <w:i/>
          <w:noProof/>
          <w:color w:val="2E74B5" w:themeColor="accent1" w:themeShade="BF"/>
          <w:sz w:val="20"/>
        </w:rPr>
        <w:t xml:space="preserve">          </w:t>
      </w:r>
    </w:p>
    <w:p w:rsidR="001B21C6" w:rsidRDefault="00C225B3" w:rsidP="001B21C6">
      <w:pPr>
        <w:pStyle w:val="corte4fondo"/>
        <w:spacing w:line="276" w:lineRule="auto"/>
        <w:ind w:left="1" w:firstLine="0"/>
        <w:rPr>
          <w:rFonts w:cs="Arial"/>
          <w:color w:val="2E74B5" w:themeColor="accent1" w:themeShade="BF"/>
          <w:sz w:val="24"/>
          <w:szCs w:val="24"/>
        </w:rPr>
      </w:pPr>
      <w:r w:rsidRPr="002868AD">
        <w:rPr>
          <w:rFonts w:cs="Arial"/>
          <w:b/>
          <w:color w:val="2E74B5" w:themeColor="accent1" w:themeShade="BF"/>
          <w:sz w:val="24"/>
          <w:szCs w:val="24"/>
        </w:rPr>
        <w:t xml:space="preserve">    </w:t>
      </w:r>
      <w:r w:rsidR="001B21C6" w:rsidRPr="002868AD">
        <w:rPr>
          <w:rFonts w:cs="Arial"/>
          <w:b/>
          <w:color w:val="2E74B5" w:themeColor="accent1" w:themeShade="BF"/>
          <w:sz w:val="24"/>
          <w:szCs w:val="24"/>
        </w:rPr>
        <w:t>SEGUNDO. Respuesta a la solicitud de acceso a la información pública</w:t>
      </w:r>
      <w:r w:rsidR="001B21C6" w:rsidRPr="00F47779">
        <w:rPr>
          <w:rFonts w:cs="Arial"/>
          <w:color w:val="44546A" w:themeColor="text2"/>
          <w:sz w:val="24"/>
        </w:rPr>
        <w:t xml:space="preserve"> </w:t>
      </w:r>
      <w:r w:rsidR="001B21C6" w:rsidRPr="001B21C6">
        <w:rPr>
          <w:rFonts w:cs="Arial"/>
          <w:color w:val="2E74B5" w:themeColor="accent1" w:themeShade="BF"/>
          <w:sz w:val="24"/>
        </w:rPr>
        <w:t xml:space="preserve">Según consta registrado en la Plataforma Nacional de Transparencia, el sujeto obligado emitió contestación por medio del oficio </w:t>
      </w:r>
      <w:r w:rsidR="001B21C6" w:rsidRPr="00D00578">
        <w:rPr>
          <w:rFonts w:cs="Arial"/>
          <w:color w:val="2E74B5" w:themeColor="accent1" w:themeShade="BF"/>
          <w:sz w:val="24"/>
        </w:rPr>
        <w:t>U.T 1173/19</w:t>
      </w:r>
      <w:r w:rsidR="001B21C6" w:rsidRPr="001B21C6">
        <w:rPr>
          <w:rFonts w:cs="Arial"/>
          <w:color w:val="2E74B5" w:themeColor="accent1" w:themeShade="BF"/>
          <w:sz w:val="24"/>
        </w:rPr>
        <w:t xml:space="preserve">, el cual fue </w:t>
      </w:r>
      <w:r w:rsidR="001B21C6" w:rsidRPr="00D00578">
        <w:rPr>
          <w:rFonts w:cs="Arial"/>
          <w:color w:val="2E74B5" w:themeColor="accent1" w:themeShade="BF"/>
          <w:sz w:val="24"/>
        </w:rPr>
        <w:lastRenderedPageBreak/>
        <w:t xml:space="preserve">notificado </w:t>
      </w:r>
      <w:r w:rsidR="007112C5" w:rsidRPr="00D00578">
        <w:rPr>
          <w:rFonts w:cs="Arial"/>
          <w:color w:val="2E74B5" w:themeColor="accent1" w:themeShade="BF"/>
          <w:sz w:val="24"/>
        </w:rPr>
        <w:t>vía plataforma y personal</w:t>
      </w:r>
      <w:r w:rsidR="001B21C6" w:rsidRPr="001B21C6">
        <w:rPr>
          <w:rFonts w:cs="Arial"/>
          <w:color w:val="2E74B5" w:themeColor="accent1" w:themeShade="BF"/>
          <w:sz w:val="24"/>
        </w:rPr>
        <w:t xml:space="preserve"> al recurrente el 15 quince de marzo de 2019 dos mil diecinueve, en los siguientes términos</w:t>
      </w:r>
      <w:r w:rsidR="00E03D8B">
        <w:rPr>
          <w:rStyle w:val="Refdenotaalpie"/>
          <w:rFonts w:cs="Arial"/>
          <w:color w:val="2E74B5" w:themeColor="accent1" w:themeShade="BF"/>
          <w:sz w:val="24"/>
        </w:rPr>
        <w:footnoteReference w:id="2"/>
      </w:r>
      <w:r w:rsidRPr="001B21C6">
        <w:rPr>
          <w:rFonts w:cs="Arial"/>
          <w:color w:val="2E74B5" w:themeColor="accent1" w:themeShade="BF"/>
          <w:sz w:val="24"/>
          <w:szCs w:val="24"/>
        </w:rPr>
        <w:t>:</w:t>
      </w:r>
    </w:p>
    <w:p w:rsidR="00E03D8B" w:rsidRDefault="00E03D8B" w:rsidP="001B21C6">
      <w:pPr>
        <w:pStyle w:val="corte4fondo"/>
        <w:spacing w:line="276" w:lineRule="auto"/>
        <w:ind w:left="1" w:firstLine="0"/>
        <w:rPr>
          <w:rFonts w:cs="Arial"/>
          <w:color w:val="2E74B5" w:themeColor="accent1" w:themeShade="BF"/>
          <w:sz w:val="24"/>
          <w:szCs w:val="24"/>
        </w:rPr>
      </w:pPr>
    </w:p>
    <w:p w:rsidR="001B21C6" w:rsidRPr="006A363F" w:rsidRDefault="006A363F" w:rsidP="001B21C6">
      <w:pPr>
        <w:pStyle w:val="corte4fondo"/>
        <w:spacing w:line="276" w:lineRule="auto"/>
        <w:ind w:left="1" w:firstLine="707"/>
        <w:rPr>
          <w:rFonts w:cs="Arial"/>
          <w:i/>
          <w:color w:val="2E74B5" w:themeColor="accent1" w:themeShade="BF"/>
          <w:sz w:val="20"/>
          <w:szCs w:val="22"/>
        </w:rPr>
      </w:pPr>
      <w:r>
        <w:rPr>
          <w:rFonts w:cs="Arial"/>
          <w:i/>
          <w:color w:val="2E74B5" w:themeColor="accent1" w:themeShade="BF"/>
          <w:sz w:val="20"/>
          <w:szCs w:val="22"/>
        </w:rPr>
        <w:t>“</w:t>
      </w:r>
      <w:r w:rsidR="001B21C6" w:rsidRPr="006A363F">
        <w:rPr>
          <w:rFonts w:cs="Arial"/>
          <w:i/>
          <w:color w:val="2E74B5" w:themeColor="accent1" w:themeShade="BF"/>
          <w:sz w:val="20"/>
          <w:szCs w:val="22"/>
        </w:rPr>
        <w:t xml:space="preserve">En contestación a su solicitud de información con número de folio </w:t>
      </w:r>
      <w:r w:rsidR="001B21C6" w:rsidRPr="006A363F">
        <w:rPr>
          <w:rStyle w:val="apple-style-span"/>
          <w:rFonts w:cs="Arial"/>
          <w:b/>
          <w:i/>
          <w:color w:val="2E74B5" w:themeColor="accent1" w:themeShade="BF"/>
          <w:sz w:val="20"/>
          <w:szCs w:val="22"/>
          <w:shd w:val="clear" w:color="auto" w:fill="FFFFFF"/>
        </w:rPr>
        <w:t>UT-SI-384/2019-00268919</w:t>
      </w:r>
      <w:r w:rsidR="001B21C6" w:rsidRPr="006A363F">
        <w:rPr>
          <w:rFonts w:cs="Arial"/>
          <w:i/>
          <w:color w:val="2E74B5" w:themeColor="accent1" w:themeShade="BF"/>
          <w:sz w:val="20"/>
          <w:szCs w:val="22"/>
        </w:rPr>
        <w:t>; al respecto me permito hacer de su conocimiento, que luego de las gestiones realizadas por la Unidad de Transparencia del estado de S.L.P., y con fundamento en lo dispuesto por el artículo 54 fracciones  II y IV y el artículo 153 de la Ley de Transparencia y Acceso a la Información Pública del Estado de San Luis Potosí</w:t>
      </w:r>
      <w:r w:rsidR="001B21C6" w:rsidRPr="006A363F">
        <w:rPr>
          <w:rFonts w:cs="Arial"/>
          <w:b/>
          <w:i/>
          <w:color w:val="2E74B5" w:themeColor="accent1" w:themeShade="BF"/>
          <w:sz w:val="20"/>
          <w:szCs w:val="22"/>
        </w:rPr>
        <w:t xml:space="preserve">, </w:t>
      </w:r>
      <w:r w:rsidR="001B21C6" w:rsidRPr="006A363F">
        <w:rPr>
          <w:rFonts w:cs="Arial"/>
          <w:i/>
          <w:color w:val="2E74B5" w:themeColor="accent1" w:themeShade="BF"/>
          <w:sz w:val="20"/>
          <w:szCs w:val="22"/>
        </w:rPr>
        <w:t>ésta fue turnada para su atención al Área de Gobierno Municipal competente siendo en este caso:</w:t>
      </w:r>
    </w:p>
    <w:p w:rsidR="001B21C6" w:rsidRPr="006A363F" w:rsidRDefault="001B21C6" w:rsidP="001B21C6">
      <w:pPr>
        <w:pStyle w:val="corte4fondo"/>
        <w:spacing w:line="276" w:lineRule="auto"/>
        <w:ind w:left="1" w:firstLine="707"/>
        <w:rPr>
          <w:rFonts w:cs="Arial"/>
          <w:i/>
          <w:color w:val="2E74B5" w:themeColor="accent1" w:themeShade="BF"/>
          <w:sz w:val="22"/>
          <w:szCs w:val="24"/>
        </w:rPr>
      </w:pPr>
    </w:p>
    <w:p w:rsidR="001B21C6" w:rsidRPr="006A363F" w:rsidRDefault="001B21C6" w:rsidP="001B21C6">
      <w:pPr>
        <w:numPr>
          <w:ilvl w:val="0"/>
          <w:numId w:val="12"/>
        </w:numPr>
        <w:spacing w:after="0"/>
        <w:ind w:left="1068"/>
        <w:jc w:val="both"/>
        <w:rPr>
          <w:rFonts w:ascii="Arial" w:hAnsi="Arial" w:cs="Arial"/>
          <w:i/>
          <w:color w:val="2E74B5" w:themeColor="accent1" w:themeShade="BF"/>
          <w:sz w:val="20"/>
        </w:rPr>
      </w:pPr>
      <w:r w:rsidRPr="006A363F">
        <w:rPr>
          <w:rFonts w:ascii="Arial" w:hAnsi="Arial" w:cs="Arial"/>
          <w:b/>
          <w:i/>
          <w:color w:val="2E74B5" w:themeColor="accent1" w:themeShade="BF"/>
          <w:sz w:val="20"/>
        </w:rPr>
        <w:t>Dirección de Recursos Humanos</w:t>
      </w:r>
    </w:p>
    <w:p w:rsidR="001B21C6" w:rsidRPr="006A363F" w:rsidRDefault="001B21C6" w:rsidP="006A363F">
      <w:pPr>
        <w:spacing w:after="0"/>
        <w:ind w:left="1068"/>
        <w:jc w:val="both"/>
        <w:rPr>
          <w:rFonts w:ascii="Arial" w:hAnsi="Arial" w:cs="Arial"/>
          <w:i/>
          <w:color w:val="2E74B5" w:themeColor="accent1" w:themeShade="BF"/>
          <w:sz w:val="20"/>
        </w:rPr>
      </w:pPr>
    </w:p>
    <w:p w:rsidR="001B21C6" w:rsidRPr="006A363F" w:rsidRDefault="001B21C6" w:rsidP="001B21C6">
      <w:pPr>
        <w:jc w:val="both"/>
        <w:rPr>
          <w:rFonts w:ascii="Arial" w:hAnsi="Arial" w:cs="Arial"/>
          <w:i/>
          <w:color w:val="2E74B5" w:themeColor="accent1" w:themeShade="BF"/>
          <w:sz w:val="20"/>
        </w:rPr>
      </w:pPr>
      <w:r w:rsidRPr="006A363F">
        <w:rPr>
          <w:rFonts w:ascii="Arial" w:hAnsi="Arial" w:cs="Arial"/>
          <w:i/>
          <w:color w:val="2E74B5" w:themeColor="accent1" w:themeShade="BF"/>
          <w:sz w:val="20"/>
        </w:rPr>
        <w:t>Lo anterior mediante Oficios:</w:t>
      </w:r>
    </w:p>
    <w:p w:rsidR="001B21C6" w:rsidRPr="006A363F" w:rsidRDefault="001B21C6" w:rsidP="001B21C6">
      <w:pPr>
        <w:pStyle w:val="Prrafodelista"/>
        <w:ind w:left="770"/>
        <w:jc w:val="both"/>
        <w:rPr>
          <w:rFonts w:ascii="Arial" w:hAnsi="Arial" w:cs="Arial"/>
          <w:b/>
          <w:i/>
          <w:color w:val="2E74B5" w:themeColor="accent1" w:themeShade="BF"/>
          <w:sz w:val="20"/>
        </w:rPr>
      </w:pPr>
    </w:p>
    <w:p w:rsidR="001B21C6" w:rsidRPr="006A363F" w:rsidRDefault="001B21C6" w:rsidP="001B21C6">
      <w:pPr>
        <w:pStyle w:val="Prrafodelista"/>
        <w:numPr>
          <w:ilvl w:val="0"/>
          <w:numId w:val="13"/>
        </w:numPr>
        <w:spacing w:after="0"/>
        <w:jc w:val="both"/>
        <w:rPr>
          <w:rFonts w:ascii="Arial" w:hAnsi="Arial" w:cs="Arial"/>
          <w:b/>
          <w:i/>
          <w:color w:val="2E74B5" w:themeColor="accent1" w:themeShade="BF"/>
          <w:sz w:val="20"/>
        </w:rPr>
      </w:pPr>
      <w:r w:rsidRPr="006A363F">
        <w:rPr>
          <w:rFonts w:ascii="Arial" w:hAnsi="Arial" w:cs="Arial"/>
          <w:b/>
          <w:i/>
          <w:color w:val="2E74B5" w:themeColor="accent1" w:themeShade="BF"/>
          <w:sz w:val="20"/>
        </w:rPr>
        <w:t>DRH/449/2019</w:t>
      </w:r>
      <w:r w:rsidRPr="006A363F">
        <w:rPr>
          <w:rFonts w:ascii="Arial" w:hAnsi="Arial" w:cs="Arial"/>
          <w:i/>
          <w:color w:val="2E74B5" w:themeColor="accent1" w:themeShade="BF"/>
          <w:sz w:val="20"/>
        </w:rPr>
        <w:t>, recibido en fecha 13 (trece) de marzo del presente año,  suscrito por la Lic. Claudia Fitch Watkins, Directora De Recursos Humanos, en respuesta a su solicitud de información, mismos que se adjuntan en archivo digital, que constan de 01 (una) foja útil.</w:t>
      </w:r>
      <w:r w:rsidR="006A363F">
        <w:rPr>
          <w:rFonts w:ascii="Arial" w:hAnsi="Arial" w:cs="Arial"/>
          <w:i/>
          <w:color w:val="2E74B5" w:themeColor="accent1" w:themeShade="BF"/>
          <w:sz w:val="20"/>
        </w:rPr>
        <w:t>”</w:t>
      </w:r>
    </w:p>
    <w:p w:rsidR="001B21C6" w:rsidRPr="001B21C6" w:rsidRDefault="001B21C6" w:rsidP="00C225B3">
      <w:pPr>
        <w:pStyle w:val="corte4fondo"/>
        <w:spacing w:line="276" w:lineRule="auto"/>
        <w:ind w:left="1" w:firstLine="0"/>
        <w:rPr>
          <w:rFonts w:cs="Arial"/>
          <w:color w:val="2E74B5" w:themeColor="accent1" w:themeShade="BF"/>
          <w:sz w:val="24"/>
          <w:szCs w:val="24"/>
        </w:rPr>
      </w:pPr>
    </w:p>
    <w:p w:rsidR="00C225B3" w:rsidRDefault="007112C5" w:rsidP="007112C5">
      <w:pPr>
        <w:pStyle w:val="corte4fondo"/>
        <w:spacing w:line="276" w:lineRule="auto"/>
        <w:ind w:left="1" w:firstLine="0"/>
        <w:jc w:val="center"/>
        <w:rPr>
          <w:rFonts w:cs="Arial"/>
          <w:color w:val="2E74B5" w:themeColor="accent1" w:themeShade="BF"/>
          <w:sz w:val="24"/>
          <w:szCs w:val="24"/>
        </w:rPr>
      </w:pPr>
      <w:r>
        <w:rPr>
          <w:rFonts w:cs="Arial"/>
          <w:noProof/>
          <w:color w:val="2E74B5" w:themeColor="accent1" w:themeShade="BF"/>
          <w:sz w:val="24"/>
          <w:szCs w:val="24"/>
        </w:rPr>
        <w:drawing>
          <wp:inline distT="0" distB="0" distL="0" distR="0">
            <wp:extent cx="3082290" cy="3984810"/>
            <wp:effectExtent l="19050" t="0" r="381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082290" cy="3984810"/>
                    </a:xfrm>
                    <a:prstGeom prst="rect">
                      <a:avLst/>
                    </a:prstGeom>
                    <a:noFill/>
                    <a:ln w="9525">
                      <a:noFill/>
                      <a:miter lim="800000"/>
                      <a:headEnd/>
                      <a:tailEnd/>
                    </a:ln>
                  </pic:spPr>
                </pic:pic>
              </a:graphicData>
            </a:graphic>
          </wp:inline>
        </w:drawing>
      </w:r>
    </w:p>
    <w:p w:rsidR="007112C5" w:rsidRPr="002868AD" w:rsidRDefault="007112C5" w:rsidP="007112C5">
      <w:pPr>
        <w:pStyle w:val="corte4fondo"/>
        <w:spacing w:line="276" w:lineRule="auto"/>
        <w:ind w:left="1" w:firstLine="0"/>
        <w:jc w:val="center"/>
        <w:rPr>
          <w:rFonts w:cs="Arial"/>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TERCERO. Interposición del recurso. </w:t>
      </w:r>
      <w:r w:rsidRPr="002868AD">
        <w:rPr>
          <w:rFonts w:cs="Arial"/>
          <w:color w:val="2E74B5" w:themeColor="accent1" w:themeShade="BF"/>
          <w:sz w:val="24"/>
          <w:szCs w:val="24"/>
        </w:rPr>
        <w:t xml:space="preserve">El </w:t>
      </w:r>
      <w:r>
        <w:rPr>
          <w:rFonts w:cs="Arial"/>
          <w:color w:val="2E74B5" w:themeColor="accent1" w:themeShade="BF"/>
          <w:sz w:val="24"/>
          <w:szCs w:val="24"/>
        </w:rPr>
        <w:t>08 ocho de abril del 2019 dos mil diecinueve, el solicitante de la información interpuso el recurso de revisión por estar inconforme con la respuesta proporcionada por el sujeto obligado a su escrito de solicitud de información mencionada en el punto anterior</w:t>
      </w:r>
      <w:r w:rsidRPr="002868AD">
        <w:rPr>
          <w:rFonts w:cs="Arial"/>
          <w:color w:val="2E74B5" w:themeColor="accent1" w:themeShade="BF"/>
          <w:sz w:val="24"/>
          <w:szCs w:val="24"/>
        </w:rPr>
        <w:t>.</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CUARTO. Trámite del recurso de revisión ante esta Comisión Estatal de Garantía de Acceso a la Información Pública. </w:t>
      </w:r>
      <w:r w:rsidRPr="002868AD">
        <w:rPr>
          <w:rFonts w:cs="Arial"/>
          <w:color w:val="2E74B5" w:themeColor="accent1" w:themeShade="BF"/>
          <w:sz w:val="24"/>
          <w:szCs w:val="24"/>
        </w:rPr>
        <w:t>Mediante auto de</w:t>
      </w:r>
      <w:r>
        <w:rPr>
          <w:rFonts w:cs="Arial"/>
          <w:color w:val="2E74B5" w:themeColor="accent1" w:themeShade="BF"/>
          <w:sz w:val="24"/>
          <w:szCs w:val="24"/>
        </w:rPr>
        <w:t xml:space="preserve"> 11 once de </w:t>
      </w:r>
      <w:r>
        <w:rPr>
          <w:rFonts w:cs="Arial"/>
          <w:color w:val="2E74B5" w:themeColor="accent1" w:themeShade="BF"/>
          <w:sz w:val="24"/>
          <w:szCs w:val="24"/>
        </w:rPr>
        <w:lastRenderedPageBreak/>
        <w:t>abril de 2019 dos mil diecinueve</w:t>
      </w:r>
      <w:r w:rsidRPr="002868AD">
        <w:rPr>
          <w:rFonts w:cs="Arial"/>
          <w:color w:val="2E74B5" w:themeColor="accent1" w:themeShade="BF"/>
          <w:sz w:val="24"/>
          <w:szCs w:val="24"/>
        </w:rPr>
        <w:t xml:space="preserve"> 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desecamiento según fuera el caso.</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QUINTO. Auto de admisión y trámite. </w:t>
      </w:r>
      <w:r w:rsidRPr="002868AD">
        <w:rPr>
          <w:rFonts w:cs="Arial"/>
          <w:color w:val="2E74B5" w:themeColor="accent1" w:themeShade="BF"/>
          <w:sz w:val="24"/>
          <w:szCs w:val="24"/>
        </w:rPr>
        <w:t>Por proveído del</w:t>
      </w:r>
      <w:r>
        <w:rPr>
          <w:rFonts w:cs="Arial"/>
          <w:color w:val="2E74B5" w:themeColor="accent1" w:themeShade="BF"/>
          <w:sz w:val="24"/>
          <w:szCs w:val="24"/>
        </w:rPr>
        <w:t xml:space="preserve"> 03 tres de junio</w:t>
      </w:r>
      <w:r w:rsidRPr="002868AD">
        <w:rPr>
          <w:rFonts w:cs="Arial"/>
          <w:color w:val="2E74B5" w:themeColor="accent1" w:themeShade="BF"/>
          <w:sz w:val="24"/>
          <w:szCs w:val="24"/>
        </w:rPr>
        <w:t xml:space="preserve"> </w:t>
      </w:r>
      <w:r>
        <w:rPr>
          <w:rFonts w:cs="Arial"/>
          <w:color w:val="2E74B5" w:themeColor="accent1" w:themeShade="BF"/>
          <w:sz w:val="24"/>
          <w:szCs w:val="24"/>
        </w:rPr>
        <w:t>de 2019 dos mil diecinueve</w:t>
      </w:r>
      <w:r w:rsidRPr="002868AD">
        <w:rPr>
          <w:rFonts w:cs="Arial"/>
          <w:color w:val="2E74B5" w:themeColor="accent1" w:themeShade="BF"/>
          <w:sz w:val="24"/>
          <w:szCs w:val="24"/>
        </w:rPr>
        <w:t>, la Comisionad</w:t>
      </w:r>
      <w:r w:rsidR="006A363F">
        <w:rPr>
          <w:rFonts w:cs="Arial"/>
          <w:color w:val="2E74B5" w:themeColor="accent1" w:themeShade="BF"/>
          <w:sz w:val="24"/>
          <w:szCs w:val="24"/>
        </w:rPr>
        <w:t>a</w:t>
      </w:r>
      <w:r w:rsidRPr="002868AD">
        <w:rPr>
          <w:rFonts w:cs="Arial"/>
          <w:color w:val="2E74B5" w:themeColor="accent1" w:themeShade="BF"/>
          <w:sz w:val="24"/>
          <w:szCs w:val="24"/>
        </w:rPr>
        <w:t xml:space="preserve"> Ponente acordó la admisión del recurso </w:t>
      </w:r>
      <w:r w:rsidR="006A363F">
        <w:rPr>
          <w:rFonts w:cs="Arial"/>
          <w:color w:val="2E74B5" w:themeColor="accent1" w:themeShade="BF"/>
          <w:sz w:val="24"/>
          <w:szCs w:val="24"/>
        </w:rPr>
        <w:t>de revisión por actualizarse la</w:t>
      </w:r>
      <w:r w:rsidRPr="002868AD">
        <w:rPr>
          <w:rFonts w:cs="Arial"/>
          <w:color w:val="2E74B5" w:themeColor="accent1" w:themeShade="BF"/>
          <w:sz w:val="24"/>
          <w:szCs w:val="24"/>
        </w:rPr>
        <w:t xml:space="preserve"> hipótesi</w:t>
      </w:r>
      <w:r w:rsidR="006A363F">
        <w:rPr>
          <w:rFonts w:cs="Arial"/>
          <w:color w:val="2E74B5" w:themeColor="accent1" w:themeShade="BF"/>
          <w:sz w:val="24"/>
          <w:szCs w:val="24"/>
        </w:rPr>
        <w:t>s establecida</w:t>
      </w:r>
      <w:r>
        <w:rPr>
          <w:rFonts w:cs="Arial"/>
          <w:color w:val="2E74B5" w:themeColor="accent1" w:themeShade="BF"/>
          <w:sz w:val="24"/>
          <w:szCs w:val="24"/>
        </w:rPr>
        <w:t xml:space="preserve"> en la fracción</w:t>
      </w:r>
      <w:r w:rsidRPr="002868AD">
        <w:rPr>
          <w:rFonts w:cs="Arial"/>
          <w:color w:val="2E74B5" w:themeColor="accent1" w:themeShade="BF"/>
          <w:sz w:val="24"/>
          <w:szCs w:val="24"/>
        </w:rPr>
        <w:t xml:space="preserve"> I</w:t>
      </w:r>
      <w:r>
        <w:rPr>
          <w:rFonts w:cs="Arial"/>
          <w:color w:val="2E74B5" w:themeColor="accent1" w:themeShade="BF"/>
          <w:sz w:val="24"/>
          <w:szCs w:val="24"/>
        </w:rPr>
        <w:t xml:space="preserve"> </w:t>
      </w:r>
      <w:r w:rsidRPr="002868AD">
        <w:rPr>
          <w:rFonts w:cs="Arial"/>
          <w:color w:val="2E74B5" w:themeColor="accent1" w:themeShade="BF"/>
          <w:sz w:val="24"/>
          <w:szCs w:val="24"/>
        </w:rPr>
        <w:t>del artículo 167 de la Ley de Transparencia y Acceso a la Información Pública del Estado, de la misma manera:</w:t>
      </w:r>
    </w:p>
    <w:p w:rsidR="00C225B3" w:rsidRPr="002868AD" w:rsidRDefault="00C225B3" w:rsidP="00C225B3">
      <w:pPr>
        <w:pStyle w:val="corte4fondo"/>
        <w:tabs>
          <w:tab w:val="left" w:pos="3451"/>
        </w:tabs>
        <w:spacing w:line="276" w:lineRule="auto"/>
        <w:rPr>
          <w:rFonts w:cs="Arial"/>
          <w:color w:val="2E74B5" w:themeColor="accent1" w:themeShade="BF"/>
          <w:sz w:val="24"/>
          <w:szCs w:val="24"/>
        </w:rPr>
      </w:pPr>
    </w:p>
    <w:p w:rsidR="00C225B3" w:rsidRPr="002868AD" w:rsidRDefault="00C225B3" w:rsidP="00C225B3">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Tuvo por recibido en tiempo y forma el medio de impugnación.</w:t>
      </w:r>
    </w:p>
    <w:p w:rsidR="00C225B3" w:rsidRPr="002868AD" w:rsidRDefault="00C225B3" w:rsidP="00C225B3">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Lo registró en el Libro de Gobierno </w:t>
      </w:r>
      <w:r>
        <w:rPr>
          <w:rFonts w:cs="Arial"/>
          <w:color w:val="2E74B5" w:themeColor="accent1" w:themeShade="BF"/>
          <w:sz w:val="24"/>
          <w:szCs w:val="24"/>
        </w:rPr>
        <w:t>el presente expediente como RR-671/2019</w:t>
      </w:r>
      <w:r w:rsidRPr="002868AD">
        <w:rPr>
          <w:rFonts w:cs="Arial"/>
          <w:color w:val="2E74B5" w:themeColor="accent1" w:themeShade="BF"/>
          <w:sz w:val="24"/>
          <w:szCs w:val="24"/>
        </w:rPr>
        <w:t>-2.</w:t>
      </w:r>
    </w:p>
    <w:p w:rsidR="00C225B3" w:rsidRPr="002868AD" w:rsidRDefault="00C225B3" w:rsidP="00C225B3">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Tuvo como sujeto obligado al </w:t>
      </w:r>
      <w:r>
        <w:rPr>
          <w:rFonts w:cs="Arial"/>
          <w:b/>
          <w:color w:val="2E74B5" w:themeColor="accent1" w:themeShade="BF"/>
          <w:sz w:val="24"/>
          <w:szCs w:val="24"/>
        </w:rPr>
        <w:t>H. AYUNTAMIENTO DE SAN LUIS POTOSÍ, POR CONDUCTO DE SU PR</w:t>
      </w:r>
      <w:r w:rsidR="00237509">
        <w:rPr>
          <w:rFonts w:cs="Arial"/>
          <w:b/>
          <w:color w:val="2E74B5" w:themeColor="accent1" w:themeShade="BF"/>
          <w:sz w:val="24"/>
          <w:szCs w:val="24"/>
        </w:rPr>
        <w:t xml:space="preserve">ESIDENTE MUNICIPAL, A TRAVÉS DEL TITULAR </w:t>
      </w:r>
      <w:r>
        <w:rPr>
          <w:rFonts w:cs="Arial"/>
          <w:b/>
          <w:color w:val="2E74B5" w:themeColor="accent1" w:themeShade="BF"/>
          <w:sz w:val="24"/>
          <w:szCs w:val="24"/>
        </w:rPr>
        <w:t>DE LA UNIDAD DE TRANSPARENCIA.</w:t>
      </w:r>
    </w:p>
    <w:p w:rsidR="006A363F" w:rsidRDefault="00C225B3" w:rsidP="006A363F">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Tuvo al recurrente por ofrecida</w:t>
      </w:r>
      <w:r>
        <w:rPr>
          <w:rFonts w:cs="Arial"/>
          <w:color w:val="2E74B5" w:themeColor="accent1" w:themeShade="BF"/>
          <w:sz w:val="24"/>
          <w:szCs w:val="24"/>
        </w:rPr>
        <w:t>s las documentales</w:t>
      </w:r>
      <w:r w:rsidRPr="002868AD">
        <w:rPr>
          <w:rFonts w:cs="Arial"/>
          <w:color w:val="2E74B5" w:themeColor="accent1" w:themeShade="BF"/>
          <w:sz w:val="24"/>
          <w:szCs w:val="24"/>
        </w:rPr>
        <w:t xml:space="preserve"> que adjuntó en su recurso de revisión –mismas que se admitieron y se desahogaron dada su especial naturaleza–.</w:t>
      </w:r>
    </w:p>
    <w:p w:rsidR="00C225B3" w:rsidRPr="002868AD" w:rsidRDefault="00C225B3" w:rsidP="00C225B3">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Se le tuvo al recurrente por señalado domicilio para oír notificaciones.</w:t>
      </w:r>
    </w:p>
    <w:p w:rsidR="00C225B3" w:rsidRPr="002868AD" w:rsidRDefault="00C225B3" w:rsidP="00C225B3">
      <w:pPr>
        <w:pStyle w:val="corte4fondo"/>
        <w:numPr>
          <w:ilvl w:val="0"/>
          <w:numId w:val="2"/>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color w:val="2E74B5" w:themeColor="accent1" w:themeShade="BF"/>
          <w:sz w:val="24"/>
          <w:szCs w:val="24"/>
        </w:rPr>
        <w:t>Asimismo, en ese auto se expresó que el sujeto obligado debería informar a esta Comisión de Transparencia si la información que le fue solicitada:</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Se encontraba en sus archivos.</w:t>
      </w:r>
    </w:p>
    <w:p w:rsidR="00C225B3" w:rsidRPr="002868AD" w:rsidRDefault="00C225B3" w:rsidP="00C225B3">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C225B3" w:rsidRPr="002868AD" w:rsidRDefault="00C225B3" w:rsidP="00C225B3">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Se encuentra en una de las excepciones del derecho de acceso a la información.</w:t>
      </w:r>
    </w:p>
    <w:p w:rsidR="00C225B3" w:rsidRPr="002868AD" w:rsidRDefault="00C225B3" w:rsidP="00C225B3">
      <w:pPr>
        <w:pStyle w:val="corte4fondo"/>
        <w:numPr>
          <w:ilvl w:val="0"/>
          <w:numId w:val="1"/>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Si existe impedimento legal para su entrega –cuando se trate de información reservada o confidencial–. </w:t>
      </w:r>
    </w:p>
    <w:p w:rsidR="00C225B3" w:rsidRPr="002868AD" w:rsidRDefault="00C225B3" w:rsidP="00C225B3">
      <w:pPr>
        <w:pStyle w:val="corte4fondo"/>
        <w:spacing w:line="276" w:lineRule="auto"/>
        <w:ind w:left="1429" w:firstLine="0"/>
        <w:rPr>
          <w:rFonts w:cs="Arial"/>
          <w:color w:val="2E74B5" w:themeColor="accent1" w:themeShade="BF"/>
          <w:sz w:val="24"/>
          <w:szCs w:val="24"/>
        </w:rPr>
      </w:pPr>
    </w:p>
    <w:p w:rsidR="00C225B3" w:rsidRPr="002868AD" w:rsidRDefault="00C225B3" w:rsidP="00C225B3">
      <w:pPr>
        <w:pStyle w:val="corte4fondo"/>
        <w:spacing w:line="276" w:lineRule="auto"/>
        <w:ind w:firstLine="0"/>
        <w:rPr>
          <w:rFonts w:cs="Arial"/>
          <w:color w:val="2E74B5" w:themeColor="accent1" w:themeShade="BF"/>
          <w:sz w:val="24"/>
          <w:szCs w:val="24"/>
        </w:rPr>
      </w:pPr>
      <w:r w:rsidRPr="002868AD">
        <w:rPr>
          <w:rFonts w:cs="Arial"/>
          <w:color w:val="2E74B5" w:themeColor="accent1" w:themeShade="BF"/>
          <w:sz w:val="24"/>
          <w:szCs w:val="24"/>
        </w:rPr>
        <w:tab/>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que una vez, que sea decretado el cierre de instrucción no se atendería la información que fuese enviada.</w:t>
      </w:r>
    </w:p>
    <w:p w:rsidR="00C225B3" w:rsidRPr="002868AD" w:rsidRDefault="00C225B3" w:rsidP="00C225B3">
      <w:pPr>
        <w:pStyle w:val="corte4fondo"/>
        <w:spacing w:line="276" w:lineRule="auto"/>
        <w:ind w:firstLine="0"/>
        <w:rPr>
          <w:rFonts w:cs="Arial"/>
          <w:color w:val="2E74B5" w:themeColor="accent1" w:themeShade="BF"/>
          <w:sz w:val="24"/>
          <w:szCs w:val="24"/>
        </w:rPr>
      </w:pPr>
    </w:p>
    <w:p w:rsidR="00C225B3" w:rsidRPr="002868AD" w:rsidRDefault="00C225B3" w:rsidP="00C225B3">
      <w:pPr>
        <w:pStyle w:val="corte4fondo"/>
        <w:spacing w:line="276" w:lineRule="auto"/>
        <w:rPr>
          <w:rFonts w:cs="Arial"/>
          <w:b/>
          <w:color w:val="2E74B5" w:themeColor="accent1" w:themeShade="BF"/>
          <w:sz w:val="24"/>
          <w:szCs w:val="24"/>
        </w:rPr>
      </w:pPr>
      <w:r w:rsidRPr="002868AD">
        <w:rPr>
          <w:rFonts w:cs="Arial"/>
          <w:b/>
          <w:color w:val="2E74B5" w:themeColor="accent1" w:themeShade="BF"/>
          <w:sz w:val="24"/>
          <w:szCs w:val="24"/>
        </w:rPr>
        <w:t>SEXTO. Rendición del informe del sujeto obligado</w:t>
      </w:r>
      <w:r w:rsidRPr="002868AD">
        <w:rPr>
          <w:rFonts w:cs="Arial"/>
          <w:color w:val="2E74B5" w:themeColor="accent1" w:themeShade="BF"/>
          <w:sz w:val="24"/>
          <w:szCs w:val="24"/>
        </w:rPr>
        <w:t xml:space="preserve">. Por proveído del </w:t>
      </w:r>
      <w:r>
        <w:rPr>
          <w:rFonts w:cs="Arial"/>
          <w:color w:val="2E74B5" w:themeColor="accent1" w:themeShade="BF"/>
          <w:sz w:val="24"/>
          <w:szCs w:val="24"/>
        </w:rPr>
        <w:t>24 veinticuatro de Junio de 2019 dos mil diecinueve</w:t>
      </w:r>
      <w:r w:rsidRPr="002868AD">
        <w:rPr>
          <w:rFonts w:cs="Arial"/>
          <w:color w:val="2E74B5" w:themeColor="accent1" w:themeShade="BF"/>
          <w:sz w:val="24"/>
          <w:szCs w:val="24"/>
        </w:rPr>
        <w:t xml:space="preserve"> la ponente del presente asunto:</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37509" w:rsidRDefault="00C225B3" w:rsidP="00C225B3">
      <w:pPr>
        <w:pStyle w:val="corte4fondo"/>
        <w:numPr>
          <w:ilvl w:val="0"/>
          <w:numId w:val="3"/>
        </w:numPr>
        <w:spacing w:line="276" w:lineRule="auto"/>
        <w:rPr>
          <w:rFonts w:cs="Arial"/>
          <w:color w:val="2E74B5" w:themeColor="accent1" w:themeShade="BF"/>
          <w:sz w:val="24"/>
          <w:szCs w:val="24"/>
        </w:rPr>
      </w:pPr>
      <w:r w:rsidRPr="00237509">
        <w:rPr>
          <w:rFonts w:cs="Arial"/>
          <w:color w:val="2E74B5" w:themeColor="accent1" w:themeShade="BF"/>
          <w:sz w:val="24"/>
          <w:szCs w:val="24"/>
        </w:rPr>
        <w:t xml:space="preserve">Tuvo por recibido 01 un oficio U.T.2506/19, signado por la </w:t>
      </w:r>
      <w:r w:rsidRPr="00237509">
        <w:rPr>
          <w:rFonts w:cs="Arial"/>
          <w:b/>
          <w:color w:val="2E74B5" w:themeColor="accent1" w:themeShade="BF"/>
          <w:sz w:val="24"/>
          <w:szCs w:val="24"/>
        </w:rPr>
        <w:t>TITULAR DE LA UNIDAD DE TRANSPARENCIA DEL H. AYUNTAMIENT</w:t>
      </w:r>
      <w:r w:rsidR="00237509">
        <w:rPr>
          <w:rFonts w:cs="Arial"/>
          <w:b/>
          <w:color w:val="2E74B5" w:themeColor="accent1" w:themeShade="BF"/>
          <w:sz w:val="24"/>
          <w:szCs w:val="24"/>
        </w:rPr>
        <w:t xml:space="preserve">O </w:t>
      </w:r>
      <w:r w:rsidRPr="00237509">
        <w:rPr>
          <w:rFonts w:cs="Arial"/>
          <w:b/>
          <w:color w:val="2E74B5" w:themeColor="accent1" w:themeShade="BF"/>
          <w:sz w:val="24"/>
          <w:szCs w:val="24"/>
        </w:rPr>
        <w:t xml:space="preserve">DE SAN LUIS POTOSÍ, </w:t>
      </w:r>
      <w:r w:rsidRPr="00237509">
        <w:rPr>
          <w:rFonts w:cs="Arial"/>
          <w:color w:val="2E74B5" w:themeColor="accent1" w:themeShade="BF"/>
          <w:sz w:val="24"/>
          <w:szCs w:val="24"/>
        </w:rPr>
        <w:t>junto con anexos.</w:t>
      </w:r>
    </w:p>
    <w:p w:rsidR="00C225B3" w:rsidRPr="00237509" w:rsidRDefault="00C225B3" w:rsidP="00C225B3">
      <w:pPr>
        <w:pStyle w:val="corte4fondo"/>
        <w:numPr>
          <w:ilvl w:val="0"/>
          <w:numId w:val="3"/>
        </w:numPr>
        <w:spacing w:line="276" w:lineRule="auto"/>
        <w:rPr>
          <w:rFonts w:cs="Arial"/>
          <w:color w:val="2E74B5" w:themeColor="accent1" w:themeShade="BF"/>
          <w:sz w:val="24"/>
          <w:szCs w:val="24"/>
        </w:rPr>
      </w:pPr>
      <w:r w:rsidRPr="00237509">
        <w:rPr>
          <w:rFonts w:cs="Arial"/>
          <w:color w:val="2E74B5" w:themeColor="accent1" w:themeShade="BF"/>
          <w:sz w:val="24"/>
          <w:szCs w:val="24"/>
        </w:rPr>
        <w:t>Por reconocida su personalidad.</w:t>
      </w:r>
    </w:p>
    <w:p w:rsidR="00C225B3" w:rsidRPr="00237509" w:rsidRDefault="00C225B3" w:rsidP="00C225B3">
      <w:pPr>
        <w:pStyle w:val="corte4fondo"/>
        <w:numPr>
          <w:ilvl w:val="0"/>
          <w:numId w:val="3"/>
        </w:numPr>
        <w:spacing w:line="276" w:lineRule="auto"/>
        <w:rPr>
          <w:rFonts w:cs="Arial"/>
          <w:color w:val="2E74B5" w:themeColor="accent1" w:themeShade="BF"/>
          <w:sz w:val="24"/>
          <w:szCs w:val="24"/>
        </w:rPr>
      </w:pPr>
      <w:r w:rsidRPr="00237509">
        <w:rPr>
          <w:rFonts w:cs="Arial"/>
          <w:color w:val="2E74B5" w:themeColor="accent1" w:themeShade="BF"/>
          <w:sz w:val="24"/>
          <w:szCs w:val="24"/>
        </w:rPr>
        <w:t>Por expresados los argumentos relacionados con el presente asunto.</w:t>
      </w:r>
    </w:p>
    <w:p w:rsidR="00C225B3" w:rsidRPr="00237509" w:rsidRDefault="00C225B3" w:rsidP="00C225B3">
      <w:pPr>
        <w:pStyle w:val="corte4fondo"/>
        <w:numPr>
          <w:ilvl w:val="0"/>
          <w:numId w:val="3"/>
        </w:numPr>
        <w:spacing w:line="276" w:lineRule="auto"/>
        <w:rPr>
          <w:rFonts w:cs="Arial"/>
          <w:color w:val="2E74B5" w:themeColor="accent1" w:themeShade="BF"/>
          <w:sz w:val="24"/>
          <w:szCs w:val="24"/>
        </w:rPr>
      </w:pPr>
      <w:r w:rsidRPr="00237509">
        <w:rPr>
          <w:rFonts w:cs="Arial"/>
          <w:color w:val="2E74B5" w:themeColor="accent1" w:themeShade="BF"/>
          <w:sz w:val="24"/>
          <w:szCs w:val="24"/>
        </w:rPr>
        <w:t>Por ofrecidas las pruebas documentales que adjuntó al oficio de cuenta.</w:t>
      </w:r>
    </w:p>
    <w:p w:rsidR="00C225B3" w:rsidRPr="00237509" w:rsidRDefault="00C225B3" w:rsidP="00C225B3">
      <w:pPr>
        <w:pStyle w:val="corte4fondo"/>
        <w:numPr>
          <w:ilvl w:val="0"/>
          <w:numId w:val="3"/>
        </w:numPr>
        <w:spacing w:line="276" w:lineRule="auto"/>
        <w:rPr>
          <w:rFonts w:cs="Arial"/>
          <w:color w:val="2E74B5" w:themeColor="accent1" w:themeShade="BF"/>
          <w:sz w:val="24"/>
          <w:szCs w:val="24"/>
        </w:rPr>
      </w:pPr>
      <w:r w:rsidRPr="00237509">
        <w:rPr>
          <w:rFonts w:cs="Arial"/>
          <w:color w:val="2E74B5" w:themeColor="accent1" w:themeShade="BF"/>
          <w:sz w:val="24"/>
          <w:szCs w:val="24"/>
        </w:rPr>
        <w:t>Por señalado domicilio para oír y recibir notificaciones.</w:t>
      </w:r>
    </w:p>
    <w:p w:rsidR="00C225B3" w:rsidRPr="002868AD" w:rsidRDefault="00C225B3" w:rsidP="00C225B3">
      <w:pPr>
        <w:pStyle w:val="corte4fondo"/>
        <w:spacing w:line="276" w:lineRule="auto"/>
        <w:ind w:left="1510" w:firstLine="0"/>
        <w:rPr>
          <w:rFonts w:cs="Arial"/>
          <w:color w:val="2E74B5" w:themeColor="accent1" w:themeShade="BF"/>
          <w:sz w:val="24"/>
          <w:szCs w:val="24"/>
        </w:rPr>
      </w:pPr>
      <w:r w:rsidRPr="002868AD">
        <w:rPr>
          <w:rFonts w:cs="Arial"/>
          <w:color w:val="2E74B5" w:themeColor="accent1" w:themeShade="BF"/>
          <w:sz w:val="24"/>
          <w:szCs w:val="24"/>
        </w:rPr>
        <w:t xml:space="preserve"> </w:t>
      </w:r>
    </w:p>
    <w:p w:rsidR="00C225B3" w:rsidRPr="002868AD" w:rsidRDefault="00C225B3" w:rsidP="00C225B3">
      <w:pPr>
        <w:pStyle w:val="corte4fondo"/>
        <w:tabs>
          <w:tab w:val="left" w:pos="0"/>
        </w:tabs>
        <w:spacing w:line="276" w:lineRule="auto"/>
        <w:ind w:firstLine="0"/>
        <w:rPr>
          <w:rFonts w:cs="Arial"/>
          <w:color w:val="2E74B5" w:themeColor="accent1" w:themeShade="BF"/>
          <w:sz w:val="24"/>
          <w:szCs w:val="24"/>
        </w:rPr>
      </w:pPr>
      <w:r w:rsidRPr="002868AD">
        <w:rPr>
          <w:rFonts w:cs="Arial"/>
          <w:color w:val="2E74B5" w:themeColor="accent1" w:themeShade="BF"/>
          <w:sz w:val="24"/>
          <w:szCs w:val="24"/>
        </w:rPr>
        <w:tab/>
      </w:r>
      <w:r w:rsidRPr="009C3EF1">
        <w:rPr>
          <w:rFonts w:cs="Arial"/>
          <w:color w:val="2E74B5" w:themeColor="accent1" w:themeShade="BF"/>
          <w:sz w:val="24"/>
          <w:szCs w:val="24"/>
        </w:rPr>
        <w:t>Respecto de la parte recurrente, se advirtió que no compareció a realizar las manifestaciones que a su derecho conviniera – ofrecer pruebas y alegar.</w:t>
      </w:r>
    </w:p>
    <w:p w:rsidR="00C225B3" w:rsidRPr="002868AD" w:rsidRDefault="00C225B3" w:rsidP="00C225B3">
      <w:pPr>
        <w:pStyle w:val="corte4fondo"/>
        <w:spacing w:line="276" w:lineRule="auto"/>
        <w:ind w:firstLine="708"/>
        <w:rPr>
          <w:rFonts w:cs="Arial"/>
          <w:b/>
          <w:color w:val="2E74B5" w:themeColor="accent1" w:themeShade="BF"/>
          <w:sz w:val="24"/>
          <w:szCs w:val="24"/>
        </w:rPr>
      </w:pPr>
    </w:p>
    <w:p w:rsidR="00C225B3" w:rsidRPr="002868AD" w:rsidRDefault="00C225B3" w:rsidP="00C225B3">
      <w:pPr>
        <w:pStyle w:val="corte4fondo"/>
        <w:spacing w:line="276" w:lineRule="auto"/>
        <w:ind w:firstLine="708"/>
        <w:rPr>
          <w:rFonts w:cs="Arial"/>
          <w:color w:val="2E74B5" w:themeColor="accent1" w:themeShade="BF"/>
          <w:sz w:val="24"/>
          <w:szCs w:val="24"/>
          <w:lang w:val="es-ES"/>
        </w:rPr>
      </w:pPr>
      <w:r w:rsidRPr="002868AD">
        <w:rPr>
          <w:rFonts w:cs="Arial"/>
          <w:b/>
          <w:color w:val="2E74B5" w:themeColor="accent1" w:themeShade="BF"/>
          <w:sz w:val="24"/>
          <w:szCs w:val="24"/>
        </w:rPr>
        <w:t>SÉPTIMO. Ampliación del plazo para resolver.</w:t>
      </w:r>
      <w:r>
        <w:rPr>
          <w:rFonts w:cs="Arial"/>
          <w:color w:val="2E74B5" w:themeColor="accent1" w:themeShade="BF"/>
          <w:sz w:val="24"/>
          <w:szCs w:val="24"/>
        </w:rPr>
        <w:t xml:space="preserve"> Por auto de 09 nueve de julio de 2019 dos mil diecinueve</w:t>
      </w:r>
      <w:r w:rsidRPr="002868AD">
        <w:rPr>
          <w:rFonts w:cs="Arial"/>
          <w:color w:val="2E74B5" w:themeColor="accent1" w:themeShade="BF"/>
          <w:sz w:val="24"/>
          <w:szCs w:val="24"/>
        </w:rPr>
        <w:t>, la ponente decretó la ampliación del plazo para resolver el presente asunto, ello de conformidad con el Lineamiento Décimo Noveno de los Lineamientos para la Recepción, Sustanciación, Resolución</w:t>
      </w:r>
      <w:r w:rsidRPr="002868AD">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Pr="002868AD">
        <w:rPr>
          <w:rFonts w:cs="Arial"/>
          <w:color w:val="2E74B5" w:themeColor="accent1" w:themeShade="BF"/>
          <w:sz w:val="24"/>
          <w:szCs w:val="24"/>
          <w:lang w:val="es-ES"/>
        </w:rPr>
        <w:t>.</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color w:val="2E74B5" w:themeColor="accent1" w:themeShade="BF"/>
          <w:sz w:val="24"/>
          <w:szCs w:val="24"/>
        </w:rPr>
        <w:t>Para concluir, la ponente declaró cerrado el periodo de instrucción y procedió a elaborar el proyecto de resolución respectivo.</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spacing w:line="276" w:lineRule="auto"/>
        <w:jc w:val="center"/>
        <w:rPr>
          <w:rFonts w:cs="Arial"/>
          <w:b/>
          <w:color w:val="2E74B5" w:themeColor="accent1" w:themeShade="BF"/>
          <w:sz w:val="24"/>
          <w:szCs w:val="24"/>
        </w:rPr>
      </w:pPr>
      <w:r w:rsidRPr="002868AD">
        <w:rPr>
          <w:rFonts w:cs="Arial"/>
          <w:b/>
          <w:color w:val="2E74B5" w:themeColor="accent1" w:themeShade="BF"/>
          <w:sz w:val="24"/>
          <w:szCs w:val="24"/>
        </w:rPr>
        <w:t>CONSIDERANDO</w:t>
      </w:r>
    </w:p>
    <w:p w:rsidR="00C225B3" w:rsidRPr="002868AD" w:rsidRDefault="00C225B3" w:rsidP="00C225B3">
      <w:pPr>
        <w:pStyle w:val="corte4fondo"/>
        <w:spacing w:line="276" w:lineRule="auto"/>
        <w:rPr>
          <w:rFonts w:cs="Arial"/>
          <w:b/>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PRIMERO. Competencia. </w:t>
      </w:r>
      <w:r w:rsidRPr="002868AD">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 xml:space="preserve">SEGUNDO. Procedencia. </w:t>
      </w:r>
      <w:r w:rsidRPr="002868AD">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spacing w:line="276" w:lineRule="auto"/>
        <w:rPr>
          <w:rFonts w:cs="Arial"/>
          <w:color w:val="2E74B5" w:themeColor="accent1" w:themeShade="BF"/>
          <w:sz w:val="24"/>
          <w:szCs w:val="24"/>
        </w:rPr>
      </w:pPr>
      <w:r w:rsidRPr="002868AD">
        <w:rPr>
          <w:rFonts w:cs="Arial"/>
          <w:b/>
          <w:color w:val="2E74B5" w:themeColor="accent1" w:themeShade="BF"/>
          <w:sz w:val="24"/>
          <w:szCs w:val="24"/>
        </w:rPr>
        <w:t>TERCERO. Oportunidad del recurso</w:t>
      </w:r>
      <w:r w:rsidRPr="002868AD">
        <w:rPr>
          <w:rFonts w:cs="Arial"/>
          <w:color w:val="2E74B5" w:themeColor="accent1" w:themeShade="BF"/>
          <w:sz w:val="24"/>
          <w:szCs w:val="24"/>
        </w:rPr>
        <w:t xml:space="preserve">. La interposición del escrito inicial del recurso de revisión fue oportuna al presentarse dentro del plazo de quince días </w:t>
      </w:r>
      <w:r w:rsidRPr="002868AD">
        <w:rPr>
          <w:rFonts w:cs="Arial"/>
          <w:color w:val="2E74B5" w:themeColor="accent1" w:themeShade="BF"/>
          <w:sz w:val="24"/>
          <w:szCs w:val="24"/>
        </w:rPr>
        <w:lastRenderedPageBreak/>
        <w:t>a que se refiere el artículo 166 de la Ley de Transparencia y Acceso a la Información Pública del Estado, como se expone a continuación:</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C225B3" w:rsidP="00C225B3">
      <w:pPr>
        <w:pStyle w:val="corte4fondo"/>
        <w:numPr>
          <w:ilvl w:val="0"/>
          <w:numId w:val="4"/>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El </w:t>
      </w:r>
      <w:r>
        <w:rPr>
          <w:rFonts w:cs="Arial"/>
          <w:color w:val="2E74B5" w:themeColor="accent1" w:themeShade="BF"/>
          <w:sz w:val="24"/>
          <w:szCs w:val="24"/>
        </w:rPr>
        <w:t>15 quince de marzo de 2019 dos mil diecinueve</w:t>
      </w:r>
      <w:r w:rsidRPr="002868AD">
        <w:rPr>
          <w:rFonts w:cs="Arial"/>
          <w:color w:val="2E74B5" w:themeColor="accent1" w:themeShade="BF"/>
          <w:sz w:val="24"/>
          <w:szCs w:val="24"/>
        </w:rPr>
        <w:t xml:space="preserve"> el solicitante de la información fue notificado de la respuesta a su solicitud.</w:t>
      </w:r>
    </w:p>
    <w:p w:rsidR="00C225B3" w:rsidRPr="002868AD" w:rsidRDefault="00C225B3" w:rsidP="00C225B3">
      <w:pPr>
        <w:pStyle w:val="corte4fondo"/>
        <w:numPr>
          <w:ilvl w:val="0"/>
          <w:numId w:val="4"/>
        </w:numPr>
        <w:spacing w:line="276" w:lineRule="auto"/>
        <w:rPr>
          <w:rFonts w:cs="Arial"/>
          <w:color w:val="2E74B5" w:themeColor="accent1" w:themeShade="BF"/>
          <w:sz w:val="24"/>
          <w:szCs w:val="24"/>
        </w:rPr>
      </w:pPr>
      <w:r w:rsidRPr="002868AD">
        <w:rPr>
          <w:rFonts w:cs="Arial"/>
          <w:color w:val="2E74B5" w:themeColor="accent1" w:themeShade="BF"/>
          <w:sz w:val="24"/>
          <w:szCs w:val="24"/>
        </w:rPr>
        <w:t xml:space="preserve">Por lo tanto, el plazo de los quince días hábiles para interponer el recurso de revisión transcurrió del día </w:t>
      </w:r>
      <w:r>
        <w:rPr>
          <w:rFonts w:cs="Arial"/>
          <w:color w:val="2E74B5" w:themeColor="accent1" w:themeShade="BF"/>
          <w:sz w:val="24"/>
          <w:szCs w:val="24"/>
        </w:rPr>
        <w:t>19 diecinueve</w:t>
      </w:r>
      <w:r w:rsidRPr="002868AD">
        <w:rPr>
          <w:rFonts w:cs="Arial"/>
          <w:color w:val="2E74B5" w:themeColor="accent1" w:themeShade="BF"/>
          <w:sz w:val="24"/>
          <w:szCs w:val="24"/>
        </w:rPr>
        <w:t xml:space="preserve"> </w:t>
      </w:r>
      <w:r>
        <w:rPr>
          <w:rFonts w:cs="Arial"/>
          <w:color w:val="2E74B5" w:themeColor="accent1" w:themeShade="BF"/>
          <w:sz w:val="24"/>
          <w:szCs w:val="24"/>
        </w:rPr>
        <w:t xml:space="preserve">de marzo </w:t>
      </w:r>
      <w:r w:rsidRPr="002868AD">
        <w:rPr>
          <w:rFonts w:cs="Arial"/>
          <w:color w:val="2E74B5" w:themeColor="accent1" w:themeShade="BF"/>
          <w:sz w:val="24"/>
          <w:szCs w:val="24"/>
        </w:rPr>
        <w:t xml:space="preserve">al </w:t>
      </w:r>
      <w:r>
        <w:rPr>
          <w:rFonts w:cs="Arial"/>
          <w:color w:val="2E74B5" w:themeColor="accent1" w:themeShade="BF"/>
          <w:sz w:val="24"/>
          <w:szCs w:val="24"/>
        </w:rPr>
        <w:t>08 ocho de abril de 2019 dos mil diecinueve</w:t>
      </w:r>
      <w:r w:rsidRPr="002868AD">
        <w:rPr>
          <w:rFonts w:cs="Arial"/>
          <w:color w:val="2E74B5" w:themeColor="accent1" w:themeShade="BF"/>
          <w:sz w:val="24"/>
          <w:szCs w:val="24"/>
        </w:rPr>
        <w:t xml:space="preserve">. </w:t>
      </w:r>
    </w:p>
    <w:p w:rsidR="00C225B3" w:rsidRPr="002868AD" w:rsidRDefault="00C225B3" w:rsidP="00C225B3">
      <w:pPr>
        <w:pStyle w:val="corte4fondo"/>
        <w:numPr>
          <w:ilvl w:val="0"/>
          <w:numId w:val="4"/>
        </w:numPr>
        <w:spacing w:line="276" w:lineRule="auto"/>
        <w:rPr>
          <w:rFonts w:cs="Arial"/>
          <w:color w:val="2E74B5" w:themeColor="accent1" w:themeShade="BF"/>
          <w:sz w:val="24"/>
          <w:szCs w:val="24"/>
        </w:rPr>
      </w:pPr>
      <w:r w:rsidRPr="002868AD">
        <w:rPr>
          <w:rFonts w:cs="Arial"/>
          <w:color w:val="2E74B5" w:themeColor="accent1" w:themeShade="BF"/>
          <w:sz w:val="24"/>
          <w:szCs w:val="24"/>
        </w:rPr>
        <w:t>Se deben de descontar de dicho cóm</w:t>
      </w:r>
      <w:r>
        <w:rPr>
          <w:rFonts w:cs="Arial"/>
          <w:color w:val="2E74B5" w:themeColor="accent1" w:themeShade="BF"/>
          <w:sz w:val="24"/>
          <w:szCs w:val="24"/>
        </w:rPr>
        <w:t xml:space="preserve">puto por ser inhábiles los días 23 veintitrés, 24 veinticuatro, 30 treinta, 31 treinta y uno de marzo, 06 seis y 07 siete de abril </w:t>
      </w:r>
      <w:r w:rsidRPr="002868AD">
        <w:rPr>
          <w:rFonts w:cs="Arial"/>
          <w:color w:val="2E74B5" w:themeColor="accent1" w:themeShade="BF"/>
          <w:sz w:val="24"/>
          <w:szCs w:val="24"/>
        </w:rPr>
        <w:t>del referido año.</w:t>
      </w:r>
    </w:p>
    <w:p w:rsidR="00C225B3" w:rsidRPr="00532A70" w:rsidRDefault="00C225B3" w:rsidP="00C225B3">
      <w:pPr>
        <w:pStyle w:val="corte4fondo"/>
        <w:numPr>
          <w:ilvl w:val="0"/>
          <w:numId w:val="4"/>
        </w:numPr>
        <w:spacing w:line="276" w:lineRule="auto"/>
        <w:rPr>
          <w:rFonts w:cs="Arial"/>
          <w:color w:val="2E74B5" w:themeColor="accent1" w:themeShade="BF"/>
          <w:sz w:val="24"/>
          <w:szCs w:val="24"/>
        </w:rPr>
      </w:pPr>
      <w:r>
        <w:rPr>
          <w:rFonts w:cs="Arial"/>
          <w:color w:val="2E74B5" w:themeColor="accent1" w:themeShade="BF"/>
          <w:sz w:val="24"/>
          <w:szCs w:val="24"/>
        </w:rPr>
        <w:t>Consecuentemente si el 08 ocho de abril de 2019 dos mil diecinueve</w:t>
      </w:r>
      <w:r w:rsidRPr="00532A70">
        <w:rPr>
          <w:rFonts w:cs="Arial"/>
          <w:color w:val="2E74B5" w:themeColor="accent1" w:themeShade="BF"/>
          <w:sz w:val="24"/>
          <w:szCs w:val="24"/>
        </w:rPr>
        <w:t xml:space="preserve"> el recurrente interpuso el citado medio de impugnación ante esta Comisión de Transparencia, resulta claro que es oportuna su presentación.     </w:t>
      </w:r>
    </w:p>
    <w:p w:rsidR="00C225B3" w:rsidRPr="002868AD" w:rsidRDefault="00C225B3" w:rsidP="00C225B3">
      <w:pPr>
        <w:pStyle w:val="corte4fondo"/>
        <w:spacing w:line="276" w:lineRule="auto"/>
        <w:ind w:left="1429" w:firstLine="0"/>
        <w:rPr>
          <w:rFonts w:cs="Arial"/>
          <w:color w:val="2E74B5" w:themeColor="accent1" w:themeShade="BF"/>
          <w:sz w:val="24"/>
          <w:szCs w:val="24"/>
        </w:rPr>
      </w:pPr>
    </w:p>
    <w:p w:rsidR="00C225B3" w:rsidRPr="002868AD" w:rsidRDefault="00C225B3" w:rsidP="00C225B3">
      <w:pPr>
        <w:pStyle w:val="corte4fondo"/>
        <w:spacing w:line="276" w:lineRule="auto"/>
        <w:ind w:firstLine="708"/>
        <w:rPr>
          <w:rFonts w:cs="Arial"/>
          <w:color w:val="2E74B5" w:themeColor="accent1" w:themeShade="BF"/>
          <w:sz w:val="24"/>
          <w:szCs w:val="24"/>
        </w:rPr>
      </w:pPr>
      <w:r w:rsidRPr="002868AD">
        <w:rPr>
          <w:rFonts w:cs="Arial"/>
          <w:b/>
          <w:color w:val="2E74B5" w:themeColor="accent1" w:themeShade="BF"/>
          <w:sz w:val="24"/>
          <w:szCs w:val="24"/>
        </w:rPr>
        <w:t>CUARTO. Certeza del acto reclamado</w:t>
      </w:r>
      <w:r w:rsidRPr="002868AD">
        <w:rPr>
          <w:rFonts w:cs="Arial"/>
          <w:color w:val="2E74B5" w:themeColor="accent1" w:themeShade="BF"/>
          <w:sz w:val="24"/>
          <w:szCs w:val="24"/>
        </w:rPr>
        <w:t xml:space="preserve">. Son ciertos los actos reclamados atribuidos a los sujetos obligados, puesto que así lo reconocieron las autoridades mencionadas al momento de rendir su informe. </w:t>
      </w:r>
    </w:p>
    <w:p w:rsidR="00C225B3" w:rsidRDefault="00C225B3" w:rsidP="00C225B3">
      <w:pPr>
        <w:pStyle w:val="corte4fondo"/>
        <w:spacing w:line="276" w:lineRule="auto"/>
        <w:ind w:firstLine="708"/>
        <w:rPr>
          <w:rFonts w:cs="Arial"/>
          <w:color w:val="2E74B5" w:themeColor="accent1" w:themeShade="BF"/>
          <w:sz w:val="24"/>
          <w:szCs w:val="24"/>
        </w:rPr>
      </w:pPr>
    </w:p>
    <w:p w:rsidR="007112C5" w:rsidRPr="007112C5" w:rsidRDefault="007112C5" w:rsidP="007076CE">
      <w:pPr>
        <w:pStyle w:val="corte4fondo"/>
        <w:spacing w:line="240" w:lineRule="auto"/>
        <w:ind w:firstLine="708"/>
        <w:rPr>
          <w:rFonts w:cs="Arial"/>
          <w:color w:val="2E74B5" w:themeColor="accent1" w:themeShade="BF"/>
          <w:sz w:val="24"/>
          <w:szCs w:val="24"/>
        </w:rPr>
      </w:pPr>
      <w:r w:rsidRPr="007076CE">
        <w:rPr>
          <w:rFonts w:cs="Arial"/>
          <w:b/>
          <w:color w:val="2E74B5" w:themeColor="accent1" w:themeShade="BF"/>
          <w:sz w:val="24"/>
          <w:szCs w:val="24"/>
        </w:rPr>
        <w:t>QUINTO</w:t>
      </w:r>
      <w:r w:rsidRPr="007112C5">
        <w:rPr>
          <w:rFonts w:cs="Arial"/>
          <w:color w:val="2E74B5" w:themeColor="accent1" w:themeShade="BF"/>
          <w:sz w:val="24"/>
          <w:szCs w:val="24"/>
        </w:rPr>
        <w:t>. Causales de improcedencia. Las causales de improcedencia</w:t>
      </w:r>
      <w:r>
        <w:rPr>
          <w:rFonts w:cs="Arial"/>
          <w:color w:val="2E74B5" w:themeColor="accent1" w:themeShade="BF"/>
          <w:sz w:val="24"/>
          <w:szCs w:val="24"/>
        </w:rPr>
        <w:t xml:space="preserve"> </w:t>
      </w:r>
      <w:r w:rsidRPr="007112C5">
        <w:rPr>
          <w:rFonts w:cs="Arial"/>
          <w:color w:val="2E74B5" w:themeColor="accent1" w:themeShade="BF"/>
          <w:sz w:val="24"/>
          <w:szCs w:val="24"/>
        </w:rPr>
        <w:t>previstas en el artículo 179 de la Ley de Transparencia son de estudio oficioso y</w:t>
      </w:r>
      <w:r w:rsidR="007076CE">
        <w:rPr>
          <w:rFonts w:cs="Arial"/>
          <w:color w:val="2E74B5" w:themeColor="accent1" w:themeShade="BF"/>
          <w:sz w:val="24"/>
          <w:szCs w:val="24"/>
        </w:rPr>
        <w:t xml:space="preserve"> </w:t>
      </w:r>
      <w:r w:rsidRPr="007112C5">
        <w:rPr>
          <w:rFonts w:cs="Arial"/>
          <w:color w:val="2E74B5" w:themeColor="accent1" w:themeShade="BF"/>
          <w:sz w:val="24"/>
          <w:szCs w:val="24"/>
        </w:rPr>
        <w:t>preferente a cualquier otra cuestión planteada, por lo tanto, al no haber causal de</w:t>
      </w:r>
    </w:p>
    <w:p w:rsidR="007112C5" w:rsidRDefault="007112C5" w:rsidP="007076CE">
      <w:pPr>
        <w:pStyle w:val="corte4fondo"/>
        <w:spacing w:line="240" w:lineRule="auto"/>
        <w:ind w:firstLine="0"/>
        <w:rPr>
          <w:rFonts w:cs="Arial"/>
          <w:color w:val="2E74B5" w:themeColor="accent1" w:themeShade="BF"/>
          <w:sz w:val="24"/>
          <w:szCs w:val="24"/>
        </w:rPr>
      </w:pPr>
      <w:r w:rsidRPr="007112C5">
        <w:rPr>
          <w:rFonts w:cs="Arial"/>
          <w:color w:val="2E74B5" w:themeColor="accent1" w:themeShade="BF"/>
          <w:sz w:val="24"/>
          <w:szCs w:val="24"/>
        </w:rPr>
        <w:t>improcedencia invocada por las partes o advertida por este Órgano Colegiado, se</w:t>
      </w:r>
      <w:r w:rsidR="007076CE">
        <w:rPr>
          <w:rFonts w:cs="Arial"/>
          <w:color w:val="2E74B5" w:themeColor="accent1" w:themeShade="BF"/>
          <w:sz w:val="24"/>
          <w:szCs w:val="24"/>
        </w:rPr>
        <w:t xml:space="preserve"> </w:t>
      </w:r>
      <w:r w:rsidRPr="007112C5">
        <w:rPr>
          <w:rFonts w:cs="Arial"/>
          <w:color w:val="2E74B5" w:themeColor="accent1" w:themeShade="BF"/>
          <w:sz w:val="24"/>
          <w:szCs w:val="24"/>
        </w:rPr>
        <w:t>analiza el fondo de la cuestión planteada.</w:t>
      </w:r>
    </w:p>
    <w:p w:rsidR="007112C5" w:rsidRDefault="007112C5" w:rsidP="00C225B3">
      <w:pPr>
        <w:pStyle w:val="corte4fondo"/>
        <w:spacing w:line="276" w:lineRule="auto"/>
        <w:ind w:firstLine="708"/>
        <w:rPr>
          <w:rFonts w:cs="Arial"/>
          <w:color w:val="2E74B5" w:themeColor="accent1" w:themeShade="BF"/>
          <w:sz w:val="24"/>
          <w:szCs w:val="24"/>
        </w:rPr>
      </w:pPr>
    </w:p>
    <w:p w:rsidR="007112C5" w:rsidRPr="002868AD" w:rsidRDefault="007112C5" w:rsidP="00C225B3">
      <w:pPr>
        <w:pStyle w:val="corte4fondo"/>
        <w:spacing w:line="276" w:lineRule="auto"/>
        <w:ind w:firstLine="708"/>
        <w:rPr>
          <w:rFonts w:cs="Arial"/>
          <w:color w:val="2E74B5" w:themeColor="accent1" w:themeShade="BF"/>
          <w:sz w:val="24"/>
          <w:szCs w:val="24"/>
        </w:rPr>
      </w:pPr>
    </w:p>
    <w:p w:rsidR="00C225B3" w:rsidRPr="002868AD" w:rsidRDefault="00C225B3" w:rsidP="00C225B3">
      <w:pPr>
        <w:spacing w:after="0"/>
        <w:jc w:val="both"/>
        <w:rPr>
          <w:rFonts w:ascii="Arial" w:hAnsi="Arial" w:cs="Arial"/>
          <w:color w:val="2E74B5" w:themeColor="accent1" w:themeShade="BF"/>
          <w:sz w:val="24"/>
          <w:szCs w:val="24"/>
        </w:rPr>
      </w:pPr>
      <w:r w:rsidRPr="002868AD">
        <w:rPr>
          <w:rFonts w:ascii="Arial" w:hAnsi="Arial" w:cs="Arial"/>
          <w:color w:val="2E74B5" w:themeColor="accent1" w:themeShade="BF"/>
          <w:sz w:val="24"/>
          <w:szCs w:val="24"/>
        </w:rPr>
        <w:tab/>
      </w:r>
      <w:r w:rsidR="007076CE" w:rsidRPr="007076CE">
        <w:rPr>
          <w:rFonts w:ascii="Arial" w:hAnsi="Arial" w:cs="Arial"/>
          <w:b/>
          <w:color w:val="2E74B5" w:themeColor="accent1" w:themeShade="BF"/>
          <w:sz w:val="24"/>
          <w:szCs w:val="24"/>
        </w:rPr>
        <w:t>SEXTO</w:t>
      </w:r>
      <w:r w:rsidRPr="007076CE">
        <w:rPr>
          <w:rFonts w:ascii="Arial" w:hAnsi="Arial" w:cs="Arial"/>
          <w:b/>
          <w:color w:val="2E74B5" w:themeColor="accent1" w:themeShade="BF"/>
          <w:sz w:val="24"/>
          <w:szCs w:val="24"/>
        </w:rPr>
        <w:t>. Estudio de los agravios</w:t>
      </w:r>
      <w:r w:rsidRPr="007076CE">
        <w:rPr>
          <w:rFonts w:ascii="Arial" w:hAnsi="Arial" w:cs="Arial"/>
          <w:color w:val="2E74B5" w:themeColor="accent1" w:themeShade="BF"/>
          <w:sz w:val="24"/>
          <w:szCs w:val="24"/>
        </w:rPr>
        <w:t>.</w:t>
      </w:r>
      <w:r w:rsidRPr="002868AD">
        <w:rPr>
          <w:rFonts w:ascii="Arial" w:hAnsi="Arial" w:cs="Arial"/>
          <w:color w:val="2E74B5" w:themeColor="accent1" w:themeShade="BF"/>
          <w:sz w:val="24"/>
          <w:szCs w:val="24"/>
        </w:rPr>
        <w:t xml:space="preserve">  </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7076CE" w:rsidP="00C225B3">
      <w:pPr>
        <w:pStyle w:val="corte4fondo"/>
        <w:spacing w:line="276" w:lineRule="auto"/>
        <w:ind w:firstLine="708"/>
        <w:rPr>
          <w:rFonts w:cs="Arial"/>
          <w:color w:val="2E74B5" w:themeColor="accent1" w:themeShade="BF"/>
          <w:sz w:val="24"/>
          <w:szCs w:val="24"/>
        </w:rPr>
      </w:pPr>
      <w:r>
        <w:rPr>
          <w:rFonts w:cs="Arial"/>
          <w:b/>
          <w:color w:val="2E74B5" w:themeColor="accent1" w:themeShade="BF"/>
          <w:sz w:val="24"/>
          <w:szCs w:val="24"/>
        </w:rPr>
        <w:t>6</w:t>
      </w:r>
      <w:r w:rsidR="00C225B3" w:rsidRPr="002868AD">
        <w:rPr>
          <w:rFonts w:cs="Arial"/>
          <w:b/>
          <w:color w:val="2E74B5" w:themeColor="accent1" w:themeShade="BF"/>
          <w:sz w:val="24"/>
          <w:szCs w:val="24"/>
        </w:rPr>
        <w:t>.1. Agravios.</w:t>
      </w:r>
      <w:r w:rsidR="00C225B3" w:rsidRPr="002868AD">
        <w:rPr>
          <w:rFonts w:cs="Arial"/>
          <w:color w:val="2E74B5" w:themeColor="accent1" w:themeShade="BF"/>
          <w:sz w:val="24"/>
          <w:szCs w:val="24"/>
        </w:rPr>
        <w:t xml:space="preserve"> E</w:t>
      </w:r>
      <w:r>
        <w:rPr>
          <w:rFonts w:cs="Arial"/>
          <w:color w:val="2E74B5" w:themeColor="accent1" w:themeShade="BF"/>
          <w:sz w:val="24"/>
          <w:szCs w:val="24"/>
        </w:rPr>
        <w:t>n síntesis e</w:t>
      </w:r>
      <w:r w:rsidR="00C225B3" w:rsidRPr="002868AD">
        <w:rPr>
          <w:rFonts w:cs="Arial"/>
          <w:color w:val="2E74B5" w:themeColor="accent1" w:themeShade="BF"/>
          <w:sz w:val="24"/>
          <w:szCs w:val="24"/>
        </w:rPr>
        <w:t>l recurrente expresó como inconformidad:</w:t>
      </w:r>
    </w:p>
    <w:p w:rsidR="00C225B3" w:rsidRPr="002868AD" w:rsidRDefault="00C225B3" w:rsidP="00C225B3">
      <w:pPr>
        <w:pStyle w:val="corte4fondo"/>
        <w:spacing w:line="276" w:lineRule="auto"/>
        <w:rPr>
          <w:rFonts w:cs="Arial"/>
          <w:color w:val="2E74B5" w:themeColor="accent1" w:themeShade="BF"/>
          <w:sz w:val="24"/>
          <w:szCs w:val="24"/>
        </w:rPr>
      </w:pPr>
    </w:p>
    <w:p w:rsidR="00C225B3" w:rsidRPr="002868AD" w:rsidRDefault="007076CE" w:rsidP="00C225B3">
      <w:pPr>
        <w:pStyle w:val="corte4fondo"/>
        <w:spacing w:line="276" w:lineRule="auto"/>
        <w:ind w:firstLine="708"/>
        <w:rPr>
          <w:rFonts w:cs="Arial"/>
          <w:i/>
          <w:color w:val="2E74B5" w:themeColor="accent1" w:themeShade="BF"/>
          <w:sz w:val="20"/>
        </w:rPr>
      </w:pPr>
      <w:r>
        <w:rPr>
          <w:rFonts w:cs="Arial"/>
          <w:i/>
          <w:color w:val="2E74B5" w:themeColor="accent1" w:themeShade="BF"/>
          <w:sz w:val="20"/>
        </w:rPr>
        <w:t>“…</w:t>
      </w:r>
      <w:r w:rsidR="00C225B3">
        <w:rPr>
          <w:rFonts w:cs="Arial"/>
          <w:i/>
          <w:color w:val="2E74B5" w:themeColor="accent1" w:themeShade="BF"/>
          <w:sz w:val="20"/>
        </w:rPr>
        <w:t xml:space="preserve">El sujeto obligado en su afán por ocultar información sin contar con motivo alguno, emitió una respuesta al suscrito carente de razones, circunstancias, motivos y fundamentos con los cuales se pudiera evidenciar la veracidad de sus afirmación, pues si bien es cierto que la ley de la materia, permite a los entes obligados a clasificar determinada información, esto es siempre y cuando exista la prueba de daño a que refiere el artículo 118 y 122 de la ley de la materia, y dicha resolución que emita </w:t>
      </w:r>
      <w:r w:rsidR="00E03D8B">
        <w:rPr>
          <w:rFonts w:cs="Arial"/>
          <w:i/>
          <w:color w:val="2E74B5" w:themeColor="accent1" w:themeShade="BF"/>
          <w:sz w:val="20"/>
        </w:rPr>
        <w:t>el Comité</w:t>
      </w:r>
      <w:r w:rsidR="00C225B3">
        <w:rPr>
          <w:rFonts w:cs="Arial"/>
          <w:i/>
          <w:color w:val="2E74B5" w:themeColor="accent1" w:themeShade="BF"/>
          <w:sz w:val="20"/>
        </w:rPr>
        <w:t xml:space="preserve"> de Transparencia deberá de ser notificada al interesado, misma que en la especie en el presente caso no aconteció, desconociéndose si exista esa supuesta resolución y si bien aconteció, desconociéndose si exista esa supuesta resolución  y si bien de existir, me deja en estado de indefensión al no saber cuáles fueron los argumentos utilizados para clasificar la información como reservada</w:t>
      </w:r>
      <w:r w:rsidR="00C225B3" w:rsidRPr="002868AD">
        <w:rPr>
          <w:rFonts w:cs="Arial"/>
          <w:i/>
          <w:color w:val="2E74B5" w:themeColor="accent1" w:themeShade="BF"/>
          <w:sz w:val="20"/>
        </w:rPr>
        <w:t xml:space="preserve">…”  </w:t>
      </w:r>
    </w:p>
    <w:p w:rsidR="00C225B3" w:rsidRPr="002868AD" w:rsidRDefault="00C225B3" w:rsidP="00C225B3">
      <w:pPr>
        <w:pStyle w:val="corte4fondo"/>
        <w:spacing w:line="276" w:lineRule="auto"/>
        <w:ind w:firstLine="0"/>
        <w:rPr>
          <w:rFonts w:cs="Arial"/>
          <w:i/>
          <w:color w:val="2E74B5" w:themeColor="accent1" w:themeShade="BF"/>
          <w:sz w:val="20"/>
        </w:rPr>
      </w:pPr>
    </w:p>
    <w:p w:rsidR="00C225B3" w:rsidRPr="002868AD" w:rsidRDefault="00C225B3" w:rsidP="00C225B3">
      <w:pPr>
        <w:pStyle w:val="corte4fondo"/>
        <w:spacing w:line="276" w:lineRule="auto"/>
        <w:ind w:firstLine="0"/>
        <w:rPr>
          <w:rFonts w:cs="Arial"/>
          <w:i/>
          <w:color w:val="2E74B5" w:themeColor="accent1" w:themeShade="BF"/>
          <w:sz w:val="20"/>
        </w:rPr>
      </w:pPr>
    </w:p>
    <w:p w:rsidR="00E03D8B" w:rsidRPr="00B66156" w:rsidRDefault="00E03D8B" w:rsidP="00E03D8B">
      <w:pPr>
        <w:autoSpaceDE w:val="0"/>
        <w:autoSpaceDN w:val="0"/>
        <w:adjustRightInd w:val="0"/>
        <w:ind w:left="-709" w:firstLine="708"/>
        <w:jc w:val="both"/>
        <w:rPr>
          <w:rFonts w:ascii="Arial" w:eastAsia="Arial Unicode MS" w:hAnsi="Arial" w:cs="Arial"/>
          <w:color w:val="5B9BD5" w:themeColor="accent1"/>
          <w:sz w:val="24"/>
          <w:lang w:val="es-ES_tradnl"/>
        </w:rPr>
      </w:pPr>
      <w:r w:rsidRPr="00B66156">
        <w:rPr>
          <w:rFonts w:ascii="Arial" w:hAnsi="Arial" w:cs="Arial"/>
          <w:color w:val="5B9BD5" w:themeColor="accent1"/>
          <w:sz w:val="24"/>
        </w:rPr>
        <w:t xml:space="preserve">Ahora bien, previo al análisis de fondo se trae a contexto los siguientes preceptos de la </w:t>
      </w:r>
      <w:r w:rsidRPr="00B66156">
        <w:rPr>
          <w:rFonts w:ascii="Arial" w:eastAsia="Arial Unicode MS" w:hAnsi="Arial" w:cs="Arial"/>
          <w:color w:val="5B9BD5" w:themeColor="accent1"/>
          <w:sz w:val="24"/>
          <w:lang w:val="es-ES_tradnl"/>
        </w:rPr>
        <w:t>Ley de Transparencia y Acceso a la Información Pública del Estado de San Luis Potosí:</w:t>
      </w:r>
    </w:p>
    <w:p w:rsidR="00E03D8B" w:rsidRPr="00B66156" w:rsidRDefault="00E03D8B" w:rsidP="00E03D8B">
      <w:pPr>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 xml:space="preserve">“ARTÍCULO 113. Las figuras jurídicas de excepción al derecho de acceso a la información pública, son las de información reservada, e información confidencial.” </w:t>
      </w:r>
    </w:p>
    <w:p w:rsidR="00E03D8B" w:rsidRPr="00B66156" w:rsidRDefault="00E03D8B" w:rsidP="00E03D8B">
      <w:pPr>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lastRenderedPageBreak/>
        <w:t>“ARTÍCULO 114. La clasificación es el proceso mediante el cual el sujeto obligado determina que la información en su poder actualiza alguno de los supuestos de reserva o confidencialidad, de conformidad con lo dispuesto en el presente Título.”</w:t>
      </w:r>
    </w:p>
    <w:p w:rsidR="00E03D8B" w:rsidRPr="00B66156" w:rsidRDefault="00E03D8B" w:rsidP="00E03D8B">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E03D8B" w:rsidRPr="00B66156" w:rsidRDefault="00E03D8B" w:rsidP="00E03D8B">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En el caso de que la información solicitada consista en bases de datos se deberá privilegiar la entrega de la misma en Formatos Abiertos.”</w:t>
      </w:r>
    </w:p>
    <w:p w:rsidR="00E03D8B" w:rsidRPr="00B66156" w:rsidRDefault="00E03D8B" w:rsidP="00E03D8B">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E03D8B" w:rsidRPr="00B66156" w:rsidRDefault="00E03D8B" w:rsidP="00E03D8B">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 xml:space="preserve">“ARTÍCULO 154. La respuesta a la solicitud deberá ser notificada al interesado en el menor tiempo posible, que no podrá exceder de diez días, contados a partir del día siguiente a la presentación de aquélla. </w:t>
      </w:r>
    </w:p>
    <w:p w:rsidR="00E03D8B" w:rsidRPr="00B66156" w:rsidRDefault="00E03D8B" w:rsidP="00E03D8B">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E03D8B" w:rsidRPr="00B66156" w:rsidRDefault="00E03D8B" w:rsidP="00E03D8B">
      <w:pPr>
        <w:tabs>
          <w:tab w:val="left" w:pos="7371"/>
        </w:tabs>
        <w:spacing w:line="240" w:lineRule="auto"/>
        <w:ind w:left="851" w:right="1183"/>
        <w:jc w:val="both"/>
        <w:rPr>
          <w:rFonts w:ascii="Arial" w:hAnsi="Arial" w:cs="Arial"/>
          <w:i/>
          <w:color w:val="5B9BD5" w:themeColor="accent1"/>
          <w:sz w:val="20"/>
        </w:rPr>
      </w:pPr>
      <w:r w:rsidRPr="00B66156">
        <w:rPr>
          <w:rFonts w:ascii="Arial" w:hAnsi="Arial" w:cs="Arial"/>
          <w:i/>
          <w:color w:val="5B9BD5" w:themeColor="accent1"/>
          <w:sz w:val="20"/>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E03D8B" w:rsidRPr="00B66156" w:rsidRDefault="00E03D8B" w:rsidP="00E03D8B">
      <w:pPr>
        <w:tabs>
          <w:tab w:val="left" w:pos="7371"/>
        </w:tabs>
        <w:spacing w:line="240" w:lineRule="auto"/>
        <w:ind w:left="851" w:right="1185"/>
        <w:jc w:val="both"/>
        <w:rPr>
          <w:rFonts w:ascii="Arial" w:hAnsi="Arial" w:cs="Arial"/>
          <w:i/>
          <w:color w:val="5B9BD5" w:themeColor="accent1"/>
          <w:sz w:val="20"/>
        </w:rPr>
      </w:pPr>
      <w:r w:rsidRPr="00B66156">
        <w:rPr>
          <w:rFonts w:ascii="Arial" w:hAnsi="Arial" w:cs="Arial"/>
          <w:i/>
          <w:color w:val="5B9BD5" w:themeColor="accent1"/>
          <w:sz w:val="20"/>
        </w:rPr>
        <w:t xml:space="preserve">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 que deberá resolver para: </w:t>
      </w:r>
    </w:p>
    <w:p w:rsidR="00E03D8B" w:rsidRPr="00B66156" w:rsidRDefault="00E03D8B" w:rsidP="00E03D8B">
      <w:pPr>
        <w:pStyle w:val="Prrafodelista"/>
        <w:numPr>
          <w:ilvl w:val="0"/>
          <w:numId w:val="14"/>
        </w:numPr>
        <w:tabs>
          <w:tab w:val="left" w:pos="7371"/>
        </w:tabs>
        <w:spacing w:after="0" w:line="240" w:lineRule="auto"/>
        <w:ind w:right="1185"/>
        <w:jc w:val="both"/>
        <w:rPr>
          <w:rFonts w:ascii="Arial" w:hAnsi="Arial" w:cs="Arial"/>
          <w:i/>
          <w:color w:val="5B9BD5" w:themeColor="accent1"/>
          <w:sz w:val="20"/>
        </w:rPr>
      </w:pPr>
      <w:r w:rsidRPr="00B66156">
        <w:rPr>
          <w:rFonts w:ascii="Arial" w:hAnsi="Arial" w:cs="Arial"/>
          <w:i/>
          <w:color w:val="5B9BD5" w:themeColor="accent1"/>
          <w:sz w:val="20"/>
        </w:rPr>
        <w:t xml:space="preserve">Confirmar la clasificación; </w:t>
      </w:r>
    </w:p>
    <w:p w:rsidR="00E03D8B" w:rsidRPr="00B66156" w:rsidRDefault="00E03D8B" w:rsidP="00E03D8B">
      <w:pPr>
        <w:pStyle w:val="Prrafodelista"/>
        <w:numPr>
          <w:ilvl w:val="0"/>
          <w:numId w:val="14"/>
        </w:numPr>
        <w:tabs>
          <w:tab w:val="left" w:pos="7371"/>
        </w:tabs>
        <w:spacing w:after="0" w:line="240" w:lineRule="auto"/>
        <w:ind w:right="1185"/>
        <w:jc w:val="both"/>
        <w:rPr>
          <w:rFonts w:ascii="Arial" w:hAnsi="Arial" w:cs="Arial"/>
          <w:i/>
          <w:color w:val="5B9BD5" w:themeColor="accent1"/>
          <w:sz w:val="20"/>
        </w:rPr>
      </w:pPr>
      <w:r w:rsidRPr="00B66156">
        <w:rPr>
          <w:rFonts w:ascii="Arial" w:hAnsi="Arial" w:cs="Arial"/>
          <w:i/>
          <w:color w:val="5B9BD5" w:themeColor="accent1"/>
          <w:sz w:val="20"/>
        </w:rPr>
        <w:t xml:space="preserve">Modificar la clasificación y otorgar total o parcialmente el acceso a la información, y </w:t>
      </w:r>
    </w:p>
    <w:p w:rsidR="00E03D8B" w:rsidRPr="00B66156" w:rsidRDefault="00E03D8B" w:rsidP="00E03D8B">
      <w:pPr>
        <w:pStyle w:val="Prrafodelista"/>
        <w:numPr>
          <w:ilvl w:val="0"/>
          <w:numId w:val="14"/>
        </w:numPr>
        <w:tabs>
          <w:tab w:val="left" w:pos="7371"/>
        </w:tabs>
        <w:spacing w:after="0" w:line="240" w:lineRule="auto"/>
        <w:ind w:right="1185"/>
        <w:jc w:val="both"/>
        <w:rPr>
          <w:rFonts w:ascii="Arial" w:hAnsi="Arial" w:cs="Arial"/>
          <w:i/>
          <w:color w:val="5B9BD5" w:themeColor="accent1"/>
          <w:sz w:val="20"/>
        </w:rPr>
      </w:pPr>
      <w:r w:rsidRPr="00B66156">
        <w:rPr>
          <w:rFonts w:ascii="Arial" w:hAnsi="Arial" w:cs="Arial"/>
          <w:i/>
          <w:color w:val="5B9BD5" w:themeColor="accent1"/>
          <w:sz w:val="20"/>
        </w:rPr>
        <w:t>Revocar la clasificación y conceder el acceso a la información.</w:t>
      </w:r>
    </w:p>
    <w:p w:rsidR="00E03D8B" w:rsidRPr="00B66156" w:rsidRDefault="00E03D8B" w:rsidP="00E03D8B">
      <w:pPr>
        <w:pStyle w:val="Prrafodelista"/>
        <w:tabs>
          <w:tab w:val="left" w:pos="7371"/>
        </w:tabs>
        <w:spacing w:after="0" w:line="240" w:lineRule="auto"/>
        <w:ind w:left="1571" w:right="1185"/>
        <w:jc w:val="both"/>
        <w:rPr>
          <w:rFonts w:ascii="Arial" w:hAnsi="Arial" w:cs="Arial"/>
          <w:i/>
          <w:color w:val="5B9BD5" w:themeColor="accent1"/>
          <w:sz w:val="20"/>
        </w:rPr>
      </w:pPr>
    </w:p>
    <w:p w:rsidR="00E03D8B" w:rsidRPr="00B66156" w:rsidRDefault="00E03D8B" w:rsidP="00E03D8B">
      <w:pPr>
        <w:tabs>
          <w:tab w:val="left" w:pos="7371"/>
        </w:tabs>
        <w:spacing w:line="240" w:lineRule="auto"/>
        <w:ind w:left="851" w:right="1185"/>
        <w:jc w:val="both"/>
        <w:rPr>
          <w:rFonts w:ascii="Arial" w:hAnsi="Arial" w:cs="Arial"/>
          <w:i/>
          <w:color w:val="5B9BD5" w:themeColor="accent1"/>
          <w:sz w:val="20"/>
        </w:rPr>
      </w:pPr>
      <w:r w:rsidRPr="00B66156">
        <w:rPr>
          <w:rFonts w:ascii="Arial" w:hAnsi="Arial" w:cs="Arial"/>
          <w:i/>
          <w:color w:val="5B9BD5" w:themeColor="accent1"/>
          <w:sz w:val="20"/>
        </w:rPr>
        <w:t xml:space="preserve">El Comité de Transparencia podrá tener acceso a la información que esté en poder del Área correspondiente, de la cual se haya solicitado su clasificación. </w:t>
      </w:r>
    </w:p>
    <w:p w:rsidR="00E03D8B" w:rsidRPr="00B66156" w:rsidRDefault="00E03D8B" w:rsidP="00E03D8B">
      <w:pPr>
        <w:tabs>
          <w:tab w:val="left" w:pos="7371"/>
        </w:tabs>
        <w:spacing w:line="240" w:lineRule="auto"/>
        <w:ind w:left="851" w:right="1185"/>
        <w:jc w:val="both"/>
        <w:rPr>
          <w:rFonts w:ascii="Arial" w:hAnsi="Arial" w:cs="Arial"/>
          <w:i/>
          <w:color w:val="5B9BD5" w:themeColor="accent1"/>
          <w:sz w:val="20"/>
        </w:rPr>
      </w:pPr>
      <w:r w:rsidRPr="00B66156">
        <w:rPr>
          <w:rFonts w:ascii="Arial" w:hAnsi="Arial" w:cs="Arial"/>
          <w:i/>
          <w:color w:val="5B9BD5" w:themeColor="accent1"/>
          <w:sz w:val="20"/>
        </w:rPr>
        <w:t>La resolución del Comité de Transparencia será notificada al interesado en el plazo de respuesta a la solicitud que establece el artículo 154 de la presente Ley.”</w:t>
      </w:r>
    </w:p>
    <w:p w:rsidR="00E03D8B" w:rsidRPr="00B66156" w:rsidRDefault="00E03D8B" w:rsidP="00E03D8B">
      <w:pPr>
        <w:tabs>
          <w:tab w:val="left" w:pos="7371"/>
        </w:tabs>
        <w:spacing w:line="240" w:lineRule="auto"/>
        <w:ind w:left="851" w:right="1185"/>
        <w:rPr>
          <w:rFonts w:ascii="Arial" w:hAnsi="Arial" w:cs="Arial"/>
          <w:color w:val="5B9BD5" w:themeColor="accent1"/>
        </w:rPr>
      </w:pPr>
    </w:p>
    <w:p w:rsidR="00E03D8B" w:rsidRPr="00B66156" w:rsidRDefault="00E03D8B" w:rsidP="00E03D8B">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t>De los numerales anteriormente trascritos, se advierte, en primer término, que el derecho de acceso a la información no es absoluto y que la información podrá ser limitada cuando haya sido clasificada por el sujeto obligado como confidencial o reservada.</w:t>
      </w:r>
    </w:p>
    <w:p w:rsidR="00E03D8B" w:rsidRPr="00B66156" w:rsidRDefault="00E03D8B" w:rsidP="00E03D8B">
      <w:pPr>
        <w:pStyle w:val="NormalWeb"/>
        <w:shd w:val="clear" w:color="auto" w:fill="FFFFFF"/>
        <w:spacing w:before="0" w:beforeAutospacing="0" w:after="0" w:afterAutospacing="0" w:line="360" w:lineRule="auto"/>
        <w:jc w:val="both"/>
        <w:rPr>
          <w:rFonts w:ascii="Arial" w:hAnsi="Arial" w:cs="Arial"/>
          <w:color w:val="5B9BD5" w:themeColor="accent1"/>
        </w:rPr>
      </w:pPr>
    </w:p>
    <w:p w:rsidR="00E03D8B" w:rsidRPr="00B66156" w:rsidRDefault="00E03D8B" w:rsidP="00E03D8B">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lastRenderedPageBreak/>
        <w:t xml:space="preserve">Que toda clasificación de la información deberá ser valorada y dictaminada por el Comité de Transparencia del sujeto obligado sin contravenir las bases, principios y disposiciones establecidas por la Ley de Transparencia. </w:t>
      </w:r>
    </w:p>
    <w:p w:rsidR="00E03D8B" w:rsidRPr="00B66156" w:rsidRDefault="00E03D8B" w:rsidP="00E03D8B">
      <w:pPr>
        <w:pStyle w:val="NormalWeb"/>
        <w:shd w:val="clear" w:color="auto" w:fill="FFFFFF"/>
        <w:spacing w:before="0" w:beforeAutospacing="0" w:after="0" w:afterAutospacing="0" w:line="360" w:lineRule="auto"/>
        <w:jc w:val="both"/>
        <w:rPr>
          <w:rFonts w:ascii="Arial" w:hAnsi="Arial" w:cs="Arial"/>
          <w:color w:val="5B9BD5" w:themeColor="accent1"/>
        </w:rPr>
      </w:pPr>
    </w:p>
    <w:p w:rsidR="00E03D8B" w:rsidRPr="00B66156" w:rsidRDefault="00E03D8B" w:rsidP="00E03D8B">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t>Que la información a la que deberán dar acceso los sujetos obligados es la que se encuentre en sus archivos y la que surja de documentar sus facultades competencias o funciones, privilegiándose como modalidad de entrega la que elija el solicitante.</w:t>
      </w:r>
    </w:p>
    <w:p w:rsidR="00E03D8B" w:rsidRPr="00B66156" w:rsidRDefault="00E03D8B" w:rsidP="00E03D8B">
      <w:pPr>
        <w:pStyle w:val="NormalWeb"/>
        <w:shd w:val="clear" w:color="auto" w:fill="FFFFFF"/>
        <w:spacing w:before="0" w:beforeAutospacing="0" w:after="0" w:afterAutospacing="0" w:line="360" w:lineRule="auto"/>
        <w:jc w:val="both"/>
        <w:rPr>
          <w:rFonts w:ascii="Arial" w:hAnsi="Arial" w:cs="Arial"/>
          <w:color w:val="5B9BD5" w:themeColor="accent1"/>
        </w:rPr>
      </w:pPr>
      <w:r w:rsidRPr="00B66156">
        <w:rPr>
          <w:rFonts w:ascii="Arial" w:hAnsi="Arial" w:cs="Arial"/>
          <w:color w:val="5B9BD5" w:themeColor="accent1"/>
        </w:rPr>
        <w:t> </w:t>
      </w:r>
    </w:p>
    <w:p w:rsidR="00E03D8B" w:rsidRPr="00B66156" w:rsidRDefault="00E03D8B" w:rsidP="00E03D8B">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t>Por otro lado, la obligación de turnar la solicitud de información a todas las unidades administrativas, con base en las competencias y funciones de dichas áreas, a fin de que realicen una búsqueda minuciosa en sus archivos tanto físicos como electrónicos.</w:t>
      </w:r>
    </w:p>
    <w:p w:rsidR="00E03D8B" w:rsidRPr="00B66156" w:rsidRDefault="00E03D8B" w:rsidP="00E03D8B">
      <w:pPr>
        <w:pStyle w:val="NormalWeb"/>
        <w:shd w:val="clear" w:color="auto" w:fill="FFFFFF"/>
        <w:spacing w:before="0" w:beforeAutospacing="0" w:after="0" w:afterAutospacing="0" w:line="360" w:lineRule="auto"/>
        <w:jc w:val="both"/>
        <w:rPr>
          <w:rFonts w:ascii="Arial" w:hAnsi="Arial" w:cs="Arial"/>
          <w:color w:val="5B9BD5" w:themeColor="accent1"/>
        </w:rPr>
      </w:pPr>
      <w:r w:rsidRPr="00B66156">
        <w:rPr>
          <w:rFonts w:ascii="Arial" w:hAnsi="Arial" w:cs="Arial"/>
          <w:color w:val="5B9BD5" w:themeColor="accent1"/>
        </w:rPr>
        <w:t> </w:t>
      </w:r>
    </w:p>
    <w:p w:rsidR="00E03D8B" w:rsidRPr="00B66156" w:rsidRDefault="00E03D8B" w:rsidP="00E03D8B">
      <w:pPr>
        <w:pStyle w:val="NormalWeb"/>
        <w:shd w:val="clear" w:color="auto" w:fill="FFFFFF"/>
        <w:spacing w:before="0" w:beforeAutospacing="0" w:after="0" w:afterAutospacing="0"/>
        <w:ind w:firstLine="708"/>
        <w:jc w:val="both"/>
        <w:rPr>
          <w:rFonts w:ascii="Arial" w:hAnsi="Arial" w:cs="Arial"/>
          <w:color w:val="5B9BD5" w:themeColor="accent1"/>
        </w:rPr>
      </w:pPr>
      <w:r w:rsidRPr="00B66156">
        <w:rPr>
          <w:rFonts w:ascii="Arial" w:hAnsi="Arial" w:cs="Arial"/>
          <w:color w:val="5B9BD5" w:themeColor="accent1"/>
        </w:rPr>
        <w:t>Finalmente, se establece el deber del sujeto obligado de dar respuesta a la solicitud, en un lapso máximo de diez días a partir de que se solicitó la información, pudiéndose ampliar el plazo, previa aprobación del Comité de Transparencia.</w:t>
      </w:r>
    </w:p>
    <w:p w:rsidR="00E03D8B" w:rsidRPr="00B66156" w:rsidRDefault="00E03D8B" w:rsidP="00E03D8B">
      <w:pPr>
        <w:pStyle w:val="NormalWeb"/>
        <w:shd w:val="clear" w:color="auto" w:fill="FFFFFF"/>
        <w:spacing w:before="0" w:beforeAutospacing="0" w:after="0" w:afterAutospacing="0" w:line="360" w:lineRule="auto"/>
        <w:jc w:val="both"/>
        <w:rPr>
          <w:rFonts w:ascii="Arial" w:hAnsi="Arial" w:cs="Arial"/>
          <w:color w:val="5B9BD5" w:themeColor="accent1"/>
        </w:rPr>
      </w:pPr>
    </w:p>
    <w:p w:rsidR="00E03D8B" w:rsidRPr="00B66156" w:rsidRDefault="00E03D8B" w:rsidP="00E03D8B">
      <w:pPr>
        <w:autoSpaceDE w:val="0"/>
        <w:autoSpaceDN w:val="0"/>
        <w:adjustRightInd w:val="0"/>
        <w:ind w:firstLine="708"/>
        <w:jc w:val="both"/>
        <w:rPr>
          <w:rFonts w:ascii="Arial" w:hAnsi="Arial" w:cs="Arial"/>
          <w:color w:val="5B9BD5" w:themeColor="accent1"/>
          <w:sz w:val="24"/>
        </w:rPr>
      </w:pPr>
      <w:r w:rsidRPr="00B66156">
        <w:rPr>
          <w:rFonts w:ascii="Arial" w:hAnsi="Arial" w:cs="Arial"/>
          <w:color w:val="5B9BD5" w:themeColor="accent1"/>
          <w:sz w:val="24"/>
        </w:rPr>
        <w:t>Dicho lo anterior es dable colegir que la presente Resolución tiene por objeto determinar si el acuerdo de reserva de la información solicitada se encuentra apegado a derecho en los términos establecidos en los artículos mencionados, es decir si la clasificación de la información solicitada, es correcta es decir si se encuentra debidamente fundada y motivada, de conformidad con el artículo 159 transcrito anteriormente, o en su caso si le asiste la razón al recurrente, en cuanto a que la información solicitada es pública.</w:t>
      </w:r>
    </w:p>
    <w:p w:rsidR="00E03D8B" w:rsidRPr="00B66156" w:rsidRDefault="007076CE" w:rsidP="00E03D8B">
      <w:pPr>
        <w:autoSpaceDE w:val="0"/>
        <w:autoSpaceDN w:val="0"/>
        <w:adjustRightInd w:val="0"/>
        <w:spacing w:before="100" w:beforeAutospacing="1" w:after="100" w:afterAutospacing="1"/>
        <w:jc w:val="both"/>
        <w:rPr>
          <w:rFonts w:ascii="Arial" w:hAnsi="Arial" w:cs="Arial"/>
          <w:b/>
          <w:color w:val="5B9BD5" w:themeColor="accent1"/>
          <w:sz w:val="24"/>
        </w:rPr>
      </w:pPr>
      <w:r>
        <w:rPr>
          <w:rFonts w:ascii="Arial" w:hAnsi="Arial" w:cs="Arial"/>
          <w:b/>
          <w:color w:val="5B9BD5" w:themeColor="accent1"/>
          <w:sz w:val="24"/>
        </w:rPr>
        <w:t>6</w:t>
      </w:r>
      <w:r w:rsidR="00E03D8B" w:rsidRPr="00B66156">
        <w:rPr>
          <w:rFonts w:ascii="Arial" w:hAnsi="Arial" w:cs="Arial"/>
          <w:b/>
          <w:color w:val="5B9BD5" w:themeColor="accent1"/>
          <w:sz w:val="24"/>
        </w:rPr>
        <w:t>.2 Agravio Fundado.</w:t>
      </w:r>
    </w:p>
    <w:p w:rsidR="00E03D8B" w:rsidRPr="00B66156" w:rsidRDefault="00E03D8B" w:rsidP="00E03D8B">
      <w:pPr>
        <w:autoSpaceDE w:val="0"/>
        <w:autoSpaceDN w:val="0"/>
        <w:adjustRightInd w:val="0"/>
        <w:spacing w:before="100" w:beforeAutospacing="1" w:after="100" w:afterAutospacing="1"/>
        <w:ind w:firstLine="708"/>
        <w:jc w:val="both"/>
        <w:rPr>
          <w:rFonts w:ascii="Arial" w:hAnsi="Arial" w:cs="Arial"/>
          <w:color w:val="5B9BD5" w:themeColor="accent1"/>
          <w:sz w:val="24"/>
        </w:rPr>
      </w:pPr>
      <w:r w:rsidRPr="00B66156">
        <w:rPr>
          <w:rFonts w:ascii="Arial" w:hAnsi="Arial" w:cs="Arial"/>
          <w:color w:val="5B9BD5" w:themeColor="accent1"/>
          <w:sz w:val="24"/>
        </w:rPr>
        <w:t>Una vez precisados los elementos a resolver, este Pleno analizará los hechos con base a los argumentos aportados por las partes y demás elementos de convicción.</w:t>
      </w:r>
    </w:p>
    <w:p w:rsidR="00E03D8B" w:rsidRPr="00B66156" w:rsidRDefault="00E03D8B" w:rsidP="00E03D8B">
      <w:pPr>
        <w:autoSpaceDE w:val="0"/>
        <w:autoSpaceDN w:val="0"/>
        <w:adjustRightInd w:val="0"/>
        <w:ind w:firstLine="708"/>
        <w:jc w:val="both"/>
        <w:rPr>
          <w:rFonts w:ascii="Arial" w:hAnsi="Arial" w:cs="Arial"/>
          <w:color w:val="5B9BD5" w:themeColor="accent1"/>
          <w:sz w:val="24"/>
        </w:rPr>
      </w:pPr>
      <w:r w:rsidRPr="00B66156">
        <w:rPr>
          <w:rFonts w:ascii="Arial" w:hAnsi="Arial" w:cs="Arial"/>
          <w:color w:val="5B9BD5" w:themeColor="accent1"/>
          <w:spacing w:val="4"/>
          <w:sz w:val="24"/>
        </w:rPr>
        <w:t xml:space="preserve">Como ha quedado establecido, el </w:t>
      </w:r>
      <w:r w:rsidRPr="00B66156">
        <w:rPr>
          <w:rFonts w:ascii="Arial" w:hAnsi="Arial" w:cs="Arial"/>
          <w:color w:val="5B9BD5" w:themeColor="accent1"/>
          <w:sz w:val="24"/>
        </w:rPr>
        <w:t>solicitante requirió en su escrito primigenio, se le informara respecto al servidor público aludido en su solicitud, ¿</w:t>
      </w:r>
      <w:r>
        <w:rPr>
          <w:rFonts w:ascii="Arial" w:hAnsi="Arial" w:cs="Arial"/>
          <w:color w:val="5B9BD5" w:themeColor="accent1"/>
          <w:sz w:val="24"/>
        </w:rPr>
        <w:t xml:space="preserve">si </w:t>
      </w:r>
      <w:r w:rsidRPr="00B66156">
        <w:rPr>
          <w:rFonts w:ascii="Arial" w:hAnsi="Arial" w:cs="Arial"/>
          <w:color w:val="5B9BD5" w:themeColor="accent1"/>
          <w:sz w:val="24"/>
        </w:rPr>
        <w:t>se desempeña como trabajador</w:t>
      </w:r>
      <w:r>
        <w:rPr>
          <w:rFonts w:ascii="Arial" w:hAnsi="Arial" w:cs="Arial"/>
          <w:color w:val="5B9BD5" w:themeColor="accent1"/>
          <w:sz w:val="24"/>
        </w:rPr>
        <w:t xml:space="preserve"> del Ayuntamiento?, </w:t>
      </w:r>
      <w:r w:rsidRPr="00B66156">
        <w:rPr>
          <w:rFonts w:ascii="Arial" w:hAnsi="Arial" w:cs="Arial"/>
          <w:color w:val="5B9BD5" w:themeColor="accent1"/>
          <w:sz w:val="24"/>
        </w:rPr>
        <w:t xml:space="preserve">¿cuál es o fue el departamento de adscripción?, ¿hasta cuándo laboró? y ¿cuál fue el motivo del término de </w:t>
      </w:r>
      <w:r>
        <w:rPr>
          <w:rFonts w:ascii="Arial" w:hAnsi="Arial" w:cs="Arial"/>
          <w:color w:val="5B9BD5" w:themeColor="accent1"/>
          <w:sz w:val="24"/>
        </w:rPr>
        <w:t xml:space="preserve">la </w:t>
      </w:r>
      <w:r w:rsidRPr="00B66156">
        <w:rPr>
          <w:rFonts w:ascii="Arial" w:hAnsi="Arial" w:cs="Arial"/>
          <w:color w:val="5B9BD5" w:themeColor="accent1"/>
          <w:sz w:val="24"/>
        </w:rPr>
        <w:t>relación laboral?</w:t>
      </w:r>
    </w:p>
    <w:p w:rsidR="00E03D8B" w:rsidRPr="00B66156" w:rsidRDefault="00E03D8B" w:rsidP="00E03D8B">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En atención a su requerimiento, el Sujeto Obligado indicó a través del oficio </w:t>
      </w:r>
      <w:r>
        <w:rPr>
          <w:rFonts w:eastAsiaTheme="minorHAnsi" w:cs="Calibri"/>
          <w:color w:val="5B9BD5" w:themeColor="accent1"/>
          <w:sz w:val="24"/>
          <w:szCs w:val="24"/>
        </w:rPr>
        <w:t>DRH/449</w:t>
      </w:r>
      <w:r w:rsidRPr="00B66156">
        <w:rPr>
          <w:rFonts w:eastAsiaTheme="minorHAnsi" w:cs="Calibri"/>
          <w:color w:val="5B9BD5" w:themeColor="accent1"/>
          <w:sz w:val="24"/>
          <w:szCs w:val="24"/>
        </w:rPr>
        <w:t>/2019</w:t>
      </w:r>
      <w:r w:rsidRPr="00B66156">
        <w:rPr>
          <w:rFonts w:cs="Arial"/>
          <w:color w:val="5B9BD5" w:themeColor="accent1"/>
          <w:sz w:val="24"/>
          <w:szCs w:val="24"/>
        </w:rPr>
        <w:t xml:space="preserve">, suscrito por la Directora de Recursos Humanos del Ayuntamiento de San Luis Potosí, que la información solicitada es reservada en atención al acuerdo </w:t>
      </w:r>
      <w:r w:rsidRPr="00B66156">
        <w:rPr>
          <w:rFonts w:eastAsiaTheme="minorHAnsi" w:cs="Arial"/>
          <w:bCs/>
          <w:color w:val="5B9BD5" w:themeColor="accent1"/>
          <w:sz w:val="24"/>
          <w:szCs w:val="24"/>
        </w:rPr>
        <w:t>CT/015/2019A</w:t>
      </w:r>
      <w:r w:rsidRPr="00B66156">
        <w:rPr>
          <w:rFonts w:cs="Arial"/>
          <w:color w:val="5B9BD5" w:themeColor="accent1"/>
          <w:sz w:val="24"/>
          <w:szCs w:val="24"/>
        </w:rPr>
        <w:t xml:space="preserve">, emitido en la décima sexta sesión extraordinaria de fecha 11 de marzo de la presente anualidad. </w:t>
      </w:r>
    </w:p>
    <w:p w:rsidR="00E03D8B" w:rsidRPr="00B66156" w:rsidRDefault="00E03D8B" w:rsidP="00E03D8B">
      <w:pPr>
        <w:pStyle w:val="corte4fondo"/>
        <w:ind w:right="49" w:firstLine="0"/>
        <w:rPr>
          <w:rFonts w:cs="Arial"/>
          <w:color w:val="5B9BD5" w:themeColor="accent1"/>
          <w:sz w:val="24"/>
          <w:szCs w:val="24"/>
        </w:rPr>
      </w:pPr>
    </w:p>
    <w:p w:rsidR="00E03D8B" w:rsidRPr="00B66156" w:rsidRDefault="00E03D8B" w:rsidP="00E03D8B">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Inconforme con dicho pronunciamiento, el recurrente interpuso Recurso de Revisión ante este Órgano Garante y señaló que conforme a la naturaleza de la información solicitada, esta no se debería de considerarse como información reservada; asimismo, indicó que en cuanto a la reserva efectuada por la </w:t>
      </w:r>
      <w:r w:rsidRPr="00B66156">
        <w:rPr>
          <w:rFonts w:cs="Arial"/>
          <w:color w:val="5B9BD5" w:themeColor="accent1"/>
          <w:sz w:val="24"/>
          <w:szCs w:val="24"/>
        </w:rPr>
        <w:lastRenderedPageBreak/>
        <w:t>autoridad, el Ayuntamiento de San Luis Potosí fue omiso en entregar el Acta en la que se pueda acreditar que la divulgación de la información requerida lesiona el interés jurídicamente protegido por la normativa aplicable, así como el daño que puede producirse con la publicidad de la información es mayor que el interés de conocerla, es decir el documento que justifique la prueba de daño.</w:t>
      </w:r>
    </w:p>
    <w:p w:rsidR="00E03D8B" w:rsidRPr="00B66156" w:rsidRDefault="00E03D8B" w:rsidP="00E03D8B">
      <w:pPr>
        <w:pStyle w:val="Textoindependienteprimerasangra"/>
        <w:spacing w:before="100" w:beforeAutospacing="1" w:after="100" w:afterAutospacing="1" w:line="240" w:lineRule="auto"/>
        <w:ind w:firstLine="708"/>
        <w:rPr>
          <w:rFonts w:ascii="Arial" w:hAnsi="Arial" w:cs="Arial"/>
          <w:color w:val="5B9BD5" w:themeColor="accent1"/>
          <w:sz w:val="24"/>
        </w:rPr>
      </w:pPr>
      <w:r w:rsidRPr="00B66156">
        <w:rPr>
          <w:rFonts w:ascii="Arial" w:hAnsi="Arial" w:cs="Arial"/>
          <w:color w:val="5B9BD5" w:themeColor="accent1"/>
          <w:sz w:val="24"/>
          <w:lang w:val="es-MX"/>
        </w:rPr>
        <w:t xml:space="preserve">Ahora bien, efectivamente, de las constancias que obran en autos, se evidencia que la autoridad únicamente señala que la información que solicitó se encuentra reservada, pero no acompaña el acuerdo de reserva que señala el artículo 127 de </w:t>
      </w:r>
      <w:r w:rsidRPr="00B66156">
        <w:rPr>
          <w:rFonts w:ascii="Arial" w:hAnsi="Arial" w:cs="Arial"/>
          <w:color w:val="5B9BD5" w:themeColor="accent1"/>
          <w:sz w:val="24"/>
        </w:rPr>
        <w:t>la Ley de Transparencia y Acceso a la Información Pública del Estado.</w:t>
      </w:r>
    </w:p>
    <w:p w:rsidR="00E03D8B" w:rsidRPr="00B66156" w:rsidRDefault="00E03D8B" w:rsidP="00E03D8B">
      <w:pPr>
        <w:pStyle w:val="Textoindependienteprimerasangra"/>
        <w:spacing w:before="100" w:beforeAutospacing="1" w:after="100" w:afterAutospacing="1" w:line="240" w:lineRule="auto"/>
        <w:ind w:firstLine="708"/>
        <w:rPr>
          <w:rFonts w:ascii="Arial" w:hAnsi="Arial" w:cs="Arial"/>
          <w:color w:val="5B9BD5" w:themeColor="accent1"/>
          <w:sz w:val="24"/>
        </w:rPr>
      </w:pPr>
      <w:r w:rsidRPr="00B66156">
        <w:rPr>
          <w:rFonts w:ascii="Arial" w:hAnsi="Arial" w:cs="Arial"/>
          <w:color w:val="5B9BD5" w:themeColor="accent1"/>
          <w:sz w:val="24"/>
        </w:rPr>
        <w:t xml:space="preserve">No obstante a lo anterior, la autoridad debió notificar al recurrente el Acuerdo </w:t>
      </w:r>
      <w:r w:rsidRPr="00B66156">
        <w:rPr>
          <w:rFonts w:ascii="Arial" w:hAnsi="Arial" w:cs="Arial"/>
          <w:color w:val="5B9BD5" w:themeColor="accent1"/>
          <w:sz w:val="24"/>
          <w:lang w:val="es-MX"/>
        </w:rPr>
        <w:t xml:space="preserve">de reserva </w:t>
      </w:r>
      <w:r w:rsidRPr="00B66156">
        <w:rPr>
          <w:rFonts w:ascii="Arial" w:eastAsiaTheme="minorHAnsi" w:hAnsi="Arial" w:cs="Arial"/>
          <w:bCs/>
          <w:color w:val="5B9BD5" w:themeColor="accent1"/>
          <w:sz w:val="24"/>
        </w:rPr>
        <w:t>CT/015/2019A</w:t>
      </w:r>
      <w:r w:rsidRPr="00B66156">
        <w:rPr>
          <w:rFonts w:ascii="Arial" w:hAnsi="Arial" w:cs="Arial"/>
          <w:color w:val="5B9BD5" w:themeColor="accent1"/>
          <w:sz w:val="24"/>
          <w:lang w:val="es-MX"/>
        </w:rPr>
        <w:t xml:space="preserve">, emitido en la décima sexta sesión extraordinaria de fecha once de marzo de dos mil diecinueve, por lo que se </w:t>
      </w:r>
      <w:r w:rsidRPr="00B66156">
        <w:rPr>
          <w:rFonts w:ascii="Arial" w:hAnsi="Arial" w:cs="Arial"/>
          <w:color w:val="5B9BD5" w:themeColor="accent1"/>
          <w:sz w:val="24"/>
        </w:rPr>
        <w:t xml:space="preserve">trae a contexto el artículo 164 del Código Procesal Administrativo del Estado de San Luis Potosí, de aplicación supletoria a la Ley de Transparencia Local, de conformidad con lo establecido en el numeral 1º tercer párrafo, que señala lo siguiente: </w:t>
      </w: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w:t>
      </w:r>
      <w:r w:rsidRPr="00B66156">
        <w:rPr>
          <w:rFonts w:cs="Arial"/>
          <w:b/>
          <w:color w:val="5B9BD5" w:themeColor="accent1"/>
          <w:sz w:val="22"/>
          <w:szCs w:val="22"/>
        </w:rPr>
        <w:t>ARTÍCULO 164</w:t>
      </w:r>
      <w:r w:rsidRPr="00B66156">
        <w:rPr>
          <w:rFonts w:cs="Arial"/>
          <w:color w:val="5B9BD5" w:themeColor="accent1"/>
          <w:sz w:val="22"/>
          <w:szCs w:val="22"/>
        </w:rPr>
        <w:t xml:space="preserve">. Son elementos del acto administrativo: </w:t>
      </w: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I. Ser expedido por autoridades competentes, a través de servidor público u órgano colegiado facultados para tal efecto, y en términos de las disposiciones jurídicas aplicables; </w:t>
      </w: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II. Que su objeto esté previsto por el ordenamiento jurídico aplicable, determinado o determinable y preciso en cuanto a las circunstancias de tiempo y lugar; </w:t>
      </w: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III. Cumplir con la finalidad de interés público, derivado de las normas jurídicas que regulen la materia; </w:t>
      </w: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IV. Constar por escrito, indicando la autoridad de que emana; V. Estar fundado y motivado; </w:t>
      </w: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VI. Ser expedido sin que medie error de hecho o de derecho sobre el objeto, causa o motivo, o fin del acto y su emisión, y</w:t>
      </w: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VII. Ser expedido sin que medie dolo o violencia en su emisión.</w:t>
      </w: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Emisión.”</w:t>
      </w:r>
    </w:p>
    <w:p w:rsidR="00E03D8B" w:rsidRPr="00B66156" w:rsidRDefault="00E03D8B" w:rsidP="00E03D8B">
      <w:pPr>
        <w:pStyle w:val="corte4fondo"/>
        <w:spacing w:line="240" w:lineRule="auto"/>
        <w:ind w:left="1134" w:right="1183" w:firstLine="0"/>
        <w:rPr>
          <w:rFonts w:cs="Arial"/>
          <w:color w:val="5B9BD5" w:themeColor="accent1"/>
          <w:sz w:val="22"/>
          <w:szCs w:val="22"/>
        </w:rPr>
      </w:pPr>
    </w:p>
    <w:p w:rsidR="00E03D8B" w:rsidRPr="00B66156" w:rsidRDefault="00E03D8B" w:rsidP="00E03D8B">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En este sentido, para el caso que nos ocupa, el Ayuntamiento de San Luis Potosí debió notificar al recurrente el acta por el cual se determino reservar la información solicitada conforme a un análisis caso por caso, mediante la aplicación de la prueba de daño y de interés público. Lo anterior encuentra su sustento en la Tesis Jurisprudencial siguiente: </w:t>
      </w:r>
    </w:p>
    <w:p w:rsidR="00E03D8B" w:rsidRPr="00B66156" w:rsidRDefault="00E03D8B" w:rsidP="00E03D8B">
      <w:pPr>
        <w:pStyle w:val="corte4fondo"/>
        <w:ind w:right="49"/>
        <w:rPr>
          <w:rFonts w:cs="Arial"/>
          <w:color w:val="5B9BD5" w:themeColor="accent1"/>
          <w:sz w:val="24"/>
          <w:szCs w:val="24"/>
        </w:rPr>
      </w:pP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b/>
          <w:color w:val="5B9BD5" w:themeColor="accent1"/>
          <w:sz w:val="22"/>
          <w:szCs w:val="22"/>
        </w:rPr>
        <w:t>PRUEBA DE DAÑO EN LA CLASIFICACIÓN DE LA INFORMACIÓN PÚBLICA. SU VALIDEZ NO DEPENDE DE LOS MEDIOS DE PRUEBA QUE EL SUJETO OBLIGADO APORTE.</w:t>
      </w:r>
      <w:r w:rsidRPr="00B66156">
        <w:rPr>
          <w:rFonts w:cs="Arial"/>
          <w:color w:val="5B9BD5" w:themeColor="accent1"/>
          <w:sz w:val="22"/>
          <w:szCs w:val="22"/>
        </w:rPr>
        <w:t xml:space="preserve"> </w:t>
      </w:r>
    </w:p>
    <w:p w:rsidR="00E03D8B" w:rsidRPr="00B66156" w:rsidRDefault="00E03D8B" w:rsidP="00E03D8B">
      <w:pPr>
        <w:pStyle w:val="corte4fondo"/>
        <w:spacing w:line="240" w:lineRule="auto"/>
        <w:ind w:left="1134" w:right="1183" w:firstLine="0"/>
        <w:rPr>
          <w:rFonts w:cs="Arial"/>
          <w:color w:val="5B9BD5" w:themeColor="accent1"/>
          <w:sz w:val="22"/>
          <w:szCs w:val="22"/>
        </w:rPr>
      </w:pP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color w:val="5B9BD5" w:themeColor="accent1"/>
          <w:sz w:val="22"/>
          <w:szCs w:val="22"/>
        </w:rPr>
        <w:t xml:space="preserve">De acuerdo con el artículo 104 de la Ley General de Transparencia y Acceso a la Información Pública, y con los lineamientos segundo, fracción XIII y trigésimo tercero, de los Lineamientos generales en materia de clasificación y desclasificación de la información, así como para la elaboración de versiones públicas, aprobados por el Consejo Nacional del Sistema Nacional de Transparencia, Acceso a la Información Pública y Protección de Datos Personales y publicados en el Diario Oficial de la Federación el 15 de abril de 2016, </w:t>
      </w:r>
      <w:r w:rsidRPr="00B66156">
        <w:rPr>
          <w:rFonts w:cs="Arial"/>
          <w:b/>
          <w:color w:val="5B9BD5" w:themeColor="accent1"/>
          <w:sz w:val="22"/>
          <w:szCs w:val="22"/>
        </w:rPr>
        <w:t xml:space="preserve">la prueba de daño es la argumentación fundada y motivada que deben realizar los sujetos obligados para acreditar que la </w:t>
      </w:r>
      <w:r w:rsidRPr="00B66156">
        <w:rPr>
          <w:rFonts w:cs="Arial"/>
          <w:b/>
          <w:color w:val="5B9BD5" w:themeColor="accent1"/>
          <w:sz w:val="22"/>
          <w:szCs w:val="22"/>
        </w:rPr>
        <w:lastRenderedPageBreak/>
        <w:t xml:space="preserve">divulgación de la información lesiona un interés jurídicamente protegido y que el daño que puede producir es mayor que el interés de conocer ésta. </w:t>
      </w:r>
      <w:r w:rsidRPr="00B66156">
        <w:rPr>
          <w:rFonts w:cs="Arial"/>
          <w:color w:val="5B9BD5" w:themeColor="accent1"/>
          <w:sz w:val="22"/>
          <w:szCs w:val="22"/>
        </w:rPr>
        <w:t xml:space="preserve">Para tal efecto, disponen que en la clasificación de la información pública (como reservada o confidencial), </w:t>
      </w:r>
      <w:r w:rsidRPr="00B66156">
        <w:rPr>
          <w:rFonts w:cs="Arial"/>
          <w:b/>
          <w:color w:val="5B9BD5" w:themeColor="accent1"/>
          <w:sz w:val="22"/>
          <w:szCs w:val="22"/>
        </w:rPr>
        <w:t>debe justificarse que su divulgación representa un riesgo real, demostrable e identificable de perjuicio significativo al interés público o a la seguridad nacional; que ese riesgo supera el interés público general de que se difunda; y, que la limitación se adecua al principio de proporcionalidad y representa el medio menos restrictivo disponible para evitar el perjuicio.</w:t>
      </w:r>
      <w:r w:rsidRPr="00B66156">
        <w:rPr>
          <w:rFonts w:cs="Arial"/>
          <w:color w:val="5B9BD5" w:themeColor="accent1"/>
          <w:sz w:val="22"/>
          <w:szCs w:val="22"/>
        </w:rPr>
        <w:t xml:space="preserve"> </w:t>
      </w:r>
      <w:r w:rsidRPr="00B66156">
        <w:rPr>
          <w:rFonts w:cs="Arial"/>
          <w:b/>
          <w:color w:val="5B9BD5" w:themeColor="accent1"/>
          <w:sz w:val="22"/>
          <w:szCs w:val="22"/>
        </w:rPr>
        <w:t>Así, la prueba de daño establece líneas argumentativas mínimas que deben cursarse, a fin de constatar que la publicidad de la información solicitada no ocasionaría un daño a un interés jurídicamente protegido, ya sea de índole estatal o particular.</w:t>
      </w:r>
      <w:r w:rsidRPr="00B66156">
        <w:rPr>
          <w:rFonts w:cs="Arial"/>
          <w:color w:val="5B9BD5" w:themeColor="accent1"/>
          <w:sz w:val="22"/>
          <w:szCs w:val="22"/>
        </w:rPr>
        <w:t xml:space="preserve"> Por tanto, al tratarse de un aspecto constreñido al ámbito argumentativo, la validez de la prueba de daño no depende de los medios de prueba que el sujeto obligado aporte, sino de la solidez del juicio de ponderación que se efectúe en los términos señalados.</w:t>
      </w:r>
      <w:r w:rsidRPr="00B66156">
        <w:rPr>
          <w:rStyle w:val="Refdenotaalpie"/>
          <w:rFonts w:cs="Arial"/>
          <w:color w:val="5B9BD5" w:themeColor="accent1"/>
          <w:sz w:val="22"/>
          <w:szCs w:val="22"/>
        </w:rPr>
        <w:footnoteReference w:id="3"/>
      </w:r>
    </w:p>
    <w:p w:rsidR="00E03D8B" w:rsidRPr="00B66156" w:rsidRDefault="00E03D8B" w:rsidP="00E03D8B">
      <w:pPr>
        <w:pStyle w:val="corte4fondo"/>
        <w:ind w:right="49" w:firstLine="0"/>
        <w:rPr>
          <w:rFonts w:cs="Arial"/>
          <w:color w:val="5B9BD5" w:themeColor="accent1"/>
          <w:sz w:val="24"/>
          <w:szCs w:val="24"/>
        </w:rPr>
      </w:pPr>
    </w:p>
    <w:p w:rsidR="00E03D8B" w:rsidRPr="00B66156" w:rsidRDefault="00E03D8B" w:rsidP="00E03D8B">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Aunado a lo anterior, el Obligado no acreditó de manera fehaciente la aplicación de la prueba de daño que hace referencia el artículo 104 de la Ley General de Transparencia, es decir, los requisitos previstos en la porción normativa de los Lineamientos Generales en Materia de Clasificación y Desclasificación de la Información, así como para la Elaboración de Versiones Públicas, que en lo que aquí interesa, señala lo siguiente:</w:t>
      </w:r>
    </w:p>
    <w:p w:rsidR="00E03D8B" w:rsidRPr="00B66156" w:rsidRDefault="00E03D8B" w:rsidP="00E03D8B">
      <w:pPr>
        <w:pStyle w:val="corte4fondo"/>
        <w:ind w:right="49" w:firstLine="0"/>
        <w:rPr>
          <w:rFonts w:cs="Arial"/>
          <w:color w:val="5B9BD5" w:themeColor="accent1"/>
          <w:sz w:val="24"/>
          <w:szCs w:val="24"/>
        </w:rPr>
      </w:pPr>
    </w:p>
    <w:p w:rsidR="00E03D8B" w:rsidRPr="00B66156" w:rsidRDefault="00E03D8B" w:rsidP="00E03D8B">
      <w:pPr>
        <w:pStyle w:val="corte4fondo"/>
        <w:spacing w:line="240" w:lineRule="auto"/>
        <w:ind w:left="1134" w:right="1183" w:firstLine="0"/>
        <w:rPr>
          <w:rFonts w:cs="Arial"/>
          <w:color w:val="5B9BD5" w:themeColor="accent1"/>
          <w:sz w:val="22"/>
          <w:szCs w:val="22"/>
        </w:rPr>
      </w:pPr>
      <w:r w:rsidRPr="00B66156">
        <w:rPr>
          <w:rFonts w:cs="Arial"/>
          <w:b/>
          <w:color w:val="5B9BD5" w:themeColor="accent1"/>
          <w:sz w:val="22"/>
          <w:szCs w:val="22"/>
        </w:rPr>
        <w:t xml:space="preserve">“Trigésimo tercero. </w:t>
      </w:r>
      <w:r w:rsidRPr="00B66156">
        <w:rPr>
          <w:rFonts w:cs="Arial"/>
          <w:color w:val="5B9BD5" w:themeColor="accent1"/>
          <w:sz w:val="22"/>
          <w:szCs w:val="22"/>
        </w:rPr>
        <w:t xml:space="preserve">Para la aplicación de la prueba de daño a la que hace referencia el artículo 104 de la Ley General, los sujetos obligados atenderán lo siguiente: </w:t>
      </w:r>
    </w:p>
    <w:p w:rsidR="00E03D8B" w:rsidRPr="00B66156" w:rsidRDefault="00E03D8B" w:rsidP="00E03D8B">
      <w:pPr>
        <w:pStyle w:val="corte4fondo"/>
        <w:spacing w:line="240" w:lineRule="auto"/>
        <w:ind w:left="1134" w:right="1183" w:firstLine="0"/>
        <w:rPr>
          <w:rFonts w:cs="Arial"/>
          <w:color w:val="5B9BD5" w:themeColor="accent1"/>
          <w:sz w:val="22"/>
          <w:szCs w:val="22"/>
        </w:rPr>
      </w:pPr>
    </w:p>
    <w:p w:rsidR="00E03D8B" w:rsidRPr="00B66156" w:rsidRDefault="00E03D8B" w:rsidP="00E03D8B">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I. Se deberá citar la fracción y, en su caso, la causal aplicable del artículo 113 de la Ley General, vinculándola con el Lineamiento específico del presente ordenamiento y, cuando corresponda, el supuesto normativo que expresamente le otorga el carácter de información reservada;</w:t>
      </w:r>
    </w:p>
    <w:p w:rsidR="00E03D8B" w:rsidRPr="00B66156" w:rsidRDefault="00E03D8B" w:rsidP="00E03D8B">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II. Mediante la ponderación de los intereses en conflicto, los sujetos obligados deberán demostrar que la publicidad de la información solicitada generaría un riesgo de perjuicio y por lo tanto, tendrán que acreditar que este último rebasa el interés público protegido por la reserva;</w:t>
      </w:r>
    </w:p>
    <w:p w:rsidR="00E03D8B" w:rsidRPr="00B66156" w:rsidRDefault="00E03D8B" w:rsidP="00E03D8B">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III. Se debe de acreditar el vínculo entre la difusión de la información y la afectación del interés jurídico tutelado de que se trate;</w:t>
      </w:r>
    </w:p>
    <w:p w:rsidR="00E03D8B" w:rsidRPr="00B66156" w:rsidRDefault="00E03D8B" w:rsidP="00E03D8B">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IV. Precisar las razones objetivas por las que la apertura de la información generaría una afectación, a través de los elementos de un riesgo real, demostrable e identificable;</w:t>
      </w:r>
    </w:p>
    <w:p w:rsidR="00E03D8B" w:rsidRPr="00B66156" w:rsidRDefault="00E03D8B" w:rsidP="00E03D8B">
      <w:pPr>
        <w:autoSpaceDE w:val="0"/>
        <w:autoSpaceDN w:val="0"/>
        <w:adjustRightInd w:val="0"/>
        <w:spacing w:line="240" w:lineRule="auto"/>
        <w:ind w:left="1134" w:right="1183"/>
        <w:jc w:val="both"/>
        <w:rPr>
          <w:rFonts w:ascii="Arial" w:eastAsiaTheme="minorHAnsi" w:hAnsi="Arial" w:cs="Arial"/>
          <w:color w:val="5B9BD5" w:themeColor="accent1"/>
        </w:rPr>
      </w:pPr>
      <w:r w:rsidRPr="00B66156">
        <w:rPr>
          <w:rFonts w:ascii="Arial" w:eastAsiaTheme="minorHAnsi" w:hAnsi="Arial" w:cs="Arial"/>
          <w:color w:val="5B9BD5" w:themeColor="accent1"/>
        </w:rPr>
        <w:t xml:space="preserve">V. En la motivación de la clasificación, el sujeto obligado deberá acreditar las circunstancias de modo, tiempo y lugar del daño, y </w:t>
      </w:r>
    </w:p>
    <w:p w:rsidR="00E03D8B" w:rsidRPr="00B66156" w:rsidRDefault="00E03D8B" w:rsidP="00E03D8B">
      <w:pPr>
        <w:autoSpaceDE w:val="0"/>
        <w:autoSpaceDN w:val="0"/>
        <w:adjustRightInd w:val="0"/>
        <w:spacing w:line="240" w:lineRule="auto"/>
        <w:ind w:left="1134" w:right="1183"/>
        <w:jc w:val="both"/>
        <w:rPr>
          <w:rFonts w:ascii="Arial" w:hAnsi="Arial" w:cs="Arial"/>
          <w:color w:val="5B9BD5" w:themeColor="accent1"/>
        </w:rPr>
      </w:pPr>
      <w:r w:rsidRPr="00B66156">
        <w:rPr>
          <w:rFonts w:ascii="Arial" w:eastAsiaTheme="minorHAnsi" w:hAnsi="Arial" w:cs="Arial"/>
          <w:color w:val="5B9BD5" w:themeColor="accent1"/>
        </w:rPr>
        <w:lastRenderedPageBreak/>
        <w:t>VI. 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rsidR="00E03D8B" w:rsidRPr="00B66156" w:rsidRDefault="00E03D8B" w:rsidP="00E03D8B">
      <w:pPr>
        <w:pStyle w:val="corte4fondo"/>
        <w:spacing w:line="240" w:lineRule="auto"/>
        <w:ind w:right="1183" w:firstLine="0"/>
        <w:rPr>
          <w:rFonts w:cs="Arial"/>
          <w:color w:val="5B9BD5" w:themeColor="accent1"/>
          <w:sz w:val="22"/>
          <w:szCs w:val="22"/>
        </w:rPr>
      </w:pPr>
    </w:p>
    <w:p w:rsidR="00E03D8B" w:rsidRPr="00B66156" w:rsidRDefault="00E03D8B" w:rsidP="00E03D8B">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En este orden de ideas, se desprende que para efecto de analizar el derecho de acceso del peticionario, la información reservada podrá darse a conocer públicamente, mediante la elaboración de una "prueba de daño" -prevista en las Leyes Federal y General de Transparencia y Acceso a la Información Pública- que consiste, medularmente, en la </w:t>
      </w:r>
      <w:r w:rsidRPr="00B66156">
        <w:rPr>
          <w:rFonts w:cs="Arial"/>
          <w:color w:val="5B9BD5" w:themeColor="accent1"/>
          <w:sz w:val="24"/>
          <w:szCs w:val="24"/>
          <w:u w:val="single"/>
        </w:rPr>
        <w:t xml:space="preserve">facultad de la autoridad que posee la información solicitada para ponderar y valorar mediante la debida fundamentación y motivación, el proporcionarla o no, en tanto que su divulgación ponga en riesgo o pueda causar un perjuicio real al objetivo o principio que trata de salvaguardar, y de manera estricta debe demostrarse que el perjuicio u objetivo reservado, resulta mayormente afectado que los beneficios que podrían lograrse con la difusión de la información, </w:t>
      </w:r>
      <w:r w:rsidRPr="00B66156">
        <w:rPr>
          <w:rFonts w:cs="Arial"/>
          <w:color w:val="5B9BD5" w:themeColor="accent1"/>
          <w:sz w:val="24"/>
          <w:szCs w:val="24"/>
        </w:rPr>
        <w:t xml:space="preserve">lo cual, en el caso concreto no aconteció. </w:t>
      </w:r>
    </w:p>
    <w:p w:rsidR="00E03D8B" w:rsidRPr="00B66156" w:rsidRDefault="00E03D8B" w:rsidP="00E03D8B">
      <w:pPr>
        <w:pStyle w:val="corte4fondo"/>
        <w:ind w:right="49" w:firstLine="0"/>
        <w:rPr>
          <w:rFonts w:cs="Arial"/>
          <w:color w:val="5B9BD5" w:themeColor="accent1"/>
          <w:sz w:val="24"/>
          <w:szCs w:val="24"/>
        </w:rPr>
      </w:pPr>
    </w:p>
    <w:p w:rsidR="00E03D8B" w:rsidRPr="00B66156" w:rsidRDefault="00E03D8B" w:rsidP="00E03D8B">
      <w:pPr>
        <w:pStyle w:val="corte4fondo"/>
        <w:spacing w:line="240" w:lineRule="auto"/>
        <w:ind w:right="49" w:firstLine="708"/>
        <w:rPr>
          <w:rFonts w:cs="Arial"/>
          <w:color w:val="5B9BD5" w:themeColor="accent1"/>
          <w:sz w:val="24"/>
          <w:szCs w:val="24"/>
        </w:rPr>
      </w:pPr>
      <w:r w:rsidRPr="00B66156">
        <w:rPr>
          <w:rFonts w:cs="Arial"/>
          <w:color w:val="5B9BD5" w:themeColor="accent1"/>
          <w:sz w:val="24"/>
          <w:szCs w:val="24"/>
        </w:rPr>
        <w:t xml:space="preserve">Lo anterior, conforme al principio de buena fe en materia de acceso a la información, previsto en el artículo 6o., fracción III, de la Constitución Política de los Estados Unidos Mexicanos, el cual dispone que toda persona, sin necesidad de acreditar interés alguno o justificar su utilización, tendrá acceso gratuito a la información pública. </w:t>
      </w:r>
    </w:p>
    <w:p w:rsidR="00E03D8B" w:rsidRPr="00B66156" w:rsidRDefault="00E03D8B" w:rsidP="00E03D8B">
      <w:pPr>
        <w:pStyle w:val="corte4fondo"/>
        <w:ind w:right="49" w:firstLine="0"/>
        <w:rPr>
          <w:rFonts w:cs="Arial"/>
          <w:color w:val="5B9BD5" w:themeColor="accent1"/>
          <w:sz w:val="24"/>
          <w:szCs w:val="24"/>
        </w:rPr>
      </w:pPr>
    </w:p>
    <w:p w:rsidR="00E03D8B" w:rsidRPr="00B66156" w:rsidRDefault="00E03D8B" w:rsidP="00E03D8B">
      <w:pPr>
        <w:autoSpaceDE w:val="0"/>
        <w:autoSpaceDN w:val="0"/>
        <w:adjustRightInd w:val="0"/>
        <w:ind w:firstLine="708"/>
        <w:jc w:val="both"/>
        <w:rPr>
          <w:rFonts w:ascii="Arial" w:hAnsi="Arial" w:cs="Arial"/>
          <w:color w:val="5B9BD5" w:themeColor="accent1"/>
          <w:sz w:val="24"/>
        </w:rPr>
      </w:pPr>
      <w:r w:rsidRPr="00B66156">
        <w:rPr>
          <w:rFonts w:ascii="Arial" w:hAnsi="Arial" w:cs="Arial"/>
          <w:color w:val="5B9BD5" w:themeColor="accent1"/>
          <w:sz w:val="24"/>
          <w:szCs w:val="24"/>
        </w:rPr>
        <w:t xml:space="preserve">Además, tal y como lo refiere el solicitante, respecto a la naturaleza de la información referente a informar si respecto el servidor </w:t>
      </w:r>
      <w:r>
        <w:rPr>
          <w:rFonts w:ascii="Arial" w:hAnsi="Arial" w:cs="Arial"/>
          <w:color w:val="5B9BD5" w:themeColor="accent1"/>
          <w:sz w:val="24"/>
          <w:szCs w:val="24"/>
        </w:rPr>
        <w:t>público aludido en su solicitud</w:t>
      </w:r>
      <w:r w:rsidRPr="00B66156">
        <w:rPr>
          <w:rFonts w:ascii="Arial" w:hAnsi="Arial" w:cs="Arial"/>
          <w:color w:val="5B9BD5" w:themeColor="accent1"/>
          <w:sz w:val="24"/>
        </w:rPr>
        <w:t>; ¿</w:t>
      </w:r>
      <w:r>
        <w:rPr>
          <w:rFonts w:ascii="Arial" w:hAnsi="Arial" w:cs="Arial"/>
          <w:color w:val="5B9BD5" w:themeColor="accent1"/>
          <w:sz w:val="24"/>
        </w:rPr>
        <w:t xml:space="preserve">si </w:t>
      </w:r>
      <w:r w:rsidRPr="00B66156">
        <w:rPr>
          <w:rFonts w:ascii="Arial" w:hAnsi="Arial" w:cs="Arial"/>
          <w:color w:val="5B9BD5" w:themeColor="accent1"/>
          <w:sz w:val="24"/>
        </w:rPr>
        <w:t xml:space="preserve"> se desempeña como trabajador</w:t>
      </w:r>
      <w:r>
        <w:rPr>
          <w:rFonts w:ascii="Arial" w:hAnsi="Arial" w:cs="Arial"/>
          <w:color w:val="5B9BD5" w:themeColor="accent1"/>
          <w:sz w:val="24"/>
        </w:rPr>
        <w:t xml:space="preserve"> del Ayuntamiento</w:t>
      </w:r>
      <w:r w:rsidRPr="00B66156">
        <w:rPr>
          <w:rFonts w:ascii="Arial" w:hAnsi="Arial" w:cs="Arial"/>
          <w:color w:val="5B9BD5" w:themeColor="accent1"/>
          <w:sz w:val="24"/>
        </w:rPr>
        <w:t xml:space="preserve">?,  ¿cuál es o fue el departamento de adscripción?, ¿hasta cuándo laboró? y ¿cuál fue el motivo del término de </w:t>
      </w:r>
      <w:r>
        <w:rPr>
          <w:rFonts w:ascii="Arial" w:hAnsi="Arial" w:cs="Arial"/>
          <w:color w:val="5B9BD5" w:themeColor="accent1"/>
          <w:sz w:val="24"/>
        </w:rPr>
        <w:t xml:space="preserve">la </w:t>
      </w:r>
      <w:r w:rsidRPr="00B66156">
        <w:rPr>
          <w:rFonts w:ascii="Arial" w:hAnsi="Arial" w:cs="Arial"/>
          <w:color w:val="5B9BD5" w:themeColor="accent1"/>
          <w:sz w:val="24"/>
        </w:rPr>
        <w:t>relación laboral?</w:t>
      </w:r>
      <w:r w:rsidRPr="00B66156">
        <w:rPr>
          <w:rFonts w:ascii="Arial" w:hAnsi="Arial" w:cs="Arial"/>
          <w:color w:val="5B9BD5" w:themeColor="accent1"/>
          <w:sz w:val="24"/>
          <w:szCs w:val="24"/>
        </w:rPr>
        <w:t>, esta Comisión presume que la existencia de dicha información, por referirse a las facultades, competencias y funciones que los ordenamientos jurídicos aplicables le otorgan al referido Ayuntamiento, tal y como lo establecen los artículos 18 y 19 de la Ley de Transparencia y Acceso a la Información Pública el Estado, por lo que la información solicitada, deberá otorgársele la calidad de pública por encontrarse dentro de los archivos del Sujeto Obligado como</w:t>
      </w:r>
      <w:r w:rsidRPr="00B66156">
        <w:rPr>
          <w:rFonts w:ascii="Arial" w:eastAsia="Arial" w:hAnsi="Arial" w:cs="Arial"/>
          <w:color w:val="5B9BD5" w:themeColor="accent1"/>
          <w:sz w:val="24"/>
          <w:szCs w:val="24"/>
        </w:rPr>
        <w:t xml:space="preserve">  </w:t>
      </w:r>
      <w:r w:rsidRPr="00B66156">
        <w:rPr>
          <w:rFonts w:ascii="Arial" w:eastAsia="Arial" w:hAnsi="Arial" w:cs="Arial"/>
          <w:color w:val="5B9BD5" w:themeColor="accent1"/>
          <w:spacing w:val="1"/>
          <w:sz w:val="24"/>
          <w:szCs w:val="24"/>
        </w:rPr>
        <w:t>p</w:t>
      </w:r>
      <w:r w:rsidRPr="00B66156">
        <w:rPr>
          <w:rFonts w:ascii="Arial" w:eastAsia="Arial" w:hAnsi="Arial" w:cs="Arial"/>
          <w:color w:val="5B9BD5" w:themeColor="accent1"/>
          <w:spacing w:val="-1"/>
          <w:sz w:val="24"/>
          <w:szCs w:val="24"/>
        </w:rPr>
        <w:t>r</w:t>
      </w:r>
      <w:r w:rsidRPr="00B66156">
        <w:rPr>
          <w:rFonts w:ascii="Arial" w:eastAsia="Arial" w:hAnsi="Arial" w:cs="Arial"/>
          <w:color w:val="5B9BD5" w:themeColor="accent1"/>
          <w:spacing w:val="1"/>
          <w:sz w:val="24"/>
          <w:szCs w:val="24"/>
        </w:rPr>
        <w:t>odu</w:t>
      </w:r>
      <w:r w:rsidRPr="00B66156">
        <w:rPr>
          <w:rFonts w:ascii="Arial" w:eastAsia="Arial" w:hAnsi="Arial" w:cs="Arial"/>
          <w:color w:val="5B9BD5" w:themeColor="accent1"/>
          <w:sz w:val="24"/>
          <w:szCs w:val="24"/>
        </w:rPr>
        <w:t xml:space="preserve">cto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 xml:space="preserve">e </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 xml:space="preserve">n </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con</w:t>
      </w:r>
      <w:r w:rsidRPr="00B66156">
        <w:rPr>
          <w:rFonts w:ascii="Arial" w:eastAsia="Arial" w:hAnsi="Arial" w:cs="Arial"/>
          <w:color w:val="5B9BD5" w:themeColor="accent1"/>
          <w:spacing w:val="-3"/>
          <w:sz w:val="24"/>
          <w:szCs w:val="24"/>
        </w:rPr>
        <w:t>j</w:t>
      </w:r>
      <w:r w:rsidRPr="00B66156">
        <w:rPr>
          <w:rFonts w:ascii="Arial" w:eastAsia="Arial" w:hAnsi="Arial" w:cs="Arial"/>
          <w:color w:val="5B9BD5" w:themeColor="accent1"/>
          <w:spacing w:val="1"/>
          <w:sz w:val="24"/>
          <w:szCs w:val="24"/>
        </w:rPr>
        <w:t>un</w:t>
      </w:r>
      <w:r w:rsidRPr="00B66156">
        <w:rPr>
          <w:rFonts w:ascii="Arial" w:eastAsia="Arial" w:hAnsi="Arial" w:cs="Arial"/>
          <w:color w:val="5B9BD5" w:themeColor="accent1"/>
          <w:spacing w:val="-2"/>
          <w:sz w:val="24"/>
          <w:szCs w:val="24"/>
        </w:rPr>
        <w:t>t</w:t>
      </w:r>
      <w:r w:rsidRPr="00B66156">
        <w:rPr>
          <w:rFonts w:ascii="Arial" w:eastAsia="Arial" w:hAnsi="Arial" w:cs="Arial"/>
          <w:color w:val="5B9BD5" w:themeColor="accent1"/>
          <w:sz w:val="24"/>
          <w:szCs w:val="24"/>
        </w:rPr>
        <w:t xml:space="preserve">o  </w:t>
      </w:r>
      <w:r w:rsidRPr="00B66156">
        <w:rPr>
          <w:rFonts w:ascii="Arial" w:eastAsia="Arial" w:hAnsi="Arial" w:cs="Arial"/>
          <w:color w:val="5B9BD5" w:themeColor="accent1"/>
          <w:spacing w:val="1"/>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  res</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lt</w:t>
      </w:r>
      <w:r w:rsidRPr="00B66156">
        <w:rPr>
          <w:rFonts w:ascii="Arial" w:eastAsia="Arial" w:hAnsi="Arial" w:cs="Arial"/>
          <w:color w:val="5B9BD5" w:themeColor="accent1"/>
          <w:spacing w:val="-1"/>
          <w:sz w:val="24"/>
          <w:szCs w:val="24"/>
        </w:rPr>
        <w:t>ad</w:t>
      </w:r>
      <w:r w:rsidRPr="00B66156">
        <w:rPr>
          <w:rFonts w:ascii="Arial" w:eastAsia="Arial" w:hAnsi="Arial" w:cs="Arial"/>
          <w:color w:val="5B9BD5" w:themeColor="accent1"/>
          <w:spacing w:val="-2"/>
          <w:sz w:val="24"/>
          <w:szCs w:val="24"/>
        </w:rPr>
        <w:t>o</w:t>
      </w:r>
      <w:r w:rsidRPr="00B66156">
        <w:rPr>
          <w:rFonts w:ascii="Arial" w:eastAsia="Arial" w:hAnsi="Arial" w:cs="Arial"/>
          <w:color w:val="5B9BD5" w:themeColor="accent1"/>
          <w:sz w:val="24"/>
          <w:szCs w:val="24"/>
        </w:rPr>
        <w:t>s c</w:t>
      </w:r>
      <w:r w:rsidRPr="00B66156">
        <w:rPr>
          <w:rFonts w:ascii="Arial" w:eastAsia="Arial" w:hAnsi="Arial" w:cs="Arial"/>
          <w:color w:val="5B9BD5" w:themeColor="accent1"/>
          <w:spacing w:val="1"/>
          <w:sz w:val="24"/>
          <w:szCs w:val="24"/>
        </w:rPr>
        <w:t>uan</w:t>
      </w:r>
      <w:r w:rsidRPr="00B66156">
        <w:rPr>
          <w:rFonts w:ascii="Arial" w:eastAsia="Arial" w:hAnsi="Arial" w:cs="Arial"/>
          <w:color w:val="5B9BD5" w:themeColor="accent1"/>
          <w:sz w:val="24"/>
          <w:szCs w:val="24"/>
        </w:rPr>
        <w:t>ti</w:t>
      </w:r>
      <w:r w:rsidRPr="00B66156">
        <w:rPr>
          <w:rFonts w:ascii="Arial" w:eastAsia="Arial" w:hAnsi="Arial" w:cs="Arial"/>
          <w:color w:val="5B9BD5" w:themeColor="accent1"/>
          <w:spacing w:val="-2"/>
          <w:sz w:val="24"/>
          <w:szCs w:val="24"/>
        </w:rPr>
        <w:t>t</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ti</w:t>
      </w:r>
      <w:r w:rsidRPr="00B66156">
        <w:rPr>
          <w:rFonts w:ascii="Arial" w:eastAsia="Arial" w:hAnsi="Arial" w:cs="Arial"/>
          <w:color w:val="5B9BD5" w:themeColor="accent1"/>
          <w:spacing w:val="-5"/>
          <w:sz w:val="24"/>
          <w:szCs w:val="24"/>
        </w:rPr>
        <w:t>v</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obten</w:t>
      </w:r>
      <w:r w:rsidRPr="00B66156">
        <w:rPr>
          <w:rFonts w:ascii="Arial" w:eastAsia="Arial" w:hAnsi="Arial" w:cs="Arial"/>
          <w:color w:val="5B9BD5" w:themeColor="accent1"/>
          <w:spacing w:val="-3"/>
          <w:sz w:val="24"/>
          <w:szCs w:val="24"/>
        </w:rPr>
        <w:t>i</w:t>
      </w:r>
      <w:r w:rsidRPr="00B66156">
        <w:rPr>
          <w:rFonts w:ascii="Arial" w:eastAsia="Arial" w:hAnsi="Arial" w:cs="Arial"/>
          <w:color w:val="5B9BD5" w:themeColor="accent1"/>
          <w:spacing w:val="1"/>
          <w:sz w:val="24"/>
          <w:szCs w:val="24"/>
        </w:rPr>
        <w:t>do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 xml:space="preserve">n </w:t>
      </w:r>
      <w:r w:rsidRPr="00B66156">
        <w:rPr>
          <w:rFonts w:ascii="Arial" w:eastAsia="Arial" w:hAnsi="Arial" w:cs="Arial"/>
          <w:color w:val="5B9BD5" w:themeColor="accent1"/>
          <w:spacing w:val="3"/>
          <w:sz w:val="24"/>
          <w:szCs w:val="24"/>
        </w:rPr>
        <w:t>p</w:t>
      </w:r>
      <w:r w:rsidRPr="00B66156">
        <w:rPr>
          <w:rFonts w:ascii="Arial" w:eastAsia="Arial" w:hAnsi="Arial" w:cs="Arial"/>
          <w:color w:val="5B9BD5" w:themeColor="accent1"/>
          <w:sz w:val="24"/>
          <w:szCs w:val="24"/>
        </w:rPr>
        <w:t>ro</w:t>
      </w:r>
      <w:r w:rsidRPr="00B66156">
        <w:rPr>
          <w:rFonts w:ascii="Arial" w:eastAsia="Arial" w:hAnsi="Arial" w:cs="Arial"/>
          <w:color w:val="5B9BD5" w:themeColor="accent1"/>
          <w:spacing w:val="1"/>
          <w:sz w:val="24"/>
          <w:szCs w:val="24"/>
        </w:rPr>
        <w:t>ce</w:t>
      </w:r>
      <w:r w:rsidRPr="00B66156">
        <w:rPr>
          <w:rFonts w:ascii="Arial" w:eastAsia="Arial" w:hAnsi="Arial" w:cs="Arial"/>
          <w:color w:val="5B9BD5" w:themeColor="accent1"/>
          <w:spacing w:val="-2"/>
          <w:sz w:val="24"/>
          <w:szCs w:val="24"/>
        </w:rPr>
        <w:t>s</w:t>
      </w:r>
      <w:r w:rsidRPr="00B66156">
        <w:rPr>
          <w:rFonts w:ascii="Arial" w:eastAsia="Arial" w:hAnsi="Arial" w:cs="Arial"/>
          <w:color w:val="5B9BD5" w:themeColor="accent1"/>
          <w:sz w:val="24"/>
          <w:szCs w:val="24"/>
        </w:rPr>
        <w:t>o</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z w:val="24"/>
          <w:szCs w:val="24"/>
        </w:rPr>
        <w:t>si</w:t>
      </w:r>
      <w:r w:rsidRPr="00B66156">
        <w:rPr>
          <w:rFonts w:ascii="Arial" w:eastAsia="Arial" w:hAnsi="Arial" w:cs="Arial"/>
          <w:color w:val="5B9BD5" w:themeColor="accent1"/>
          <w:spacing w:val="-5"/>
          <w:sz w:val="24"/>
          <w:szCs w:val="24"/>
        </w:rPr>
        <w:t>s</w:t>
      </w:r>
      <w:r w:rsidRPr="00B66156">
        <w:rPr>
          <w:rFonts w:ascii="Arial" w:eastAsia="Arial" w:hAnsi="Arial" w:cs="Arial"/>
          <w:color w:val="5B9BD5" w:themeColor="accent1"/>
          <w:spacing w:val="1"/>
          <w:sz w:val="24"/>
          <w:szCs w:val="24"/>
        </w:rPr>
        <w:t>te</w:t>
      </w:r>
      <w:r w:rsidRPr="00B66156">
        <w:rPr>
          <w:rFonts w:ascii="Arial" w:eastAsia="Arial" w:hAnsi="Arial" w:cs="Arial"/>
          <w:color w:val="5B9BD5" w:themeColor="accent1"/>
          <w:spacing w:val="2"/>
          <w:sz w:val="24"/>
          <w:szCs w:val="24"/>
        </w:rPr>
        <w:t>m</w:t>
      </w:r>
      <w:r w:rsidRPr="00B66156">
        <w:rPr>
          <w:rFonts w:ascii="Arial" w:eastAsia="Arial" w:hAnsi="Arial" w:cs="Arial"/>
          <w:color w:val="5B9BD5" w:themeColor="accent1"/>
          <w:spacing w:val="1"/>
          <w:sz w:val="24"/>
          <w:szCs w:val="24"/>
        </w:rPr>
        <w:t>át</w:t>
      </w:r>
      <w:r w:rsidRPr="00B66156">
        <w:rPr>
          <w:rFonts w:ascii="Arial" w:eastAsia="Arial" w:hAnsi="Arial" w:cs="Arial"/>
          <w:color w:val="5B9BD5" w:themeColor="accent1"/>
          <w:spacing w:val="2"/>
          <w:sz w:val="24"/>
          <w:szCs w:val="24"/>
        </w:rPr>
        <w:t>i</w:t>
      </w:r>
      <w:r w:rsidRPr="00B66156">
        <w:rPr>
          <w:rFonts w:ascii="Arial" w:eastAsia="Arial" w:hAnsi="Arial" w:cs="Arial"/>
          <w:color w:val="5B9BD5" w:themeColor="accent1"/>
          <w:spacing w:val="-2"/>
          <w:sz w:val="24"/>
          <w:szCs w:val="24"/>
        </w:rPr>
        <w:t>c</w:t>
      </w:r>
      <w:r w:rsidRPr="00B66156">
        <w:rPr>
          <w:rFonts w:ascii="Arial" w:eastAsia="Arial" w:hAnsi="Arial" w:cs="Arial"/>
          <w:color w:val="5B9BD5" w:themeColor="accent1"/>
          <w:sz w:val="24"/>
          <w:szCs w:val="24"/>
        </w:rPr>
        <w:t>o</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2"/>
          <w:sz w:val="24"/>
          <w:szCs w:val="24"/>
        </w:rPr>
        <w:t>c</w:t>
      </w:r>
      <w:r w:rsidRPr="00B66156">
        <w:rPr>
          <w:rFonts w:ascii="Arial" w:eastAsia="Arial" w:hAnsi="Arial" w:cs="Arial"/>
          <w:color w:val="5B9BD5" w:themeColor="accent1"/>
          <w:spacing w:val="1"/>
          <w:sz w:val="24"/>
          <w:szCs w:val="24"/>
        </w:rPr>
        <w:t>apta</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i</w:t>
      </w:r>
      <w:r w:rsidRPr="00B66156">
        <w:rPr>
          <w:rFonts w:ascii="Arial" w:eastAsia="Arial" w:hAnsi="Arial" w:cs="Arial"/>
          <w:color w:val="5B9BD5" w:themeColor="accent1"/>
          <w:spacing w:val="-4"/>
          <w:sz w:val="24"/>
          <w:szCs w:val="24"/>
        </w:rPr>
        <w:t>ó</w:t>
      </w:r>
      <w:r w:rsidRPr="00B66156">
        <w:rPr>
          <w:rFonts w:ascii="Arial" w:eastAsia="Arial" w:hAnsi="Arial" w:cs="Arial"/>
          <w:color w:val="5B9BD5" w:themeColor="accent1"/>
          <w:sz w:val="24"/>
          <w:szCs w:val="24"/>
        </w:rPr>
        <w:t>n</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da</w:t>
      </w:r>
      <w:r w:rsidRPr="00B66156">
        <w:rPr>
          <w:rFonts w:ascii="Arial" w:eastAsia="Arial" w:hAnsi="Arial" w:cs="Arial"/>
          <w:color w:val="5B9BD5" w:themeColor="accent1"/>
          <w:spacing w:val="-2"/>
          <w:sz w:val="24"/>
          <w:szCs w:val="24"/>
        </w:rPr>
        <w:t>t</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 xml:space="preserve">s </w:t>
      </w:r>
      <w:r w:rsidRPr="00B66156">
        <w:rPr>
          <w:rFonts w:ascii="Arial" w:eastAsia="Arial" w:hAnsi="Arial" w:cs="Arial"/>
          <w:color w:val="5B9BD5" w:themeColor="accent1"/>
          <w:spacing w:val="1"/>
          <w:sz w:val="24"/>
          <w:szCs w:val="24"/>
        </w:rPr>
        <w:t>p</w:t>
      </w:r>
      <w:r w:rsidRPr="00B66156">
        <w:rPr>
          <w:rFonts w:ascii="Arial" w:eastAsia="Arial" w:hAnsi="Arial" w:cs="Arial"/>
          <w:color w:val="5B9BD5" w:themeColor="accent1"/>
          <w:spacing w:val="-1"/>
          <w:sz w:val="24"/>
          <w:szCs w:val="24"/>
        </w:rPr>
        <w:t>ri</w:t>
      </w:r>
      <w:r w:rsidRPr="00B66156">
        <w:rPr>
          <w:rFonts w:ascii="Arial" w:eastAsia="Arial" w:hAnsi="Arial" w:cs="Arial"/>
          <w:color w:val="5B9BD5" w:themeColor="accent1"/>
          <w:spacing w:val="2"/>
          <w:sz w:val="24"/>
          <w:szCs w:val="24"/>
        </w:rPr>
        <w:t>m</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pacing w:val="-1"/>
          <w:sz w:val="24"/>
          <w:szCs w:val="24"/>
        </w:rPr>
        <w:t>ri</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obten</w:t>
      </w:r>
      <w:r w:rsidRPr="00B66156">
        <w:rPr>
          <w:rFonts w:ascii="Arial" w:eastAsia="Arial" w:hAnsi="Arial" w:cs="Arial"/>
          <w:color w:val="5B9BD5" w:themeColor="accent1"/>
          <w:spacing w:val="-3"/>
          <w:sz w:val="24"/>
          <w:szCs w:val="24"/>
        </w:rPr>
        <w:t>i</w:t>
      </w:r>
      <w:r w:rsidRPr="00B66156">
        <w:rPr>
          <w:rFonts w:ascii="Arial" w:eastAsia="Arial" w:hAnsi="Arial" w:cs="Arial"/>
          <w:color w:val="5B9BD5" w:themeColor="accent1"/>
          <w:spacing w:val="1"/>
          <w:sz w:val="24"/>
          <w:szCs w:val="24"/>
        </w:rPr>
        <w:t>do</w:t>
      </w:r>
      <w:r w:rsidRPr="00B66156">
        <w:rPr>
          <w:rFonts w:ascii="Arial" w:eastAsia="Arial" w:hAnsi="Arial" w:cs="Arial"/>
          <w:color w:val="5B9BD5" w:themeColor="accent1"/>
          <w:sz w:val="24"/>
          <w:szCs w:val="24"/>
        </w:rPr>
        <w:t>s s</w:t>
      </w:r>
      <w:r w:rsidRPr="00B66156">
        <w:rPr>
          <w:rFonts w:ascii="Arial" w:eastAsia="Arial" w:hAnsi="Arial" w:cs="Arial"/>
          <w:color w:val="5B9BD5" w:themeColor="accent1"/>
          <w:spacing w:val="1"/>
          <w:sz w:val="24"/>
          <w:szCs w:val="24"/>
        </w:rPr>
        <w:t>ob</w:t>
      </w:r>
      <w:r w:rsidRPr="00B66156">
        <w:rPr>
          <w:rFonts w:ascii="Arial" w:eastAsia="Arial" w:hAnsi="Arial" w:cs="Arial"/>
          <w:color w:val="5B9BD5" w:themeColor="accent1"/>
          <w:spacing w:val="-1"/>
          <w:sz w:val="24"/>
          <w:szCs w:val="24"/>
        </w:rPr>
        <w:t>r</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he</w:t>
      </w:r>
      <w:r w:rsidRPr="00B66156">
        <w:rPr>
          <w:rFonts w:ascii="Arial" w:eastAsia="Arial" w:hAnsi="Arial" w:cs="Arial"/>
          <w:color w:val="5B9BD5" w:themeColor="accent1"/>
          <w:spacing w:val="-2"/>
          <w:sz w:val="24"/>
          <w:szCs w:val="24"/>
        </w:rPr>
        <w:t>c</w:t>
      </w:r>
      <w:r w:rsidRPr="00B66156">
        <w:rPr>
          <w:rFonts w:ascii="Arial" w:eastAsia="Arial" w:hAnsi="Arial" w:cs="Arial"/>
          <w:color w:val="5B9BD5" w:themeColor="accent1"/>
          <w:spacing w:val="1"/>
          <w:sz w:val="24"/>
          <w:szCs w:val="24"/>
        </w:rPr>
        <w:t>ho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q</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8"/>
          <w:sz w:val="24"/>
          <w:szCs w:val="24"/>
        </w:rPr>
        <w:t xml:space="preserve"> </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on</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ta</w:t>
      </w:r>
      <w:r w:rsidRPr="00B66156">
        <w:rPr>
          <w:rFonts w:ascii="Arial" w:eastAsia="Arial" w:hAnsi="Arial" w:cs="Arial"/>
          <w:color w:val="5B9BD5" w:themeColor="accent1"/>
          <w:sz w:val="24"/>
          <w:szCs w:val="24"/>
        </w:rPr>
        <w:t>n</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e</w:t>
      </w:r>
      <w:r w:rsidRPr="00B66156">
        <w:rPr>
          <w:rFonts w:ascii="Arial" w:eastAsia="Arial" w:hAnsi="Arial" w:cs="Arial"/>
          <w:color w:val="5B9BD5" w:themeColor="accent1"/>
          <w:sz w:val="24"/>
          <w:szCs w:val="24"/>
        </w:rPr>
        <w:t>n</w:t>
      </w:r>
      <w:r w:rsidRPr="00B66156">
        <w:rPr>
          <w:rFonts w:ascii="Arial" w:eastAsia="Arial" w:hAnsi="Arial" w:cs="Arial"/>
          <w:color w:val="5B9BD5" w:themeColor="accent1"/>
          <w:spacing w:val="4"/>
          <w:sz w:val="24"/>
          <w:szCs w:val="24"/>
        </w:rPr>
        <w:t xml:space="preserve"> </w:t>
      </w:r>
      <w:r w:rsidRPr="00B66156">
        <w:rPr>
          <w:rFonts w:ascii="Arial" w:eastAsia="Arial" w:hAnsi="Arial" w:cs="Arial"/>
          <w:color w:val="5B9BD5" w:themeColor="accent1"/>
          <w:spacing w:val="1"/>
          <w:sz w:val="24"/>
          <w:szCs w:val="24"/>
        </w:rPr>
        <w:t>do</w:t>
      </w:r>
      <w:r w:rsidRPr="00B66156">
        <w:rPr>
          <w:rFonts w:ascii="Arial" w:eastAsia="Arial" w:hAnsi="Arial" w:cs="Arial"/>
          <w:color w:val="5B9BD5" w:themeColor="accent1"/>
          <w:spacing w:val="-2"/>
          <w:sz w:val="24"/>
          <w:szCs w:val="24"/>
        </w:rPr>
        <w:t>c</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pacing w:val="-1"/>
          <w:sz w:val="24"/>
          <w:szCs w:val="24"/>
        </w:rPr>
        <w:t>m</w:t>
      </w:r>
      <w:r w:rsidRPr="00B66156">
        <w:rPr>
          <w:rFonts w:ascii="Arial" w:eastAsia="Arial" w:hAnsi="Arial" w:cs="Arial"/>
          <w:color w:val="5B9BD5" w:themeColor="accent1"/>
          <w:spacing w:val="1"/>
          <w:sz w:val="24"/>
          <w:szCs w:val="24"/>
        </w:rPr>
        <w:t>en</w:t>
      </w:r>
      <w:r w:rsidRPr="00B66156">
        <w:rPr>
          <w:rFonts w:ascii="Arial" w:eastAsia="Arial" w:hAnsi="Arial" w:cs="Arial"/>
          <w:color w:val="5B9BD5" w:themeColor="accent1"/>
          <w:spacing w:val="-4"/>
          <w:sz w:val="24"/>
          <w:szCs w:val="24"/>
        </w:rPr>
        <w:t>t</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q</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4"/>
          <w:sz w:val="24"/>
          <w:szCs w:val="24"/>
        </w:rPr>
        <w:t xml:space="preserve"> el Ayuntamiento de San Luis Potosí, </w:t>
      </w:r>
      <w:r w:rsidRPr="00B66156">
        <w:rPr>
          <w:rFonts w:ascii="Arial" w:eastAsia="Arial" w:hAnsi="Arial" w:cs="Arial"/>
          <w:color w:val="5B9BD5" w:themeColor="accent1"/>
          <w:spacing w:val="1"/>
          <w:sz w:val="24"/>
          <w:szCs w:val="24"/>
        </w:rPr>
        <w:t>de</w:t>
      </w:r>
      <w:r w:rsidRPr="00B66156">
        <w:rPr>
          <w:rFonts w:ascii="Arial" w:eastAsia="Arial" w:hAnsi="Arial" w:cs="Arial"/>
          <w:color w:val="5B9BD5" w:themeColor="accent1"/>
          <w:spacing w:val="-1"/>
          <w:sz w:val="24"/>
          <w:szCs w:val="24"/>
        </w:rPr>
        <w:t>ri</w:t>
      </w:r>
      <w:r w:rsidRPr="00B66156">
        <w:rPr>
          <w:rFonts w:ascii="Arial" w:eastAsia="Arial" w:hAnsi="Arial" w:cs="Arial"/>
          <w:color w:val="5B9BD5" w:themeColor="accent1"/>
          <w:spacing w:val="-5"/>
          <w:sz w:val="24"/>
          <w:szCs w:val="24"/>
        </w:rPr>
        <w:t>v</w:t>
      </w:r>
      <w:r w:rsidRPr="00B66156">
        <w:rPr>
          <w:rFonts w:ascii="Arial" w:eastAsia="Arial" w:hAnsi="Arial" w:cs="Arial"/>
          <w:color w:val="5B9BD5" w:themeColor="accent1"/>
          <w:spacing w:val="1"/>
          <w:sz w:val="24"/>
          <w:szCs w:val="24"/>
        </w:rPr>
        <w:t>ad</w:t>
      </w:r>
      <w:r w:rsidRPr="00B66156">
        <w:rPr>
          <w:rFonts w:ascii="Arial" w:eastAsia="Arial" w:hAnsi="Arial" w:cs="Arial"/>
          <w:color w:val="5B9BD5" w:themeColor="accent1"/>
          <w:sz w:val="24"/>
          <w:szCs w:val="24"/>
        </w:rPr>
        <w:t>o</w:t>
      </w:r>
      <w:r w:rsidRPr="00B66156">
        <w:rPr>
          <w:rFonts w:ascii="Arial" w:eastAsia="Arial" w:hAnsi="Arial" w:cs="Arial"/>
          <w:color w:val="5B9BD5" w:themeColor="accent1"/>
          <w:spacing w:val="6"/>
          <w:sz w:val="24"/>
          <w:szCs w:val="24"/>
        </w:rPr>
        <w:t xml:space="preserve"> </w:t>
      </w:r>
      <w:r w:rsidRPr="00B66156">
        <w:rPr>
          <w:rFonts w:ascii="Arial" w:eastAsia="Arial" w:hAnsi="Arial" w:cs="Arial"/>
          <w:color w:val="5B9BD5" w:themeColor="accent1"/>
          <w:spacing w:val="1"/>
          <w:sz w:val="24"/>
          <w:szCs w:val="24"/>
        </w:rPr>
        <w:t>de</w:t>
      </w:r>
      <w:r w:rsidRPr="00B66156">
        <w:rPr>
          <w:rFonts w:ascii="Arial" w:eastAsia="Arial" w:hAnsi="Arial" w:cs="Arial"/>
          <w:color w:val="5B9BD5" w:themeColor="accent1"/>
          <w:sz w:val="24"/>
          <w:szCs w:val="24"/>
        </w:rPr>
        <w:t>l</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e</w:t>
      </w:r>
      <w:r w:rsidRPr="00B66156">
        <w:rPr>
          <w:rFonts w:ascii="Arial" w:eastAsia="Arial" w:hAnsi="Arial" w:cs="Arial"/>
          <w:color w:val="5B9BD5" w:themeColor="accent1"/>
          <w:sz w:val="24"/>
          <w:szCs w:val="24"/>
        </w:rPr>
        <w:t>jerc</w:t>
      </w:r>
      <w:r w:rsidRPr="00B66156">
        <w:rPr>
          <w:rFonts w:ascii="Arial" w:eastAsia="Arial" w:hAnsi="Arial" w:cs="Arial"/>
          <w:color w:val="5B9BD5" w:themeColor="accent1"/>
          <w:spacing w:val="-1"/>
          <w:sz w:val="24"/>
          <w:szCs w:val="24"/>
        </w:rPr>
        <w:t>i</w:t>
      </w:r>
      <w:r w:rsidRPr="00B66156">
        <w:rPr>
          <w:rFonts w:ascii="Arial" w:eastAsia="Arial" w:hAnsi="Arial" w:cs="Arial"/>
          <w:color w:val="5B9BD5" w:themeColor="accent1"/>
          <w:sz w:val="24"/>
          <w:szCs w:val="24"/>
        </w:rPr>
        <w:t>cio</w:t>
      </w:r>
      <w:r w:rsidRPr="00B66156">
        <w:rPr>
          <w:rFonts w:ascii="Arial" w:eastAsia="Arial" w:hAnsi="Arial" w:cs="Arial"/>
          <w:color w:val="5B9BD5" w:themeColor="accent1"/>
          <w:spacing w:val="4"/>
          <w:sz w:val="24"/>
          <w:szCs w:val="24"/>
        </w:rPr>
        <w:t xml:space="preserve"> </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4"/>
          <w:sz w:val="24"/>
          <w:szCs w:val="24"/>
        </w:rPr>
        <w:t xml:space="preserve"> </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3"/>
          <w:sz w:val="24"/>
          <w:szCs w:val="24"/>
        </w:rPr>
        <w:t xml:space="preserve"> </w:t>
      </w:r>
      <w:r w:rsidRPr="00B66156">
        <w:rPr>
          <w:rFonts w:ascii="Arial" w:eastAsia="Arial" w:hAnsi="Arial" w:cs="Arial"/>
          <w:color w:val="5B9BD5" w:themeColor="accent1"/>
          <w:spacing w:val="1"/>
          <w:sz w:val="24"/>
          <w:szCs w:val="24"/>
        </w:rPr>
        <w:t>at</w:t>
      </w:r>
      <w:r w:rsidRPr="00B66156">
        <w:rPr>
          <w:rFonts w:ascii="Arial" w:eastAsia="Arial" w:hAnsi="Arial" w:cs="Arial"/>
          <w:color w:val="5B9BD5" w:themeColor="accent1"/>
          <w:spacing w:val="-6"/>
          <w:sz w:val="24"/>
          <w:szCs w:val="24"/>
        </w:rPr>
        <w:t>r</w:t>
      </w:r>
      <w:r w:rsidRPr="00B66156">
        <w:rPr>
          <w:rFonts w:ascii="Arial" w:eastAsia="Arial" w:hAnsi="Arial" w:cs="Arial"/>
          <w:color w:val="5B9BD5" w:themeColor="accent1"/>
          <w:sz w:val="24"/>
          <w:szCs w:val="24"/>
        </w:rPr>
        <w:t>i</w:t>
      </w:r>
      <w:r w:rsidRPr="00B66156">
        <w:rPr>
          <w:rFonts w:ascii="Arial" w:eastAsia="Arial" w:hAnsi="Arial" w:cs="Arial"/>
          <w:color w:val="5B9BD5" w:themeColor="accent1"/>
          <w:spacing w:val="1"/>
          <w:sz w:val="24"/>
          <w:szCs w:val="24"/>
        </w:rPr>
        <w:t>bu</w:t>
      </w:r>
      <w:r w:rsidRPr="00B66156">
        <w:rPr>
          <w:rFonts w:ascii="Arial" w:eastAsia="Arial" w:hAnsi="Arial" w:cs="Arial"/>
          <w:color w:val="5B9BD5" w:themeColor="accent1"/>
          <w:sz w:val="24"/>
          <w:szCs w:val="24"/>
        </w:rPr>
        <w:t>cio</w:t>
      </w:r>
      <w:r w:rsidRPr="00B66156">
        <w:rPr>
          <w:rFonts w:ascii="Arial" w:eastAsia="Arial" w:hAnsi="Arial" w:cs="Arial"/>
          <w:color w:val="5B9BD5" w:themeColor="accent1"/>
          <w:spacing w:val="1"/>
          <w:sz w:val="24"/>
          <w:szCs w:val="24"/>
        </w:rPr>
        <w:t>ne</w:t>
      </w:r>
      <w:r w:rsidRPr="00B66156">
        <w:rPr>
          <w:rFonts w:ascii="Arial" w:eastAsia="Arial" w:hAnsi="Arial" w:cs="Arial"/>
          <w:color w:val="5B9BD5" w:themeColor="accent1"/>
          <w:spacing w:val="2"/>
          <w:sz w:val="24"/>
          <w:szCs w:val="24"/>
        </w:rPr>
        <w:t>s</w:t>
      </w:r>
      <w:r w:rsidRPr="00B66156">
        <w:rPr>
          <w:rFonts w:ascii="Arial" w:eastAsia="Arial" w:hAnsi="Arial" w:cs="Arial"/>
          <w:color w:val="5B9BD5" w:themeColor="accent1"/>
          <w:sz w:val="24"/>
          <w:szCs w:val="24"/>
        </w:rPr>
        <w:t>,</w:t>
      </w:r>
      <w:r w:rsidRPr="00B66156">
        <w:rPr>
          <w:rFonts w:ascii="Arial" w:eastAsia="Arial" w:hAnsi="Arial" w:cs="Arial"/>
          <w:color w:val="5B9BD5" w:themeColor="accent1"/>
          <w:spacing w:val="3"/>
          <w:sz w:val="24"/>
          <w:szCs w:val="24"/>
        </w:rPr>
        <w:t xml:space="preserve"> y que a su vez, no se encuentran </w:t>
      </w:r>
      <w:r w:rsidRPr="00B66156">
        <w:rPr>
          <w:rFonts w:ascii="Arial" w:eastAsia="Arial" w:hAnsi="Arial" w:cs="Arial"/>
          <w:color w:val="5B9BD5" w:themeColor="accent1"/>
          <w:sz w:val="24"/>
          <w:szCs w:val="24"/>
        </w:rPr>
        <w:t>i</w:t>
      </w:r>
      <w:r w:rsidRPr="00B66156">
        <w:rPr>
          <w:rFonts w:ascii="Arial" w:eastAsia="Arial" w:hAnsi="Arial" w:cs="Arial"/>
          <w:color w:val="5B9BD5" w:themeColor="accent1"/>
          <w:spacing w:val="1"/>
          <w:sz w:val="24"/>
          <w:szCs w:val="24"/>
        </w:rPr>
        <w:t>nd</w:t>
      </w:r>
      <w:r w:rsidRPr="00B66156">
        <w:rPr>
          <w:rFonts w:ascii="Arial" w:eastAsia="Arial" w:hAnsi="Arial" w:cs="Arial"/>
          <w:color w:val="5B9BD5" w:themeColor="accent1"/>
          <w:spacing w:val="-1"/>
          <w:sz w:val="24"/>
          <w:szCs w:val="24"/>
        </w:rPr>
        <w:t>i</w:t>
      </w:r>
      <w:r w:rsidRPr="00B66156">
        <w:rPr>
          <w:rFonts w:ascii="Arial" w:eastAsia="Arial" w:hAnsi="Arial" w:cs="Arial"/>
          <w:color w:val="5B9BD5" w:themeColor="accent1"/>
          <w:spacing w:val="-5"/>
          <w:sz w:val="24"/>
          <w:szCs w:val="24"/>
        </w:rPr>
        <w:t>v</w:t>
      </w:r>
      <w:r w:rsidRPr="00B66156">
        <w:rPr>
          <w:rFonts w:ascii="Arial" w:eastAsia="Arial" w:hAnsi="Arial" w:cs="Arial"/>
          <w:color w:val="5B9BD5" w:themeColor="accent1"/>
          <w:sz w:val="24"/>
          <w:szCs w:val="24"/>
        </w:rPr>
        <w:t>i</w:t>
      </w:r>
      <w:r w:rsidRPr="00B66156">
        <w:rPr>
          <w:rFonts w:ascii="Arial" w:eastAsia="Arial" w:hAnsi="Arial" w:cs="Arial"/>
          <w:color w:val="5B9BD5" w:themeColor="accent1"/>
          <w:spacing w:val="1"/>
          <w:sz w:val="24"/>
          <w:szCs w:val="24"/>
        </w:rPr>
        <w:t>d</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pacing w:val="-1"/>
          <w:sz w:val="24"/>
          <w:szCs w:val="24"/>
        </w:rPr>
        <w:t>li</w:t>
      </w:r>
      <w:r w:rsidRPr="00B66156">
        <w:rPr>
          <w:rFonts w:ascii="Arial" w:eastAsia="Arial" w:hAnsi="Arial" w:cs="Arial"/>
          <w:color w:val="5B9BD5" w:themeColor="accent1"/>
          <w:spacing w:val="-5"/>
          <w:sz w:val="24"/>
          <w:szCs w:val="24"/>
        </w:rPr>
        <w:t>z</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pacing w:val="3"/>
          <w:sz w:val="24"/>
          <w:szCs w:val="24"/>
        </w:rPr>
        <w:t>d</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20"/>
          <w:sz w:val="24"/>
          <w:szCs w:val="24"/>
        </w:rPr>
        <w:t xml:space="preserve"> </w:t>
      </w:r>
      <w:r w:rsidRPr="00B66156">
        <w:rPr>
          <w:rFonts w:ascii="Arial" w:eastAsia="Arial" w:hAnsi="Arial" w:cs="Arial"/>
          <w:color w:val="5B9BD5" w:themeColor="accent1"/>
          <w:sz w:val="24"/>
          <w:szCs w:val="24"/>
        </w:rPr>
        <w:t>o</w:t>
      </w:r>
      <w:r w:rsidRPr="00B66156">
        <w:rPr>
          <w:rFonts w:ascii="Arial" w:eastAsia="Arial" w:hAnsi="Arial" w:cs="Arial"/>
          <w:color w:val="5B9BD5" w:themeColor="accent1"/>
          <w:spacing w:val="19"/>
          <w:sz w:val="24"/>
          <w:szCs w:val="24"/>
        </w:rPr>
        <w:t xml:space="preserve"> </w:t>
      </w:r>
      <w:r w:rsidRPr="00B66156">
        <w:rPr>
          <w:rFonts w:ascii="Arial" w:eastAsia="Arial" w:hAnsi="Arial" w:cs="Arial"/>
          <w:color w:val="5B9BD5" w:themeColor="accent1"/>
          <w:spacing w:val="1"/>
          <w:sz w:val="24"/>
          <w:szCs w:val="24"/>
        </w:rPr>
        <w:t>pe</w:t>
      </w:r>
      <w:r w:rsidRPr="00B66156">
        <w:rPr>
          <w:rFonts w:ascii="Arial" w:eastAsia="Arial" w:hAnsi="Arial" w:cs="Arial"/>
          <w:color w:val="5B9BD5" w:themeColor="accent1"/>
          <w:sz w:val="24"/>
          <w:szCs w:val="24"/>
        </w:rPr>
        <w:t>rso</w:t>
      </w:r>
      <w:r w:rsidRPr="00B66156">
        <w:rPr>
          <w:rFonts w:ascii="Arial" w:eastAsia="Arial" w:hAnsi="Arial" w:cs="Arial"/>
          <w:color w:val="5B9BD5" w:themeColor="accent1"/>
          <w:spacing w:val="1"/>
          <w:sz w:val="24"/>
          <w:szCs w:val="24"/>
        </w:rPr>
        <w:t>na</w:t>
      </w:r>
      <w:r w:rsidRPr="00B66156">
        <w:rPr>
          <w:rFonts w:ascii="Arial" w:eastAsia="Arial" w:hAnsi="Arial" w:cs="Arial"/>
          <w:color w:val="5B9BD5" w:themeColor="accent1"/>
          <w:spacing w:val="-1"/>
          <w:sz w:val="24"/>
          <w:szCs w:val="24"/>
        </w:rPr>
        <w:t>li</w:t>
      </w:r>
      <w:r w:rsidRPr="00B66156">
        <w:rPr>
          <w:rFonts w:ascii="Arial" w:eastAsia="Arial" w:hAnsi="Arial" w:cs="Arial"/>
          <w:color w:val="5B9BD5" w:themeColor="accent1"/>
          <w:spacing w:val="-5"/>
          <w:sz w:val="24"/>
          <w:szCs w:val="24"/>
        </w:rPr>
        <w:t>z</w:t>
      </w:r>
      <w:r w:rsidRPr="00B66156">
        <w:rPr>
          <w:rFonts w:ascii="Arial" w:eastAsia="Arial" w:hAnsi="Arial" w:cs="Arial"/>
          <w:color w:val="5B9BD5" w:themeColor="accent1"/>
          <w:spacing w:val="3"/>
          <w:sz w:val="24"/>
          <w:szCs w:val="24"/>
        </w:rPr>
        <w:t>ad</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8"/>
          <w:sz w:val="24"/>
          <w:szCs w:val="24"/>
        </w:rPr>
        <w:t xml:space="preserve"> </w:t>
      </w:r>
      <w:r w:rsidRPr="00B66156">
        <w:rPr>
          <w:rFonts w:ascii="Arial" w:eastAsia="Arial" w:hAnsi="Arial" w:cs="Arial"/>
          <w:color w:val="5B9BD5" w:themeColor="accent1"/>
          <w:sz w:val="24"/>
          <w:szCs w:val="24"/>
        </w:rPr>
        <w:t>a</w:t>
      </w:r>
      <w:r w:rsidRPr="00B66156">
        <w:rPr>
          <w:rFonts w:ascii="Arial" w:eastAsia="Arial" w:hAnsi="Arial" w:cs="Arial"/>
          <w:color w:val="5B9BD5" w:themeColor="accent1"/>
          <w:spacing w:val="23"/>
          <w:sz w:val="24"/>
          <w:szCs w:val="24"/>
        </w:rPr>
        <w:t xml:space="preserve"> </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pacing w:val="-2"/>
          <w:sz w:val="24"/>
          <w:szCs w:val="24"/>
        </w:rPr>
        <w:t>s</w:t>
      </w:r>
      <w:r w:rsidRPr="00B66156">
        <w:rPr>
          <w:rFonts w:ascii="Arial" w:eastAsia="Arial" w:hAnsi="Arial" w:cs="Arial"/>
          <w:color w:val="5B9BD5" w:themeColor="accent1"/>
          <w:spacing w:val="1"/>
          <w:sz w:val="24"/>
          <w:szCs w:val="24"/>
        </w:rPr>
        <w:t>o</w:t>
      </w:r>
      <w:r w:rsidRPr="00B66156">
        <w:rPr>
          <w:rFonts w:ascii="Arial" w:eastAsia="Arial" w:hAnsi="Arial" w:cs="Arial"/>
          <w:color w:val="5B9BD5" w:themeColor="accent1"/>
          <w:sz w:val="24"/>
          <w:szCs w:val="24"/>
        </w:rPr>
        <w:t>s o</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z w:val="24"/>
          <w:szCs w:val="24"/>
        </w:rPr>
        <w:t>sit</w:t>
      </w:r>
      <w:r w:rsidRPr="00B66156">
        <w:rPr>
          <w:rFonts w:ascii="Arial" w:eastAsia="Arial" w:hAnsi="Arial" w:cs="Arial"/>
          <w:color w:val="5B9BD5" w:themeColor="accent1"/>
          <w:spacing w:val="1"/>
          <w:sz w:val="24"/>
          <w:szCs w:val="24"/>
        </w:rPr>
        <w:t>ua</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3"/>
          <w:sz w:val="24"/>
          <w:szCs w:val="24"/>
        </w:rPr>
        <w:t>i</w:t>
      </w:r>
      <w:r w:rsidRPr="00B66156">
        <w:rPr>
          <w:rFonts w:ascii="Arial" w:eastAsia="Arial" w:hAnsi="Arial" w:cs="Arial"/>
          <w:color w:val="5B9BD5" w:themeColor="accent1"/>
          <w:spacing w:val="1"/>
          <w:sz w:val="24"/>
          <w:szCs w:val="24"/>
        </w:rPr>
        <w:t>one</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2"/>
          <w:sz w:val="24"/>
          <w:szCs w:val="24"/>
        </w:rPr>
        <w:t>e</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pe</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4"/>
          <w:sz w:val="24"/>
          <w:szCs w:val="24"/>
        </w:rPr>
        <w:t>í</w:t>
      </w:r>
      <w:r w:rsidRPr="00B66156">
        <w:rPr>
          <w:rFonts w:ascii="Arial" w:eastAsia="Arial" w:hAnsi="Arial" w:cs="Arial"/>
          <w:color w:val="5B9BD5" w:themeColor="accent1"/>
          <w:spacing w:val="5"/>
          <w:sz w:val="24"/>
          <w:szCs w:val="24"/>
        </w:rPr>
        <w:t>f</w:t>
      </w:r>
      <w:r w:rsidRPr="00B66156">
        <w:rPr>
          <w:rFonts w:ascii="Arial" w:eastAsia="Arial" w:hAnsi="Arial" w:cs="Arial"/>
          <w:color w:val="5B9BD5" w:themeColor="accent1"/>
          <w:spacing w:val="-1"/>
          <w:sz w:val="24"/>
          <w:szCs w:val="24"/>
        </w:rPr>
        <w:t>i</w:t>
      </w:r>
      <w:r w:rsidRPr="00B66156">
        <w:rPr>
          <w:rFonts w:ascii="Arial" w:eastAsia="Arial" w:hAnsi="Arial" w:cs="Arial"/>
          <w:color w:val="5B9BD5" w:themeColor="accent1"/>
          <w:spacing w:val="-5"/>
          <w:sz w:val="24"/>
          <w:szCs w:val="24"/>
        </w:rPr>
        <w:t>c</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 xml:space="preserve"> </w:t>
      </w:r>
      <w:r w:rsidRPr="00B66156">
        <w:rPr>
          <w:rFonts w:ascii="Arial" w:eastAsia="Arial" w:hAnsi="Arial" w:cs="Arial"/>
          <w:color w:val="5B9BD5" w:themeColor="accent1"/>
          <w:spacing w:val="-1"/>
          <w:sz w:val="24"/>
          <w:szCs w:val="24"/>
        </w:rPr>
        <w:t>q</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e</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pud</w:t>
      </w:r>
      <w:r w:rsidRPr="00B66156">
        <w:rPr>
          <w:rFonts w:ascii="Arial" w:eastAsia="Arial" w:hAnsi="Arial" w:cs="Arial"/>
          <w:color w:val="5B9BD5" w:themeColor="accent1"/>
          <w:sz w:val="24"/>
          <w:szCs w:val="24"/>
        </w:rPr>
        <w:t>ier</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n</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z w:val="24"/>
          <w:szCs w:val="24"/>
        </w:rPr>
        <w:t>ll</w:t>
      </w:r>
      <w:r w:rsidRPr="00B66156">
        <w:rPr>
          <w:rFonts w:ascii="Arial" w:eastAsia="Arial" w:hAnsi="Arial" w:cs="Arial"/>
          <w:color w:val="5B9BD5" w:themeColor="accent1"/>
          <w:spacing w:val="1"/>
          <w:sz w:val="24"/>
          <w:szCs w:val="24"/>
        </w:rPr>
        <w:t>e</w:t>
      </w:r>
      <w:r w:rsidRPr="00B66156">
        <w:rPr>
          <w:rFonts w:ascii="Arial" w:eastAsia="Arial" w:hAnsi="Arial" w:cs="Arial"/>
          <w:color w:val="5B9BD5" w:themeColor="accent1"/>
          <w:spacing w:val="-1"/>
          <w:sz w:val="24"/>
          <w:szCs w:val="24"/>
        </w:rPr>
        <w:t>g</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r</w:t>
      </w:r>
      <w:r w:rsidRPr="00B66156">
        <w:rPr>
          <w:rFonts w:ascii="Arial" w:eastAsia="Arial" w:hAnsi="Arial" w:cs="Arial"/>
          <w:color w:val="5B9BD5" w:themeColor="accent1"/>
          <w:spacing w:val="-5"/>
          <w:sz w:val="24"/>
          <w:szCs w:val="24"/>
        </w:rPr>
        <w:t xml:space="preserve"> </w:t>
      </w:r>
      <w:r w:rsidRPr="00B66156">
        <w:rPr>
          <w:rFonts w:ascii="Arial" w:eastAsia="Arial" w:hAnsi="Arial" w:cs="Arial"/>
          <w:color w:val="5B9BD5" w:themeColor="accent1"/>
          <w:sz w:val="24"/>
          <w:szCs w:val="24"/>
        </w:rPr>
        <w:t>a</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pacing w:val="-1"/>
          <w:sz w:val="24"/>
          <w:szCs w:val="24"/>
        </w:rPr>
        <w:t>j</w:t>
      </w:r>
      <w:r w:rsidRPr="00B66156">
        <w:rPr>
          <w:rFonts w:ascii="Arial" w:eastAsia="Arial" w:hAnsi="Arial" w:cs="Arial"/>
          <w:color w:val="5B9BD5" w:themeColor="accent1"/>
          <w:spacing w:val="1"/>
          <w:sz w:val="24"/>
          <w:szCs w:val="24"/>
        </w:rPr>
        <w:t>u</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1"/>
          <w:sz w:val="24"/>
          <w:szCs w:val="24"/>
        </w:rPr>
        <w:t>t</w:t>
      </w:r>
      <w:r w:rsidRPr="00B66156">
        <w:rPr>
          <w:rFonts w:ascii="Arial" w:eastAsia="Arial" w:hAnsi="Arial" w:cs="Arial"/>
          <w:color w:val="5B9BD5" w:themeColor="accent1"/>
          <w:spacing w:val="-3"/>
          <w:sz w:val="24"/>
          <w:szCs w:val="24"/>
        </w:rPr>
        <w:t>i</w:t>
      </w:r>
      <w:r w:rsidRPr="00B66156">
        <w:rPr>
          <w:rFonts w:ascii="Arial" w:eastAsia="Arial" w:hAnsi="Arial" w:cs="Arial"/>
          <w:color w:val="5B9BD5" w:themeColor="accent1"/>
          <w:spacing w:val="5"/>
          <w:sz w:val="24"/>
          <w:szCs w:val="24"/>
        </w:rPr>
        <w:t>f</w:t>
      </w:r>
      <w:r w:rsidRPr="00B66156">
        <w:rPr>
          <w:rFonts w:ascii="Arial" w:eastAsia="Arial" w:hAnsi="Arial" w:cs="Arial"/>
          <w:color w:val="5B9BD5" w:themeColor="accent1"/>
          <w:spacing w:val="4"/>
          <w:sz w:val="24"/>
          <w:szCs w:val="24"/>
        </w:rPr>
        <w:t>i</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r su</w:t>
      </w:r>
      <w:r w:rsidRPr="00B66156">
        <w:rPr>
          <w:rFonts w:ascii="Arial" w:eastAsia="Arial" w:hAnsi="Arial" w:cs="Arial"/>
          <w:color w:val="5B9BD5" w:themeColor="accent1"/>
          <w:spacing w:val="2"/>
          <w:sz w:val="24"/>
          <w:szCs w:val="24"/>
        </w:rPr>
        <w:t xml:space="preserve"> </w:t>
      </w:r>
      <w:r w:rsidRPr="00B66156">
        <w:rPr>
          <w:rFonts w:ascii="Arial" w:eastAsia="Arial" w:hAnsi="Arial" w:cs="Arial"/>
          <w:color w:val="5B9BD5" w:themeColor="accent1"/>
          <w:sz w:val="24"/>
          <w:szCs w:val="24"/>
        </w:rPr>
        <w:t>c</w:t>
      </w:r>
      <w:r w:rsidRPr="00B66156">
        <w:rPr>
          <w:rFonts w:ascii="Arial" w:eastAsia="Arial" w:hAnsi="Arial" w:cs="Arial"/>
          <w:color w:val="5B9BD5" w:themeColor="accent1"/>
          <w:spacing w:val="-1"/>
          <w:sz w:val="24"/>
          <w:szCs w:val="24"/>
        </w:rPr>
        <w:t>l</w:t>
      </w:r>
      <w:r w:rsidRPr="00B66156">
        <w:rPr>
          <w:rFonts w:ascii="Arial" w:eastAsia="Arial" w:hAnsi="Arial" w:cs="Arial"/>
          <w:color w:val="5B9BD5" w:themeColor="accent1"/>
          <w:spacing w:val="1"/>
          <w:sz w:val="24"/>
          <w:szCs w:val="24"/>
        </w:rPr>
        <w:t>a</w:t>
      </w:r>
      <w:r w:rsidRPr="00B66156">
        <w:rPr>
          <w:rFonts w:ascii="Arial" w:eastAsia="Arial" w:hAnsi="Arial" w:cs="Arial"/>
          <w:color w:val="5B9BD5" w:themeColor="accent1"/>
          <w:sz w:val="24"/>
          <w:szCs w:val="24"/>
        </w:rPr>
        <w:t>s</w:t>
      </w:r>
      <w:r w:rsidRPr="00B66156">
        <w:rPr>
          <w:rFonts w:ascii="Arial" w:eastAsia="Arial" w:hAnsi="Arial" w:cs="Arial"/>
          <w:color w:val="5B9BD5" w:themeColor="accent1"/>
          <w:spacing w:val="-5"/>
          <w:sz w:val="24"/>
          <w:szCs w:val="24"/>
        </w:rPr>
        <w:t>i</w:t>
      </w:r>
      <w:r w:rsidRPr="00B66156">
        <w:rPr>
          <w:rFonts w:ascii="Arial" w:eastAsia="Arial" w:hAnsi="Arial" w:cs="Arial"/>
          <w:color w:val="5B9BD5" w:themeColor="accent1"/>
          <w:spacing w:val="5"/>
          <w:sz w:val="24"/>
          <w:szCs w:val="24"/>
        </w:rPr>
        <w:t>f</w:t>
      </w:r>
      <w:r w:rsidRPr="00B66156">
        <w:rPr>
          <w:rFonts w:ascii="Arial" w:eastAsia="Arial" w:hAnsi="Arial" w:cs="Arial"/>
          <w:color w:val="5B9BD5" w:themeColor="accent1"/>
          <w:sz w:val="24"/>
          <w:szCs w:val="24"/>
        </w:rPr>
        <w:t>ica</w:t>
      </w:r>
      <w:r w:rsidRPr="00B66156">
        <w:rPr>
          <w:rFonts w:ascii="Arial" w:eastAsia="Arial" w:hAnsi="Arial" w:cs="Arial"/>
          <w:color w:val="5B9BD5" w:themeColor="accent1"/>
          <w:spacing w:val="-5"/>
          <w:sz w:val="24"/>
          <w:szCs w:val="24"/>
        </w:rPr>
        <w:t>c</w:t>
      </w:r>
      <w:r w:rsidRPr="00B66156">
        <w:rPr>
          <w:rFonts w:ascii="Arial" w:eastAsia="Arial" w:hAnsi="Arial" w:cs="Arial"/>
          <w:color w:val="5B9BD5" w:themeColor="accent1"/>
          <w:sz w:val="24"/>
          <w:szCs w:val="24"/>
        </w:rPr>
        <w:t>i</w:t>
      </w:r>
      <w:r w:rsidRPr="00B66156">
        <w:rPr>
          <w:rFonts w:ascii="Arial" w:eastAsia="Arial" w:hAnsi="Arial" w:cs="Arial"/>
          <w:color w:val="5B9BD5" w:themeColor="accent1"/>
          <w:spacing w:val="1"/>
          <w:sz w:val="24"/>
          <w:szCs w:val="24"/>
        </w:rPr>
        <w:t>ó</w:t>
      </w:r>
      <w:r w:rsidRPr="00B66156">
        <w:rPr>
          <w:rFonts w:ascii="Arial" w:eastAsia="Arial" w:hAnsi="Arial" w:cs="Arial"/>
          <w:color w:val="5B9BD5" w:themeColor="accent1"/>
          <w:spacing w:val="3"/>
          <w:sz w:val="24"/>
          <w:szCs w:val="24"/>
        </w:rPr>
        <w:t>n</w:t>
      </w:r>
      <w:r w:rsidRPr="00B66156">
        <w:rPr>
          <w:rFonts w:ascii="Arial" w:eastAsia="Arial" w:hAnsi="Arial" w:cs="Arial"/>
          <w:color w:val="5B9BD5" w:themeColor="accent1"/>
          <w:sz w:val="24"/>
          <w:szCs w:val="24"/>
        </w:rPr>
        <w:t>.</w:t>
      </w:r>
    </w:p>
    <w:p w:rsidR="00E03D8B" w:rsidRPr="00B66156" w:rsidRDefault="00E03D8B" w:rsidP="00E03D8B">
      <w:pPr>
        <w:pStyle w:val="corte4fondo"/>
        <w:ind w:right="49" w:firstLine="0"/>
        <w:rPr>
          <w:rFonts w:cs="Arial"/>
          <w:color w:val="5B9BD5" w:themeColor="accent1"/>
          <w:sz w:val="24"/>
          <w:szCs w:val="24"/>
        </w:rPr>
      </w:pPr>
    </w:p>
    <w:p w:rsidR="00E03D8B" w:rsidRPr="00B66156" w:rsidRDefault="00E03D8B" w:rsidP="00E03D8B">
      <w:pPr>
        <w:autoSpaceDE w:val="0"/>
        <w:autoSpaceDN w:val="0"/>
        <w:adjustRightInd w:val="0"/>
        <w:ind w:firstLine="708"/>
        <w:jc w:val="both"/>
        <w:rPr>
          <w:rFonts w:ascii="Arial" w:eastAsiaTheme="minorHAnsi" w:hAnsi="Arial" w:cs="Arial"/>
          <w:color w:val="5B9BD5" w:themeColor="accent1"/>
          <w:sz w:val="24"/>
        </w:rPr>
      </w:pPr>
      <w:r w:rsidRPr="00B66156">
        <w:rPr>
          <w:rFonts w:ascii="Arial" w:hAnsi="Arial" w:cs="Arial"/>
          <w:color w:val="5B9BD5" w:themeColor="accent1"/>
          <w:sz w:val="24"/>
        </w:rPr>
        <w:t xml:space="preserve">Por otra parte, en cuanto al cuestionamiento referente a ¿cuál fue el motivo del término de </w:t>
      </w:r>
      <w:r>
        <w:rPr>
          <w:rFonts w:ascii="Arial" w:hAnsi="Arial" w:cs="Arial"/>
          <w:color w:val="5B9BD5" w:themeColor="accent1"/>
          <w:sz w:val="24"/>
        </w:rPr>
        <w:t xml:space="preserve">la </w:t>
      </w:r>
      <w:r w:rsidRPr="00B66156">
        <w:rPr>
          <w:rFonts w:ascii="Arial" w:hAnsi="Arial" w:cs="Arial"/>
          <w:color w:val="5B9BD5" w:themeColor="accent1"/>
          <w:sz w:val="24"/>
        </w:rPr>
        <w:t xml:space="preserve">relación laboral?, esta Comisión estima que al momento de emitir el presente fallo, no se cuenta con los elementos suficientes para estar en aptitud de determinar el </w:t>
      </w:r>
      <w:r w:rsidRPr="00B66156">
        <w:rPr>
          <w:rFonts w:ascii="Arial" w:eastAsiaTheme="minorHAnsi" w:hAnsi="Arial" w:cs="Arial"/>
          <w:color w:val="5B9BD5" w:themeColor="accent1"/>
          <w:sz w:val="24"/>
        </w:rPr>
        <w:t xml:space="preserve">análisis sobre la naturaleza pública, reservada o confidencial de la información que obre en las constancias las causales de la terminación laboral del funcionario aludido en su solicitud de información, por lo que con fundamento en los artículos 52 fracción I, 117, 118 y 119 de la ley de la materia el </w:t>
      </w:r>
      <w:r w:rsidRPr="00B66156">
        <w:rPr>
          <w:rFonts w:ascii="Arial" w:eastAsiaTheme="minorHAnsi" w:hAnsi="Arial" w:cs="Arial"/>
          <w:color w:val="5B9BD5" w:themeColor="accent1"/>
          <w:sz w:val="24"/>
        </w:rPr>
        <w:lastRenderedPageBreak/>
        <w:t xml:space="preserve">Ayuntamiento de San Luis Potosí, por actualizarse alguno de los supuestos de clasificación, el Comité de Transparencia deberá señalar las razones y motivos o circunstancias especiales que llevaron al Sujeto Obligado a concluir si es procedente o no, la actualización del supuesto previsto en la Ley de la materia y aplicar la prueba de daño bajo la justificación de que la información representa un riesgo real, demostrable e identificable de perjuicio significativo al interés público y que dicho riesgo de perjuicio que supondría la divulgación supera el interés público general de que se difunda, así como la limitación se adecua al principio de proporcionalidad y representa el medio menos restrictivo disponible para evitar el perjuicio. </w:t>
      </w:r>
    </w:p>
    <w:p w:rsidR="00E03D8B" w:rsidRPr="00B66156" w:rsidRDefault="00E03D8B" w:rsidP="00E03D8B">
      <w:pPr>
        <w:autoSpaceDE w:val="0"/>
        <w:autoSpaceDN w:val="0"/>
        <w:adjustRightInd w:val="0"/>
        <w:ind w:firstLine="708"/>
        <w:jc w:val="both"/>
        <w:rPr>
          <w:rFonts w:ascii="Arial" w:eastAsiaTheme="minorHAnsi" w:hAnsi="Arial" w:cs="Arial"/>
          <w:color w:val="5B9BD5" w:themeColor="accent1"/>
          <w:sz w:val="24"/>
        </w:rPr>
      </w:pPr>
    </w:p>
    <w:p w:rsidR="00E03D8B" w:rsidRPr="00B66156" w:rsidRDefault="007076CE" w:rsidP="00E03D8B">
      <w:pPr>
        <w:pStyle w:val="corte4fondo"/>
        <w:tabs>
          <w:tab w:val="left" w:pos="567"/>
        </w:tabs>
        <w:spacing w:line="276" w:lineRule="auto"/>
        <w:ind w:firstLine="0"/>
        <w:rPr>
          <w:rFonts w:cs="Arial"/>
          <w:color w:val="5B9BD5" w:themeColor="accent1"/>
          <w:sz w:val="24"/>
          <w:szCs w:val="24"/>
        </w:rPr>
      </w:pPr>
      <w:r>
        <w:rPr>
          <w:rFonts w:cs="Arial"/>
          <w:b/>
          <w:color w:val="5B9BD5" w:themeColor="accent1"/>
          <w:sz w:val="24"/>
          <w:szCs w:val="24"/>
        </w:rPr>
        <w:t>6</w:t>
      </w:r>
      <w:r w:rsidR="00E03D8B" w:rsidRPr="00B66156">
        <w:rPr>
          <w:rFonts w:cs="Arial"/>
          <w:b/>
          <w:color w:val="5B9BD5" w:themeColor="accent1"/>
          <w:sz w:val="24"/>
          <w:szCs w:val="24"/>
        </w:rPr>
        <w:t>.3 Modalidad de entrega</w:t>
      </w:r>
      <w:r w:rsidR="00E03D8B" w:rsidRPr="00B66156">
        <w:rPr>
          <w:rFonts w:cs="Arial"/>
          <w:color w:val="5B9BD5" w:themeColor="accent1"/>
          <w:sz w:val="24"/>
          <w:szCs w:val="24"/>
        </w:rPr>
        <w:t>.</w:t>
      </w:r>
    </w:p>
    <w:p w:rsidR="00E03D8B" w:rsidRPr="00B66156" w:rsidRDefault="00E03D8B" w:rsidP="00E03D8B">
      <w:pPr>
        <w:pStyle w:val="corte4fondo"/>
        <w:spacing w:line="276" w:lineRule="auto"/>
        <w:ind w:firstLine="0"/>
        <w:rPr>
          <w:rFonts w:cs="Arial"/>
          <w:color w:val="5B9BD5" w:themeColor="accent1"/>
          <w:sz w:val="24"/>
          <w:szCs w:val="24"/>
        </w:rPr>
      </w:pPr>
    </w:p>
    <w:p w:rsidR="00E03D8B" w:rsidRPr="00B66156" w:rsidRDefault="00E03D8B" w:rsidP="00E03D8B">
      <w:pPr>
        <w:pStyle w:val="Prrafodelista"/>
        <w:ind w:left="0"/>
        <w:jc w:val="both"/>
        <w:rPr>
          <w:rFonts w:ascii="Arial" w:hAnsi="Arial" w:cs="Arial"/>
          <w:color w:val="5B9BD5" w:themeColor="accent1"/>
          <w:sz w:val="24"/>
          <w:szCs w:val="24"/>
        </w:rPr>
      </w:pPr>
      <w:r w:rsidRPr="00B66156">
        <w:rPr>
          <w:rFonts w:ascii="Arial" w:hAnsi="Arial" w:cs="Arial"/>
          <w:color w:val="5B9BD5" w:themeColor="accent1"/>
          <w:sz w:val="24"/>
          <w:szCs w:val="24"/>
        </w:rPr>
        <w:tab/>
        <w:t>Sobre este tópico los artículos 17, 146, fracción V, primer párrafo y 155, de la Ley de Transparencia establecen que:</w:t>
      </w:r>
    </w:p>
    <w:p w:rsidR="00E03D8B" w:rsidRPr="00B66156" w:rsidRDefault="00E03D8B" w:rsidP="00E03D8B">
      <w:pPr>
        <w:pStyle w:val="Prrafodelista"/>
        <w:ind w:left="0"/>
        <w:jc w:val="both"/>
        <w:rPr>
          <w:rFonts w:ascii="Arial" w:hAnsi="Arial" w:cs="Arial"/>
          <w:color w:val="5B9BD5" w:themeColor="accent1"/>
          <w:sz w:val="24"/>
          <w:szCs w:val="24"/>
        </w:rPr>
      </w:pPr>
    </w:p>
    <w:p w:rsidR="00E03D8B" w:rsidRPr="00B66156" w:rsidRDefault="00E03D8B" w:rsidP="00E03D8B">
      <w:pPr>
        <w:pStyle w:val="corte4fondo"/>
        <w:tabs>
          <w:tab w:val="left" w:pos="567"/>
        </w:tabs>
        <w:spacing w:line="276" w:lineRule="auto"/>
        <w:ind w:left="567" w:firstLine="0"/>
        <w:rPr>
          <w:rFonts w:cs="Arial"/>
          <w:i/>
          <w:color w:val="5B9BD5" w:themeColor="accent1"/>
          <w:sz w:val="20"/>
          <w:szCs w:val="24"/>
        </w:rPr>
      </w:pPr>
      <w:r w:rsidRPr="00B66156">
        <w:rPr>
          <w:rFonts w:cs="Arial"/>
          <w:b/>
          <w:bCs/>
          <w:i/>
          <w:color w:val="5B9BD5" w:themeColor="accent1"/>
          <w:sz w:val="20"/>
          <w:szCs w:val="24"/>
        </w:rPr>
        <w:t xml:space="preserve">ARTÍCULO 17. </w:t>
      </w:r>
      <w:r w:rsidRPr="00B66156">
        <w:rPr>
          <w:rFonts w:cs="Arial"/>
          <w:i/>
          <w:color w:val="5B9BD5" w:themeColor="accent1"/>
          <w:sz w:val="20"/>
          <w:szCs w:val="24"/>
        </w:rPr>
        <w:t xml:space="preserve">El ejercicio del derecho de acceso a la información es gratuito y sólo podrá requerirse el cobro correspondiente a la modalidad de reproducción y entrega solicitada. </w:t>
      </w:r>
    </w:p>
    <w:p w:rsidR="00E03D8B" w:rsidRPr="00B66156" w:rsidRDefault="00E03D8B" w:rsidP="00E03D8B">
      <w:pPr>
        <w:pStyle w:val="corte4fondo"/>
        <w:tabs>
          <w:tab w:val="left" w:pos="567"/>
        </w:tabs>
        <w:spacing w:line="276" w:lineRule="auto"/>
        <w:ind w:left="567" w:firstLine="0"/>
        <w:rPr>
          <w:rFonts w:cs="Arial"/>
          <w:i/>
          <w:color w:val="5B9BD5" w:themeColor="accent1"/>
          <w:sz w:val="20"/>
          <w:szCs w:val="24"/>
        </w:rPr>
      </w:pPr>
      <w:r w:rsidRPr="00B66156">
        <w:rPr>
          <w:rFonts w:cs="Arial"/>
          <w:i/>
          <w:color w:val="5B9BD5" w:themeColor="accent1"/>
          <w:sz w:val="20"/>
          <w:szCs w:val="24"/>
        </w:rPr>
        <w:t>En ningún caso los ajustes razonables que se realicen para el acceso de la información de solicitantes con discapacidad, será con costo a los mismos.</w:t>
      </w:r>
    </w:p>
    <w:p w:rsidR="00E03D8B" w:rsidRPr="00B66156" w:rsidRDefault="00E03D8B" w:rsidP="00E03D8B">
      <w:pPr>
        <w:pStyle w:val="corte4fondo"/>
        <w:tabs>
          <w:tab w:val="left" w:pos="567"/>
        </w:tabs>
        <w:spacing w:line="276" w:lineRule="auto"/>
        <w:ind w:left="567" w:firstLine="0"/>
        <w:rPr>
          <w:rFonts w:cs="Arial"/>
          <w:i/>
          <w:color w:val="5B9BD5" w:themeColor="accent1"/>
          <w:sz w:val="20"/>
          <w:szCs w:val="24"/>
        </w:rPr>
      </w:pPr>
    </w:p>
    <w:p w:rsidR="00E03D8B" w:rsidRPr="00B66156" w:rsidRDefault="00E03D8B" w:rsidP="00E03D8B">
      <w:pPr>
        <w:pStyle w:val="corte4fondo"/>
        <w:tabs>
          <w:tab w:val="left" w:pos="567"/>
        </w:tabs>
        <w:spacing w:line="276" w:lineRule="auto"/>
        <w:ind w:left="567" w:firstLine="0"/>
        <w:rPr>
          <w:rFonts w:cs="Arial"/>
          <w:i/>
          <w:color w:val="5B9BD5" w:themeColor="accent1"/>
          <w:sz w:val="20"/>
          <w:szCs w:val="24"/>
        </w:rPr>
      </w:pPr>
      <w:r w:rsidRPr="00B66156">
        <w:rPr>
          <w:rFonts w:cs="Arial"/>
          <w:b/>
          <w:bCs/>
          <w:i/>
          <w:color w:val="5B9BD5" w:themeColor="accent1"/>
          <w:sz w:val="20"/>
          <w:szCs w:val="24"/>
        </w:rPr>
        <w:t xml:space="preserve">ARTÍCULO 146. </w:t>
      </w:r>
      <w:r w:rsidRPr="00B66156">
        <w:rPr>
          <w:rFonts w:cs="Arial"/>
          <w:i/>
          <w:color w:val="5B9BD5" w:themeColor="accent1"/>
          <w:sz w:val="20"/>
          <w:szCs w:val="24"/>
        </w:rPr>
        <w:t xml:space="preserve">Para presentar una solicitud no se podrán exigir mayores requisitos que los siguientes: </w:t>
      </w:r>
    </w:p>
    <w:p w:rsidR="00E03D8B" w:rsidRPr="00B66156" w:rsidRDefault="00E03D8B" w:rsidP="00E03D8B">
      <w:pPr>
        <w:pStyle w:val="corte4fondo"/>
        <w:tabs>
          <w:tab w:val="left" w:pos="567"/>
        </w:tabs>
        <w:spacing w:line="276" w:lineRule="auto"/>
        <w:ind w:left="567" w:firstLine="0"/>
        <w:rPr>
          <w:rFonts w:cs="Arial"/>
          <w:i/>
          <w:color w:val="5B9BD5" w:themeColor="accent1"/>
          <w:sz w:val="20"/>
          <w:szCs w:val="24"/>
        </w:rPr>
      </w:pPr>
      <w:r w:rsidRPr="00B66156">
        <w:rPr>
          <w:rFonts w:cs="Arial"/>
          <w:bCs/>
          <w:i/>
          <w:color w:val="5B9BD5" w:themeColor="accent1"/>
          <w:sz w:val="20"/>
          <w:szCs w:val="24"/>
        </w:rPr>
        <w:t>[…]</w:t>
      </w:r>
    </w:p>
    <w:p w:rsidR="00E03D8B" w:rsidRPr="00B66156" w:rsidRDefault="00E03D8B" w:rsidP="00E03D8B">
      <w:pPr>
        <w:pStyle w:val="corte4fondo"/>
        <w:tabs>
          <w:tab w:val="left" w:pos="567"/>
        </w:tabs>
        <w:spacing w:line="276" w:lineRule="auto"/>
        <w:ind w:left="567" w:firstLine="0"/>
        <w:rPr>
          <w:rFonts w:cs="Arial"/>
          <w:i/>
          <w:color w:val="5B9BD5" w:themeColor="accent1"/>
          <w:sz w:val="20"/>
          <w:szCs w:val="24"/>
        </w:rPr>
      </w:pPr>
      <w:r w:rsidRPr="00B66156">
        <w:rPr>
          <w:rFonts w:cs="Arial"/>
          <w:b/>
          <w:bCs/>
          <w:i/>
          <w:color w:val="5B9BD5" w:themeColor="accent1"/>
          <w:sz w:val="20"/>
          <w:szCs w:val="24"/>
        </w:rPr>
        <w:t xml:space="preserve">V. </w:t>
      </w:r>
      <w:r w:rsidRPr="00B66156">
        <w:rPr>
          <w:rFonts w:cs="Arial"/>
          <w:i/>
          <w:color w:val="5B9BD5" w:themeColor="accent1"/>
          <w:sz w:val="20"/>
          <w:szCs w:val="24"/>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E03D8B" w:rsidRPr="00B66156" w:rsidRDefault="00E03D8B" w:rsidP="00E03D8B">
      <w:pPr>
        <w:pStyle w:val="corte4fondo"/>
        <w:tabs>
          <w:tab w:val="left" w:pos="567"/>
        </w:tabs>
        <w:spacing w:line="276" w:lineRule="auto"/>
        <w:ind w:left="567" w:firstLine="0"/>
        <w:jc w:val="center"/>
        <w:rPr>
          <w:rFonts w:cs="Arial"/>
          <w:i/>
          <w:color w:val="5B9BD5" w:themeColor="accent1"/>
          <w:sz w:val="24"/>
          <w:szCs w:val="24"/>
        </w:rPr>
      </w:pPr>
    </w:p>
    <w:p w:rsidR="00E03D8B" w:rsidRPr="00B66156" w:rsidRDefault="00E03D8B" w:rsidP="00E03D8B">
      <w:pPr>
        <w:pStyle w:val="corte4fondo"/>
        <w:tabs>
          <w:tab w:val="left" w:pos="567"/>
        </w:tabs>
        <w:spacing w:line="276" w:lineRule="auto"/>
        <w:ind w:left="567" w:firstLine="0"/>
        <w:rPr>
          <w:rFonts w:cs="Arial"/>
          <w:i/>
          <w:color w:val="5B9BD5" w:themeColor="accent1"/>
          <w:sz w:val="20"/>
          <w:szCs w:val="24"/>
        </w:rPr>
      </w:pPr>
      <w:r w:rsidRPr="00B66156">
        <w:rPr>
          <w:rFonts w:cs="Arial"/>
          <w:b/>
          <w:i/>
          <w:color w:val="5B9BD5" w:themeColor="accent1"/>
          <w:sz w:val="20"/>
          <w:szCs w:val="24"/>
        </w:rPr>
        <w:t>ARTÍCULO 155.</w:t>
      </w:r>
      <w:r w:rsidRPr="00B66156">
        <w:rPr>
          <w:rFonts w:cs="Arial"/>
          <w:i/>
          <w:color w:val="5B9BD5" w:themeColor="accent1"/>
          <w:sz w:val="20"/>
          <w:szCs w:val="24"/>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E03D8B" w:rsidRPr="00B66156" w:rsidRDefault="00E03D8B" w:rsidP="00E03D8B">
      <w:pPr>
        <w:pStyle w:val="corte4fondo"/>
        <w:tabs>
          <w:tab w:val="left" w:pos="567"/>
        </w:tabs>
        <w:spacing w:line="276" w:lineRule="auto"/>
        <w:ind w:left="567" w:firstLine="0"/>
        <w:rPr>
          <w:rFonts w:cs="Arial"/>
          <w:i/>
          <w:color w:val="5B9BD5" w:themeColor="accent1"/>
          <w:sz w:val="20"/>
          <w:szCs w:val="24"/>
        </w:rPr>
      </w:pPr>
      <w:r w:rsidRPr="00B66156">
        <w:rPr>
          <w:rFonts w:cs="Arial"/>
          <w:i/>
          <w:color w:val="5B9BD5" w:themeColor="accent1"/>
          <w:sz w:val="20"/>
          <w:szCs w:val="24"/>
        </w:rPr>
        <w:t>En cualquier caso, se deberá fundar y motivar la necesidad de ofrecer otras modalidades.</w:t>
      </w:r>
    </w:p>
    <w:p w:rsidR="00E03D8B" w:rsidRPr="00B66156" w:rsidRDefault="00E03D8B" w:rsidP="00E03D8B">
      <w:pPr>
        <w:pStyle w:val="corte4fondo"/>
        <w:tabs>
          <w:tab w:val="left" w:pos="567"/>
        </w:tabs>
        <w:spacing w:line="276" w:lineRule="auto"/>
        <w:ind w:left="567" w:firstLine="0"/>
        <w:rPr>
          <w:rFonts w:cs="Arial"/>
          <w:i/>
          <w:color w:val="5B9BD5" w:themeColor="accent1"/>
          <w:sz w:val="24"/>
          <w:szCs w:val="24"/>
        </w:rPr>
      </w:pPr>
    </w:p>
    <w:p w:rsidR="00E03D8B" w:rsidRPr="00B66156" w:rsidRDefault="00E03D8B" w:rsidP="00E03D8B">
      <w:pPr>
        <w:pStyle w:val="corte4fondo"/>
        <w:spacing w:line="276" w:lineRule="auto"/>
        <w:ind w:firstLine="0"/>
        <w:rPr>
          <w:rFonts w:cs="Arial"/>
          <w:color w:val="5B9BD5" w:themeColor="accent1"/>
          <w:sz w:val="24"/>
          <w:szCs w:val="24"/>
        </w:rPr>
      </w:pPr>
      <w:r w:rsidRPr="00B66156">
        <w:rPr>
          <w:rFonts w:cs="Arial"/>
          <w:color w:val="5B9BD5" w:themeColor="accent1"/>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E03D8B" w:rsidRPr="00B66156" w:rsidRDefault="00E03D8B" w:rsidP="00E03D8B">
      <w:pPr>
        <w:pStyle w:val="corte4fondo"/>
        <w:spacing w:line="276" w:lineRule="auto"/>
        <w:ind w:firstLine="0"/>
        <w:rPr>
          <w:rFonts w:cs="Arial"/>
          <w:color w:val="5B9BD5" w:themeColor="accent1"/>
          <w:sz w:val="24"/>
          <w:szCs w:val="24"/>
        </w:rPr>
      </w:pPr>
    </w:p>
    <w:p w:rsidR="00E03D8B" w:rsidRPr="00B66156" w:rsidRDefault="00E03D8B" w:rsidP="00E03D8B">
      <w:pPr>
        <w:pStyle w:val="corte4fondo"/>
        <w:spacing w:line="276" w:lineRule="auto"/>
        <w:ind w:firstLine="0"/>
        <w:rPr>
          <w:rFonts w:cs="Arial"/>
          <w:color w:val="5B9BD5" w:themeColor="accent1"/>
          <w:sz w:val="24"/>
          <w:szCs w:val="24"/>
        </w:rPr>
      </w:pPr>
      <w:r w:rsidRPr="00B66156">
        <w:rPr>
          <w:rFonts w:cs="Arial"/>
          <w:color w:val="5B9BD5" w:themeColor="accent1"/>
          <w:sz w:val="24"/>
          <w:szCs w:val="24"/>
        </w:rPr>
        <w:tab/>
        <w:t>Y que, por lo tanto, el ejercicio del derecho de acceso a la información es gratuito y sólo podrá requerirse el cobro correspondiente a la modalidad de reproducción y entrega solicitada.</w:t>
      </w:r>
    </w:p>
    <w:p w:rsidR="00E03D8B" w:rsidRPr="00B66156" w:rsidRDefault="00E03D8B" w:rsidP="00E03D8B">
      <w:pPr>
        <w:pStyle w:val="corte4fondo"/>
        <w:spacing w:line="276" w:lineRule="auto"/>
        <w:ind w:firstLine="0"/>
        <w:rPr>
          <w:rFonts w:cs="Arial"/>
          <w:color w:val="5B9BD5" w:themeColor="accent1"/>
          <w:sz w:val="24"/>
          <w:szCs w:val="24"/>
        </w:rPr>
      </w:pPr>
      <w:r w:rsidRPr="00B66156">
        <w:rPr>
          <w:rFonts w:cs="Arial"/>
          <w:color w:val="5B9BD5" w:themeColor="accent1"/>
          <w:sz w:val="24"/>
          <w:szCs w:val="24"/>
        </w:rPr>
        <w:t xml:space="preserve"> </w:t>
      </w:r>
    </w:p>
    <w:p w:rsidR="00E03D8B" w:rsidRPr="00B66156" w:rsidRDefault="00E03D8B" w:rsidP="00E03D8B">
      <w:pPr>
        <w:pStyle w:val="corte4fondo"/>
        <w:tabs>
          <w:tab w:val="left" w:pos="0"/>
        </w:tabs>
        <w:spacing w:line="276" w:lineRule="auto"/>
        <w:ind w:firstLine="0"/>
        <w:rPr>
          <w:rFonts w:cs="Arial"/>
          <w:color w:val="5B9BD5" w:themeColor="accent1"/>
          <w:sz w:val="24"/>
          <w:szCs w:val="24"/>
        </w:rPr>
      </w:pPr>
      <w:r w:rsidRPr="00B66156">
        <w:rPr>
          <w:rFonts w:cs="Arial"/>
          <w:color w:val="5B9BD5" w:themeColor="accent1"/>
          <w:sz w:val="24"/>
          <w:szCs w:val="24"/>
        </w:rPr>
        <w:tab/>
        <w:t xml:space="preserve">De ahí que para presentar una solicitud no se podrán exigir mayores requisitos, entre lo que se encuentra el de la modalidad en la que prefiere se otorgue el acceso a la información, por ello, </w:t>
      </w:r>
      <w:r w:rsidRPr="00B66156">
        <w:rPr>
          <w:rFonts w:cs="Arial"/>
          <w:color w:val="5B9BD5" w:themeColor="accent1"/>
          <w:sz w:val="24"/>
          <w:szCs w:val="24"/>
          <w:u w:val="single"/>
        </w:rPr>
        <w:t xml:space="preserve">la regla es que el acceso se dará en la modalidad de solicitada </w:t>
      </w:r>
      <w:r w:rsidRPr="00B66156">
        <w:rPr>
          <w:rFonts w:cs="Arial"/>
          <w:color w:val="5B9BD5" w:themeColor="accent1"/>
          <w:sz w:val="24"/>
          <w:szCs w:val="24"/>
        </w:rPr>
        <w:t xml:space="preserve">y, en su caso, de envío elegidos por el solicitante y, la </w:t>
      </w:r>
      <w:r w:rsidRPr="00B66156">
        <w:rPr>
          <w:rFonts w:cs="Arial"/>
          <w:color w:val="5B9BD5" w:themeColor="accent1"/>
          <w:sz w:val="24"/>
          <w:szCs w:val="24"/>
        </w:rPr>
        <w:lastRenderedPageBreak/>
        <w:t xml:space="preserve">excepción es cuando la información no pueda entregarse o enviarse en la modalidad elegida, el sujeto obligado deberá ofrecer otra u otras modalidades de entrega. </w:t>
      </w:r>
    </w:p>
    <w:p w:rsidR="00E03D8B" w:rsidRPr="00B66156" w:rsidRDefault="00E03D8B" w:rsidP="00E03D8B">
      <w:pPr>
        <w:pStyle w:val="corte4fondo"/>
        <w:tabs>
          <w:tab w:val="left" w:pos="0"/>
        </w:tabs>
        <w:spacing w:line="276" w:lineRule="auto"/>
        <w:ind w:firstLine="0"/>
        <w:rPr>
          <w:rFonts w:cs="Arial"/>
          <w:color w:val="5B9BD5" w:themeColor="accent1"/>
          <w:sz w:val="24"/>
          <w:szCs w:val="24"/>
        </w:rPr>
      </w:pPr>
    </w:p>
    <w:p w:rsidR="00E03D8B" w:rsidRPr="00B66156" w:rsidRDefault="00E03D8B" w:rsidP="00E03D8B">
      <w:pPr>
        <w:pStyle w:val="corte4fondo"/>
        <w:tabs>
          <w:tab w:val="left" w:pos="0"/>
        </w:tabs>
        <w:spacing w:line="276" w:lineRule="auto"/>
        <w:ind w:firstLine="0"/>
        <w:rPr>
          <w:rFonts w:cs="Arial"/>
          <w:color w:val="5B9BD5" w:themeColor="accent1"/>
          <w:sz w:val="24"/>
          <w:szCs w:val="24"/>
        </w:rPr>
      </w:pPr>
      <w:r w:rsidRPr="00B66156">
        <w:rPr>
          <w:rFonts w:cs="Arial"/>
          <w:color w:val="5B9BD5" w:themeColor="accent1"/>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E03D8B" w:rsidRPr="00B66156" w:rsidRDefault="00E03D8B" w:rsidP="00E03D8B">
      <w:pPr>
        <w:pStyle w:val="corte4fondo"/>
        <w:tabs>
          <w:tab w:val="left" w:pos="0"/>
        </w:tabs>
        <w:spacing w:line="276" w:lineRule="auto"/>
        <w:ind w:firstLine="0"/>
        <w:rPr>
          <w:rFonts w:cs="Arial"/>
          <w:color w:val="5B9BD5" w:themeColor="accent1"/>
          <w:sz w:val="24"/>
          <w:szCs w:val="24"/>
        </w:rPr>
      </w:pPr>
    </w:p>
    <w:p w:rsidR="00E03D8B" w:rsidRPr="00B66156" w:rsidRDefault="00E03D8B" w:rsidP="00E03D8B">
      <w:pPr>
        <w:jc w:val="both"/>
        <w:rPr>
          <w:rFonts w:ascii="Arial" w:hAnsi="Arial" w:cs="Arial"/>
          <w:color w:val="5B9BD5" w:themeColor="accent1"/>
          <w:sz w:val="24"/>
          <w:szCs w:val="24"/>
        </w:rPr>
      </w:pPr>
      <w:r w:rsidRPr="00B66156">
        <w:rPr>
          <w:rFonts w:ascii="Arial" w:hAnsi="Arial" w:cs="Arial"/>
          <w:color w:val="5B9BD5" w:themeColor="accent1"/>
          <w:sz w:val="24"/>
          <w:szCs w:val="24"/>
        </w:rPr>
        <w:tab/>
        <w:t>Lo anterior, incluso 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E03D8B" w:rsidRPr="00B66156" w:rsidRDefault="00E03D8B" w:rsidP="00E03D8B">
      <w:pPr>
        <w:jc w:val="both"/>
        <w:rPr>
          <w:rFonts w:ascii="Arial" w:hAnsi="Arial" w:cs="Arial"/>
          <w:color w:val="5B9BD5" w:themeColor="accent1"/>
          <w:sz w:val="24"/>
          <w:szCs w:val="24"/>
        </w:rPr>
      </w:pPr>
    </w:p>
    <w:p w:rsidR="00E03D8B" w:rsidRPr="00B66156" w:rsidRDefault="00E03D8B" w:rsidP="00E03D8B">
      <w:pPr>
        <w:autoSpaceDE w:val="0"/>
        <w:autoSpaceDN w:val="0"/>
        <w:adjustRightInd w:val="0"/>
        <w:ind w:left="708"/>
        <w:jc w:val="both"/>
        <w:rPr>
          <w:rFonts w:ascii="Arial" w:hAnsi="Arial" w:cs="Arial"/>
          <w:color w:val="5B9BD5" w:themeColor="accent1"/>
          <w:sz w:val="20"/>
          <w:szCs w:val="24"/>
          <w:lang w:eastAsia="es-MX"/>
        </w:rPr>
      </w:pPr>
      <w:r w:rsidRPr="00B66156">
        <w:rPr>
          <w:rFonts w:ascii="Arial" w:hAnsi="Arial" w:cs="Arial"/>
          <w:b/>
          <w:bCs/>
          <w:color w:val="5B9BD5" w:themeColor="accent1"/>
          <w:sz w:val="20"/>
          <w:szCs w:val="24"/>
          <w:lang w:eastAsia="es-MX"/>
        </w:rPr>
        <w:t xml:space="preserve">“MODALIDAD ELECTRÓNICA DE ACCESO A LA INFORMACIÓN. SI SE RECIBE UNA SOLICITUD POR MEDIOS ELECTRÓNICOS SIN PRECISAR LA MODALIDAD DE PREFERENCIA DEBE PRESUMIRSE QUE SE REQUIRIÓ EL ACCESO POR ESA MISMA VÍA. </w:t>
      </w:r>
      <w:r w:rsidRPr="00B66156">
        <w:rPr>
          <w:rFonts w:ascii="Arial" w:hAnsi="Arial" w:cs="Arial"/>
          <w:color w:val="5B9BD5" w:themeColor="accent1"/>
          <w:sz w:val="20"/>
          <w:szCs w:val="24"/>
          <w:lang w:eastAsia="es-MX"/>
        </w:rPr>
        <w:t>El ejercicio del derecho</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acceso a la información gubernamental no se entiende</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forma abstracta y desvinculada a la forma en que los</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gobernados pueden allegarse de aquélla; destacándose que</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la modalidad de entrega de la información resulta de especial</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interés para hacer efectivo este derecho. En este sentido,</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la Comisión para la Transparencia y Acceso a la Información</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la Suprema Corte de Justicia de la Nación (recurso de</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revisión 1/2005) determinó que el acceso a la información</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no se cumple de forma íntegra cuando se entrega la información al peticionario en una modalidad diversa a la solicitada,</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cuando esta fue la remisión por medios electrónicos,</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toda vez que el otorgamiento en una diversa puede constituir</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un obstáculo material para el ejercicio del derecho</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acceso a la información tutelado en el artículo 6° constitucional.</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Por lo tanto, si el peticionario solicita por vía</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electrónica determinada información sin precisar la modalidad</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de su preferencia debe presumirse que la requiere</w:t>
      </w:r>
      <w:r w:rsidRPr="00B66156">
        <w:rPr>
          <w:rFonts w:ascii="Arial" w:hAnsi="Arial" w:cs="Arial"/>
          <w:b/>
          <w:bCs/>
          <w:color w:val="5B9BD5" w:themeColor="accent1"/>
          <w:sz w:val="20"/>
          <w:szCs w:val="24"/>
          <w:lang w:eastAsia="es-MX"/>
        </w:rPr>
        <w:t xml:space="preserve"> </w:t>
      </w:r>
      <w:r w:rsidRPr="00B66156">
        <w:rPr>
          <w:rFonts w:ascii="Arial" w:hAnsi="Arial" w:cs="Arial"/>
          <w:color w:val="5B9BD5" w:themeColor="accent1"/>
          <w:sz w:val="20"/>
          <w:szCs w:val="24"/>
          <w:lang w:eastAsia="es-MX"/>
        </w:rPr>
        <w:t>por esa misma vía.”</w:t>
      </w:r>
    </w:p>
    <w:p w:rsidR="00E03D8B" w:rsidRPr="00B66156" w:rsidRDefault="00E03D8B" w:rsidP="00E03D8B">
      <w:pPr>
        <w:autoSpaceDE w:val="0"/>
        <w:autoSpaceDN w:val="0"/>
        <w:adjustRightInd w:val="0"/>
        <w:jc w:val="both"/>
        <w:rPr>
          <w:rFonts w:ascii="Arial" w:hAnsi="Arial" w:cs="Arial"/>
          <w:bCs/>
          <w:color w:val="5B9BD5" w:themeColor="accent1"/>
          <w:sz w:val="24"/>
          <w:szCs w:val="24"/>
          <w:lang w:eastAsia="es-MX"/>
        </w:rPr>
      </w:pPr>
      <w:r w:rsidRPr="00B66156">
        <w:rPr>
          <w:rFonts w:ascii="Arial" w:hAnsi="Arial" w:cs="Arial"/>
          <w:bCs/>
          <w:color w:val="5B9BD5" w:themeColor="accent1"/>
          <w:sz w:val="24"/>
          <w:szCs w:val="24"/>
          <w:lang w:eastAsia="es-MX"/>
        </w:rPr>
        <w:tab/>
        <w:t>Criterio que de conformidad con el artículo 7°</w:t>
      </w:r>
      <w:r w:rsidRPr="00B66156">
        <w:rPr>
          <w:rFonts w:ascii="Arial" w:hAnsi="Arial" w:cs="Arial"/>
          <w:bCs/>
          <w:color w:val="5B9BD5" w:themeColor="accent1"/>
          <w:sz w:val="24"/>
          <w:szCs w:val="24"/>
          <w:vertAlign w:val="superscript"/>
          <w:lang w:eastAsia="es-MX"/>
        </w:rPr>
        <w:footnoteReference w:id="4"/>
      </w:r>
      <w:r w:rsidRPr="00B66156">
        <w:rPr>
          <w:rFonts w:ascii="Arial" w:hAnsi="Arial" w:cs="Arial"/>
          <w:bCs/>
          <w:color w:val="5B9BD5" w:themeColor="accent1"/>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E03D8B" w:rsidRPr="00B66156" w:rsidRDefault="00E03D8B" w:rsidP="00E03D8B">
      <w:pPr>
        <w:autoSpaceDE w:val="0"/>
        <w:autoSpaceDN w:val="0"/>
        <w:adjustRightInd w:val="0"/>
        <w:ind w:firstLine="708"/>
        <w:jc w:val="both"/>
        <w:rPr>
          <w:rFonts w:ascii="Arial" w:hAnsi="Arial" w:cs="Arial"/>
          <w:color w:val="5B9BD5" w:themeColor="accent1"/>
          <w:sz w:val="24"/>
          <w:szCs w:val="24"/>
        </w:rPr>
      </w:pPr>
      <w:r w:rsidRPr="00B66156">
        <w:rPr>
          <w:rFonts w:ascii="Arial" w:hAnsi="Arial" w:cs="Arial"/>
          <w:bCs/>
          <w:color w:val="5B9BD5" w:themeColor="accent1"/>
          <w:sz w:val="24"/>
          <w:szCs w:val="24"/>
          <w:lang w:eastAsia="es-MX"/>
        </w:rPr>
        <w:t xml:space="preserve">Además, de que sólo en caso de que la autoridad no tenga la información en la modalidad solicitada, entonces </w:t>
      </w:r>
      <w:r w:rsidRPr="00B66156">
        <w:rPr>
          <w:rFonts w:ascii="Arial" w:hAnsi="Arial" w:cs="Arial"/>
          <w:color w:val="5B9BD5" w:themeColor="accent1"/>
          <w:sz w:val="24"/>
          <w:szCs w:val="24"/>
        </w:rPr>
        <w:t>debe pronunciarse sobre la imposición del artículo 165</w:t>
      </w:r>
      <w:r w:rsidRPr="00B66156">
        <w:rPr>
          <w:rStyle w:val="Refdenotaalpie"/>
          <w:rFonts w:ascii="Arial" w:hAnsi="Arial" w:cs="Arial"/>
          <w:color w:val="5B9BD5" w:themeColor="accent1"/>
          <w:sz w:val="24"/>
          <w:szCs w:val="24"/>
        </w:rPr>
        <w:footnoteReference w:id="5"/>
      </w:r>
      <w:r w:rsidRPr="00B66156">
        <w:rPr>
          <w:rFonts w:ascii="Arial" w:hAnsi="Arial" w:cs="Arial"/>
          <w:color w:val="5B9BD5" w:themeColor="accent1"/>
          <w:sz w:val="24"/>
          <w:szCs w:val="24"/>
        </w:rPr>
        <w:t xml:space="preserve">, segundo párrafo, de la Ley de Transparencia, que le impone la </w:t>
      </w:r>
      <w:r w:rsidRPr="00B66156">
        <w:rPr>
          <w:rFonts w:ascii="Arial" w:hAnsi="Arial" w:cs="Arial"/>
          <w:color w:val="5B9BD5" w:themeColor="accent1"/>
          <w:sz w:val="24"/>
          <w:szCs w:val="24"/>
        </w:rPr>
        <w:lastRenderedPageBreak/>
        <w:t>obligación de que, en caso de no poder entregar la información en la modalidad solicitada, entonces debe de expresar en su respuesta que la información va a ser entregada, sin costo –cuando implique la entrega de no más de veinte hojas simples, esto es, veinte hojas serán de forma gratuita, ello para garantizar el acceso a la información en cuanto al principio de gratuidad.</w:t>
      </w:r>
    </w:p>
    <w:p w:rsidR="00E03D8B" w:rsidRPr="00B66156" w:rsidRDefault="00E03D8B" w:rsidP="00E03D8B">
      <w:pPr>
        <w:spacing w:after="160" w:line="259" w:lineRule="auto"/>
        <w:jc w:val="both"/>
        <w:rPr>
          <w:rFonts w:ascii="Arial" w:hAnsi="Arial" w:cs="Arial"/>
          <w:color w:val="5B9BD5" w:themeColor="accent1"/>
          <w:sz w:val="24"/>
        </w:rPr>
      </w:pPr>
    </w:p>
    <w:p w:rsidR="00E03D8B" w:rsidRPr="00B66156" w:rsidRDefault="007076CE" w:rsidP="00E03D8B">
      <w:pPr>
        <w:pStyle w:val="corte4fondo"/>
        <w:tabs>
          <w:tab w:val="left" w:pos="567"/>
        </w:tabs>
        <w:spacing w:line="276" w:lineRule="auto"/>
        <w:ind w:firstLine="0"/>
        <w:rPr>
          <w:rFonts w:cs="Arial"/>
          <w:color w:val="5B9BD5" w:themeColor="accent1"/>
          <w:sz w:val="24"/>
          <w:szCs w:val="24"/>
        </w:rPr>
      </w:pPr>
      <w:r>
        <w:rPr>
          <w:rFonts w:cs="Arial"/>
          <w:b/>
          <w:color w:val="5B9BD5" w:themeColor="accent1"/>
          <w:sz w:val="24"/>
          <w:szCs w:val="24"/>
        </w:rPr>
        <w:tab/>
        <w:t>6.4</w:t>
      </w:r>
      <w:r w:rsidR="00E03D8B" w:rsidRPr="00B66156">
        <w:rPr>
          <w:rFonts w:cs="Arial"/>
          <w:b/>
          <w:color w:val="5B9BD5" w:themeColor="accent1"/>
          <w:sz w:val="24"/>
          <w:szCs w:val="24"/>
        </w:rPr>
        <w:t>. Sentido y Efecto de esta resolución</w:t>
      </w:r>
      <w:r w:rsidR="00E03D8B" w:rsidRPr="00B66156">
        <w:rPr>
          <w:rFonts w:cs="Arial"/>
          <w:color w:val="5B9BD5" w:themeColor="accent1"/>
          <w:sz w:val="24"/>
          <w:szCs w:val="24"/>
        </w:rPr>
        <w:t xml:space="preserve">. </w:t>
      </w:r>
    </w:p>
    <w:p w:rsidR="00E03D8B" w:rsidRPr="00B66156" w:rsidRDefault="00E03D8B" w:rsidP="00E03D8B">
      <w:pPr>
        <w:pStyle w:val="corte4fondo"/>
        <w:spacing w:line="276" w:lineRule="auto"/>
        <w:ind w:firstLine="0"/>
        <w:rPr>
          <w:rFonts w:cs="Arial"/>
          <w:color w:val="5B9BD5" w:themeColor="accent1"/>
          <w:sz w:val="24"/>
          <w:szCs w:val="24"/>
        </w:rPr>
      </w:pPr>
    </w:p>
    <w:p w:rsidR="00E03D8B" w:rsidRPr="00B66156" w:rsidRDefault="00E03D8B" w:rsidP="00E03D8B">
      <w:pPr>
        <w:pStyle w:val="corte4fondo"/>
        <w:tabs>
          <w:tab w:val="left" w:pos="567"/>
        </w:tabs>
        <w:spacing w:line="276" w:lineRule="auto"/>
        <w:rPr>
          <w:rFonts w:cs="Arial"/>
          <w:color w:val="5B9BD5" w:themeColor="accent1"/>
          <w:sz w:val="24"/>
          <w:szCs w:val="24"/>
        </w:rPr>
      </w:pPr>
      <w:r w:rsidRPr="00B66156">
        <w:rPr>
          <w:rFonts w:cs="Arial"/>
          <w:color w:val="5B9BD5" w:themeColor="accent1"/>
          <w:sz w:val="24"/>
          <w:szCs w:val="24"/>
        </w:rPr>
        <w:t xml:space="preserve">En las condiciones anotadas y, al haber resultado fundado el agravio que hizo valer el recurrente, lo procedente es que esta Comisión Estatal de Garantía de Acceso a la Información Pública de conformidad con el artículo 175, fracción III, de la Ley de Transparencia y Acceso a la Información Pública del Estado </w:t>
      </w:r>
      <w:r w:rsidRPr="00B66156">
        <w:rPr>
          <w:rFonts w:cs="Arial"/>
          <w:b/>
          <w:color w:val="5B9BD5" w:themeColor="accent1"/>
          <w:sz w:val="24"/>
          <w:szCs w:val="24"/>
        </w:rPr>
        <w:t xml:space="preserve">Modifica </w:t>
      </w:r>
      <w:r w:rsidRPr="00B66156">
        <w:rPr>
          <w:rFonts w:cs="Arial"/>
          <w:color w:val="5B9BD5" w:themeColor="accent1"/>
          <w:sz w:val="24"/>
          <w:szCs w:val="24"/>
        </w:rPr>
        <w:t>la respuesta del sujeto obligado</w:t>
      </w:r>
      <w:r w:rsidRPr="00B66156">
        <w:rPr>
          <w:rFonts w:cs="Arial"/>
          <w:b/>
          <w:color w:val="5B9BD5" w:themeColor="accent1"/>
          <w:sz w:val="24"/>
          <w:szCs w:val="24"/>
        </w:rPr>
        <w:t xml:space="preserve"> </w:t>
      </w:r>
      <w:r w:rsidRPr="00B66156">
        <w:rPr>
          <w:rFonts w:cs="Arial"/>
          <w:color w:val="5B9BD5" w:themeColor="accent1"/>
          <w:sz w:val="24"/>
          <w:szCs w:val="24"/>
        </w:rPr>
        <w:t xml:space="preserve">y, por lo tanto, lo </w:t>
      </w:r>
      <w:r w:rsidRPr="00B66156">
        <w:rPr>
          <w:rFonts w:cs="Arial"/>
          <w:b/>
          <w:color w:val="5B9BD5" w:themeColor="accent1"/>
          <w:sz w:val="24"/>
          <w:szCs w:val="24"/>
        </w:rPr>
        <w:t>conmina</w:t>
      </w:r>
      <w:r w:rsidRPr="00B66156">
        <w:rPr>
          <w:rFonts w:cs="Arial"/>
          <w:color w:val="5B9BD5" w:themeColor="accent1"/>
          <w:sz w:val="24"/>
          <w:szCs w:val="24"/>
        </w:rPr>
        <w:t xml:space="preserve"> para que emita una nueva respuesta en la que:</w:t>
      </w:r>
    </w:p>
    <w:p w:rsidR="00E03D8B" w:rsidRPr="00B66156" w:rsidRDefault="00E03D8B" w:rsidP="00E03D8B">
      <w:pPr>
        <w:pStyle w:val="corte4fondo"/>
        <w:tabs>
          <w:tab w:val="left" w:pos="567"/>
        </w:tabs>
        <w:spacing w:line="276" w:lineRule="auto"/>
        <w:rPr>
          <w:rFonts w:cs="Arial"/>
          <w:color w:val="5B9BD5" w:themeColor="accent1"/>
          <w:sz w:val="24"/>
          <w:szCs w:val="24"/>
        </w:rPr>
      </w:pPr>
    </w:p>
    <w:p w:rsidR="00E03D8B" w:rsidRPr="00B66156" w:rsidRDefault="00E03D8B" w:rsidP="00E03D8B">
      <w:pPr>
        <w:pStyle w:val="corte4fondo"/>
        <w:ind w:firstLine="0"/>
        <w:rPr>
          <w:rFonts w:cs="Arial"/>
          <w:color w:val="5B9BD5" w:themeColor="accent1"/>
          <w:sz w:val="24"/>
          <w:szCs w:val="24"/>
        </w:rPr>
      </w:pPr>
    </w:p>
    <w:p w:rsidR="00E03D8B" w:rsidRPr="00B66156" w:rsidRDefault="00E03D8B" w:rsidP="00E03D8B">
      <w:pPr>
        <w:pStyle w:val="corte4fondo"/>
        <w:numPr>
          <w:ilvl w:val="0"/>
          <w:numId w:val="15"/>
        </w:numPr>
        <w:rPr>
          <w:rFonts w:cs="Arial"/>
          <w:color w:val="5B9BD5" w:themeColor="accent1"/>
          <w:sz w:val="24"/>
          <w:szCs w:val="24"/>
        </w:rPr>
      </w:pPr>
      <w:r w:rsidRPr="00B66156">
        <w:rPr>
          <w:rFonts w:cs="Arial"/>
          <w:color w:val="5B9BD5" w:themeColor="accent1"/>
          <w:sz w:val="24"/>
          <w:szCs w:val="24"/>
        </w:rPr>
        <w:t xml:space="preserve">Entregue la información solicitada respecto al servidor público aludido en su  solicitud, es decir: </w:t>
      </w:r>
      <w:r w:rsidRPr="00B66156">
        <w:rPr>
          <w:rFonts w:cs="Arial"/>
          <w:color w:val="5B9BD5" w:themeColor="accent1"/>
          <w:sz w:val="24"/>
        </w:rPr>
        <w:t>¿si se desempeña como trabajador</w:t>
      </w:r>
      <w:r>
        <w:rPr>
          <w:rFonts w:cs="Arial"/>
          <w:color w:val="5B9BD5" w:themeColor="accent1"/>
          <w:sz w:val="24"/>
        </w:rPr>
        <w:t xml:space="preserve"> del ayuntamiento</w:t>
      </w:r>
      <w:r w:rsidRPr="00B66156">
        <w:rPr>
          <w:rFonts w:cs="Arial"/>
          <w:color w:val="5B9BD5" w:themeColor="accent1"/>
          <w:sz w:val="24"/>
        </w:rPr>
        <w:t xml:space="preserve">?,  ¿cuál es o fue </w:t>
      </w:r>
      <w:r>
        <w:rPr>
          <w:rFonts w:cs="Arial"/>
          <w:color w:val="5B9BD5" w:themeColor="accent1"/>
          <w:sz w:val="24"/>
        </w:rPr>
        <w:t>el departamento de adscripción?</w:t>
      </w:r>
      <w:r w:rsidRPr="00B66156">
        <w:rPr>
          <w:rFonts w:cs="Arial"/>
          <w:color w:val="5B9BD5" w:themeColor="accent1"/>
          <w:sz w:val="24"/>
        </w:rPr>
        <w:t xml:space="preserve"> ¿hasta cuándo laboró?</w:t>
      </w:r>
    </w:p>
    <w:p w:rsidR="00E03D8B" w:rsidRPr="00B66156" w:rsidRDefault="00E03D8B" w:rsidP="00E03D8B">
      <w:pPr>
        <w:pStyle w:val="corte4fondo"/>
        <w:ind w:left="2136" w:firstLine="0"/>
        <w:rPr>
          <w:rFonts w:cs="Arial"/>
          <w:color w:val="5B9BD5" w:themeColor="accent1"/>
          <w:sz w:val="24"/>
          <w:szCs w:val="24"/>
        </w:rPr>
      </w:pPr>
    </w:p>
    <w:p w:rsidR="00E03D8B" w:rsidRPr="00B66156" w:rsidRDefault="00E03D8B" w:rsidP="00E03D8B">
      <w:pPr>
        <w:pStyle w:val="corte4fondo"/>
        <w:numPr>
          <w:ilvl w:val="0"/>
          <w:numId w:val="15"/>
        </w:numPr>
        <w:rPr>
          <w:rFonts w:cs="Arial"/>
          <w:color w:val="5B9BD5" w:themeColor="accent1"/>
          <w:sz w:val="24"/>
          <w:szCs w:val="24"/>
        </w:rPr>
      </w:pPr>
      <w:r w:rsidRPr="00B66156">
        <w:rPr>
          <w:rFonts w:cs="Arial"/>
          <w:color w:val="5B9BD5" w:themeColor="accent1"/>
          <w:sz w:val="24"/>
          <w:szCs w:val="24"/>
        </w:rPr>
        <w:t xml:space="preserve">En cuanto a </w:t>
      </w:r>
      <w:r>
        <w:rPr>
          <w:rFonts w:cs="Arial"/>
          <w:color w:val="5B9BD5" w:themeColor="accent1"/>
          <w:sz w:val="24"/>
          <w:szCs w:val="24"/>
        </w:rPr>
        <w:t>¿</w:t>
      </w:r>
      <w:r w:rsidRPr="00B66156">
        <w:rPr>
          <w:rFonts w:cs="Arial"/>
          <w:color w:val="5B9BD5" w:themeColor="accent1"/>
          <w:sz w:val="24"/>
          <w:szCs w:val="24"/>
        </w:rPr>
        <w:t>Cuál fue el motivo de la terminación laboral de dicho funcionario? por actualizarse alguno de los supuestos de clasificación, el Comité de Transparencia del Ayuntamiento de San Luis Potosí deberá señalar las razones y motivos o circunstancias para determinar si es procedente o no, la actualización del supuesto previsto en los artículos 117, 118, 119 y demás relativos de la Ley de la materia y aplicar la respectiva prueba de daño.</w:t>
      </w:r>
    </w:p>
    <w:p w:rsidR="00E03D8B" w:rsidRPr="00B66156" w:rsidRDefault="00E03D8B" w:rsidP="00E03D8B">
      <w:pPr>
        <w:pStyle w:val="corte4fondo"/>
        <w:tabs>
          <w:tab w:val="left" w:pos="567"/>
        </w:tabs>
        <w:spacing w:line="276" w:lineRule="auto"/>
        <w:rPr>
          <w:rFonts w:cs="Arial"/>
          <w:color w:val="5B9BD5" w:themeColor="accent1"/>
          <w:sz w:val="24"/>
          <w:szCs w:val="24"/>
        </w:rPr>
      </w:pPr>
    </w:p>
    <w:p w:rsidR="00E03D8B" w:rsidRPr="00B66156" w:rsidRDefault="007076CE" w:rsidP="00E03D8B">
      <w:pPr>
        <w:pStyle w:val="NormalWeb"/>
        <w:spacing w:before="0" w:beforeAutospacing="0" w:after="0" w:afterAutospacing="0" w:line="276" w:lineRule="auto"/>
        <w:ind w:firstLine="360"/>
        <w:jc w:val="both"/>
        <w:rPr>
          <w:rFonts w:ascii="Arial" w:hAnsi="Arial" w:cs="Arial"/>
          <w:b/>
          <w:color w:val="5B9BD5" w:themeColor="accent1"/>
        </w:rPr>
      </w:pPr>
      <w:r>
        <w:rPr>
          <w:rFonts w:ascii="Arial" w:hAnsi="Arial" w:cs="Arial"/>
          <w:b/>
          <w:color w:val="5B9BD5" w:themeColor="accent1"/>
        </w:rPr>
        <w:t>6.5</w:t>
      </w:r>
      <w:r w:rsidR="00E03D8B" w:rsidRPr="00B66156">
        <w:rPr>
          <w:rFonts w:ascii="Arial" w:hAnsi="Arial" w:cs="Arial"/>
          <w:b/>
          <w:color w:val="5B9BD5" w:themeColor="accent1"/>
        </w:rPr>
        <w:t>. Precisiones de esta resolución.</w:t>
      </w:r>
    </w:p>
    <w:p w:rsidR="00E03D8B" w:rsidRPr="00B66156" w:rsidRDefault="00E03D8B" w:rsidP="00E03D8B">
      <w:pPr>
        <w:pStyle w:val="corte4fondo"/>
        <w:tabs>
          <w:tab w:val="left" w:pos="567"/>
        </w:tabs>
        <w:spacing w:line="276" w:lineRule="auto"/>
        <w:ind w:firstLine="0"/>
        <w:rPr>
          <w:rFonts w:cs="Arial"/>
          <w:color w:val="5B9BD5" w:themeColor="accent1"/>
          <w:sz w:val="24"/>
          <w:szCs w:val="24"/>
        </w:rPr>
      </w:pPr>
    </w:p>
    <w:p w:rsidR="00E03D8B" w:rsidRPr="00B66156" w:rsidRDefault="00E03D8B" w:rsidP="00E03D8B">
      <w:pPr>
        <w:pStyle w:val="corte4fondo"/>
        <w:tabs>
          <w:tab w:val="left" w:pos="567"/>
        </w:tabs>
        <w:spacing w:line="276" w:lineRule="auto"/>
        <w:ind w:firstLine="0"/>
        <w:rPr>
          <w:rFonts w:cs="Arial"/>
          <w:color w:val="5B9BD5" w:themeColor="accent1"/>
          <w:sz w:val="24"/>
          <w:szCs w:val="24"/>
        </w:rPr>
      </w:pPr>
      <w:r w:rsidRPr="00B66156">
        <w:rPr>
          <w:rFonts w:cs="Arial"/>
          <w:color w:val="5B9BD5" w:themeColor="accent1"/>
          <w:sz w:val="24"/>
          <w:szCs w:val="24"/>
        </w:rPr>
        <w:tab/>
        <w:t>De conformidad con la última parte del artículo 175 de la Ley de Transparencia está Comisión de Transparencia establece los siguientes términos para el cumplimiento de la resolución.</w:t>
      </w:r>
    </w:p>
    <w:p w:rsidR="00E03D8B" w:rsidRPr="00B66156" w:rsidRDefault="00E03D8B" w:rsidP="00E03D8B">
      <w:pPr>
        <w:pStyle w:val="corte4fondo"/>
        <w:tabs>
          <w:tab w:val="left" w:pos="567"/>
        </w:tabs>
        <w:spacing w:line="276" w:lineRule="auto"/>
        <w:ind w:firstLine="0"/>
        <w:rPr>
          <w:rFonts w:cs="Arial"/>
          <w:color w:val="5B9BD5" w:themeColor="accent1"/>
          <w:sz w:val="24"/>
          <w:szCs w:val="24"/>
        </w:rPr>
      </w:pPr>
    </w:p>
    <w:p w:rsidR="00E03D8B" w:rsidRPr="00B66156" w:rsidRDefault="00E03D8B" w:rsidP="00E03D8B">
      <w:pPr>
        <w:pStyle w:val="corte4fondo"/>
        <w:numPr>
          <w:ilvl w:val="0"/>
          <w:numId w:val="16"/>
        </w:numPr>
        <w:tabs>
          <w:tab w:val="left" w:pos="567"/>
        </w:tabs>
        <w:spacing w:line="276" w:lineRule="auto"/>
        <w:rPr>
          <w:rFonts w:cs="Arial"/>
          <w:color w:val="5B9BD5" w:themeColor="accent1"/>
          <w:sz w:val="24"/>
          <w:szCs w:val="24"/>
        </w:rPr>
      </w:pPr>
      <w:r w:rsidRPr="00B66156">
        <w:rPr>
          <w:rFonts w:cs="Arial"/>
          <w:color w:val="5B9BD5" w:themeColor="accent1"/>
          <w:sz w:val="24"/>
          <w:szCs w:val="24"/>
        </w:rPr>
        <w:t xml:space="preserve">En cuanto a lo ordenado, se reitera que la información debe de entregarse en la modalidad solicitada, en la inteligencia de que en virtud de que la recurrente expresó que la modalidad de entrega de la información fuera la </w:t>
      </w:r>
      <w:r w:rsidRPr="00B66156">
        <w:rPr>
          <w:rFonts w:cs="Arial"/>
          <w:color w:val="5B9BD5" w:themeColor="accent1"/>
          <w:sz w:val="24"/>
          <w:szCs w:val="24"/>
        </w:rPr>
        <w:lastRenderedPageBreak/>
        <w:t>electrónica, y toda vez que ya no es posible que la autoridad proporcione la información solicitada mediante la Plataforma Nacional de Transparencia San Luis Potosí, ésta deberá hacerlo a través del correo electrónico y/o domicilio señalado por el particular para oír y recibir notificaciones.</w:t>
      </w:r>
    </w:p>
    <w:p w:rsidR="00E03D8B" w:rsidRPr="00B66156" w:rsidRDefault="00E03D8B" w:rsidP="00E03D8B">
      <w:pPr>
        <w:pStyle w:val="corte4fondo"/>
        <w:tabs>
          <w:tab w:val="left" w:pos="567"/>
        </w:tabs>
        <w:spacing w:line="276" w:lineRule="auto"/>
        <w:ind w:left="720" w:firstLine="0"/>
        <w:rPr>
          <w:rFonts w:cs="Arial"/>
          <w:color w:val="5B9BD5" w:themeColor="accent1"/>
          <w:sz w:val="24"/>
          <w:szCs w:val="24"/>
        </w:rPr>
      </w:pPr>
    </w:p>
    <w:p w:rsidR="00E03D8B" w:rsidRPr="00B66156" w:rsidRDefault="00E03D8B" w:rsidP="00E03D8B">
      <w:pPr>
        <w:pStyle w:val="corte4fondo"/>
        <w:numPr>
          <w:ilvl w:val="0"/>
          <w:numId w:val="16"/>
        </w:numPr>
        <w:tabs>
          <w:tab w:val="left" w:pos="567"/>
        </w:tabs>
        <w:spacing w:line="276" w:lineRule="auto"/>
        <w:rPr>
          <w:rFonts w:cs="Arial"/>
          <w:color w:val="5B9BD5" w:themeColor="accent1"/>
          <w:sz w:val="24"/>
          <w:szCs w:val="24"/>
        </w:rPr>
      </w:pPr>
      <w:r w:rsidRPr="00B66156">
        <w:rPr>
          <w:rFonts w:cs="Arial"/>
          <w:color w:val="5B9BD5" w:themeColor="accent1"/>
          <w:sz w:val="24"/>
          <w:szCs w:val="24"/>
        </w:rPr>
        <w:t>El sujeto obligado deberá de cuidar en todo momento que la información que entregará no contenga datos personales o confidenciales, pues en caso de contener información con esos datos, deberá de elaborar la versión pública.</w:t>
      </w:r>
    </w:p>
    <w:p w:rsidR="00E03D8B" w:rsidRPr="00B66156" w:rsidRDefault="00E03D8B" w:rsidP="00E03D8B">
      <w:pPr>
        <w:pStyle w:val="Prrafodelista"/>
        <w:tabs>
          <w:tab w:val="left" w:pos="567"/>
        </w:tabs>
        <w:spacing w:after="0"/>
        <w:ind w:left="709"/>
        <w:jc w:val="both"/>
        <w:rPr>
          <w:rFonts w:cs="Arial"/>
          <w:color w:val="5B9BD5" w:themeColor="accent1"/>
          <w:sz w:val="24"/>
          <w:szCs w:val="24"/>
        </w:rPr>
      </w:pPr>
    </w:p>
    <w:p w:rsidR="00E03D8B" w:rsidRPr="00B66156" w:rsidRDefault="00E03D8B" w:rsidP="00E03D8B">
      <w:pPr>
        <w:pStyle w:val="Prrafodelista"/>
        <w:tabs>
          <w:tab w:val="left" w:pos="567"/>
        </w:tabs>
        <w:spacing w:after="0"/>
        <w:ind w:left="709"/>
        <w:jc w:val="both"/>
        <w:rPr>
          <w:rFonts w:cs="Arial"/>
          <w:color w:val="5B9BD5" w:themeColor="accent1"/>
          <w:sz w:val="24"/>
          <w:szCs w:val="24"/>
        </w:rPr>
      </w:pPr>
    </w:p>
    <w:p w:rsidR="00E03D8B" w:rsidRPr="00B66156" w:rsidRDefault="007076CE" w:rsidP="00E03D8B">
      <w:pPr>
        <w:pStyle w:val="NormalWeb"/>
        <w:spacing w:before="0" w:beforeAutospacing="0" w:after="0" w:afterAutospacing="0" w:line="276" w:lineRule="auto"/>
        <w:ind w:firstLine="708"/>
        <w:jc w:val="both"/>
        <w:rPr>
          <w:rFonts w:ascii="Arial" w:hAnsi="Arial" w:cs="Arial"/>
          <w:b/>
          <w:color w:val="5B9BD5" w:themeColor="accent1"/>
        </w:rPr>
      </w:pPr>
      <w:r>
        <w:rPr>
          <w:rFonts w:ascii="Arial" w:hAnsi="Arial" w:cs="Arial"/>
          <w:b/>
          <w:color w:val="5B9BD5" w:themeColor="accent1"/>
        </w:rPr>
        <w:t>6.6</w:t>
      </w:r>
      <w:r w:rsidR="00E03D8B" w:rsidRPr="00B66156">
        <w:rPr>
          <w:rFonts w:ascii="Arial" w:hAnsi="Arial" w:cs="Arial"/>
          <w:b/>
          <w:color w:val="5B9BD5" w:themeColor="accent1"/>
        </w:rPr>
        <w:t>. Plazo de diez días hábiles para el cumplimento de esta resolución.</w:t>
      </w:r>
    </w:p>
    <w:p w:rsidR="00E03D8B" w:rsidRPr="00B66156" w:rsidRDefault="00E03D8B" w:rsidP="00E03D8B">
      <w:pPr>
        <w:pStyle w:val="NormalWeb"/>
        <w:spacing w:before="0" w:beforeAutospacing="0" w:after="0" w:afterAutospacing="0" w:line="276" w:lineRule="auto"/>
        <w:jc w:val="both"/>
        <w:rPr>
          <w:rFonts w:ascii="Arial" w:hAnsi="Arial" w:cs="Arial"/>
          <w:color w:val="5B9BD5" w:themeColor="accent1"/>
        </w:rPr>
      </w:pPr>
    </w:p>
    <w:p w:rsidR="00E03D8B" w:rsidRPr="00B66156" w:rsidRDefault="00E03D8B" w:rsidP="00E03D8B">
      <w:pPr>
        <w:pStyle w:val="NormalWeb"/>
        <w:spacing w:before="0" w:beforeAutospacing="0" w:after="0" w:afterAutospacing="0" w:line="276" w:lineRule="auto"/>
        <w:ind w:firstLine="708"/>
        <w:jc w:val="both"/>
        <w:rPr>
          <w:rFonts w:ascii="Arial" w:hAnsi="Arial" w:cs="Arial"/>
          <w:color w:val="5B9BD5" w:themeColor="accent1"/>
        </w:rPr>
      </w:pPr>
      <w:r w:rsidRPr="00B66156">
        <w:rPr>
          <w:rFonts w:ascii="Arial" w:hAnsi="Arial" w:cs="Arial"/>
          <w:color w:val="5B9BD5" w:themeColor="accent1"/>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E03D8B" w:rsidRPr="00B66156" w:rsidRDefault="00E03D8B" w:rsidP="00E03D8B">
      <w:pPr>
        <w:pStyle w:val="NormalWeb"/>
        <w:spacing w:before="0" w:beforeAutospacing="0" w:after="0" w:afterAutospacing="0" w:line="276" w:lineRule="auto"/>
        <w:jc w:val="both"/>
        <w:rPr>
          <w:rFonts w:ascii="Arial" w:hAnsi="Arial" w:cs="Arial"/>
          <w:color w:val="5B9BD5" w:themeColor="accent1"/>
        </w:rPr>
      </w:pPr>
    </w:p>
    <w:p w:rsidR="00E03D8B" w:rsidRPr="00B66156" w:rsidRDefault="007076CE" w:rsidP="00E03D8B">
      <w:pPr>
        <w:pStyle w:val="NormalWeb"/>
        <w:spacing w:before="0" w:beforeAutospacing="0" w:after="0" w:afterAutospacing="0" w:line="276" w:lineRule="auto"/>
        <w:ind w:firstLine="708"/>
        <w:jc w:val="both"/>
        <w:rPr>
          <w:rFonts w:ascii="Arial" w:hAnsi="Arial" w:cs="Arial"/>
          <w:b/>
          <w:color w:val="5B9BD5" w:themeColor="accent1"/>
        </w:rPr>
      </w:pPr>
      <w:r>
        <w:rPr>
          <w:rFonts w:ascii="Arial" w:hAnsi="Arial" w:cs="Arial"/>
          <w:b/>
          <w:color w:val="5B9BD5" w:themeColor="accent1"/>
        </w:rPr>
        <w:t>6.7</w:t>
      </w:r>
      <w:r w:rsidR="00E03D8B" w:rsidRPr="00B66156">
        <w:rPr>
          <w:rFonts w:ascii="Arial" w:hAnsi="Arial" w:cs="Arial"/>
          <w:b/>
          <w:color w:val="5B9BD5" w:themeColor="accent1"/>
        </w:rPr>
        <w:t>. Informe sobre el cumplimento a la resolución dentro del plazo de tres días hábiles.</w:t>
      </w:r>
    </w:p>
    <w:p w:rsidR="00E03D8B" w:rsidRPr="00B66156" w:rsidRDefault="00E03D8B" w:rsidP="00E03D8B">
      <w:pPr>
        <w:pStyle w:val="NormalWeb"/>
        <w:spacing w:before="0" w:beforeAutospacing="0" w:after="0" w:afterAutospacing="0" w:line="276" w:lineRule="auto"/>
        <w:jc w:val="both"/>
        <w:rPr>
          <w:rFonts w:ascii="Arial" w:hAnsi="Arial" w:cs="Arial"/>
          <w:b/>
          <w:color w:val="5B9BD5" w:themeColor="accent1"/>
        </w:rPr>
      </w:pPr>
    </w:p>
    <w:p w:rsidR="00E03D8B" w:rsidRPr="00B66156" w:rsidRDefault="00E03D8B" w:rsidP="00E03D8B">
      <w:pPr>
        <w:pStyle w:val="NormalWeb"/>
        <w:spacing w:before="0" w:beforeAutospacing="0" w:after="0" w:afterAutospacing="0" w:line="276" w:lineRule="auto"/>
        <w:ind w:firstLine="708"/>
        <w:jc w:val="both"/>
        <w:rPr>
          <w:rFonts w:ascii="Arial" w:hAnsi="Arial" w:cs="Arial"/>
          <w:color w:val="5B9BD5" w:themeColor="accent1"/>
        </w:rPr>
      </w:pPr>
      <w:r w:rsidRPr="00B66156">
        <w:rPr>
          <w:rFonts w:ascii="Arial" w:hAnsi="Arial" w:cs="Arial"/>
          <w:color w:val="5B9BD5" w:themeColor="accent1"/>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E03D8B" w:rsidRPr="00B66156" w:rsidRDefault="00E03D8B" w:rsidP="00E03D8B">
      <w:pPr>
        <w:pStyle w:val="NormalWeb"/>
        <w:spacing w:before="0" w:beforeAutospacing="0" w:after="0" w:afterAutospacing="0" w:line="276" w:lineRule="auto"/>
        <w:ind w:firstLine="708"/>
        <w:jc w:val="both"/>
        <w:rPr>
          <w:rFonts w:ascii="Arial" w:hAnsi="Arial" w:cs="Arial"/>
          <w:color w:val="5B9BD5" w:themeColor="accent1"/>
        </w:rPr>
      </w:pPr>
    </w:p>
    <w:p w:rsidR="00E03D8B" w:rsidRPr="00B66156" w:rsidRDefault="007076CE" w:rsidP="00E03D8B">
      <w:pPr>
        <w:pStyle w:val="NormalWeb"/>
        <w:spacing w:before="0" w:beforeAutospacing="0" w:after="0" w:afterAutospacing="0" w:line="276" w:lineRule="auto"/>
        <w:ind w:firstLine="708"/>
        <w:jc w:val="both"/>
        <w:rPr>
          <w:rFonts w:ascii="Arial" w:hAnsi="Arial" w:cs="Arial"/>
          <w:b/>
          <w:color w:val="5B9BD5" w:themeColor="accent1"/>
        </w:rPr>
      </w:pPr>
      <w:r>
        <w:rPr>
          <w:rFonts w:ascii="Arial" w:hAnsi="Arial" w:cs="Arial"/>
          <w:b/>
          <w:color w:val="5B9BD5" w:themeColor="accent1"/>
        </w:rPr>
        <w:t>6.8</w:t>
      </w:r>
      <w:r w:rsidR="00E03D8B" w:rsidRPr="00B66156">
        <w:rPr>
          <w:rFonts w:ascii="Arial" w:hAnsi="Arial" w:cs="Arial"/>
          <w:b/>
          <w:color w:val="5B9BD5" w:themeColor="accent1"/>
        </w:rPr>
        <w:t>. Medida de apremio en caso de incumplimiento a la resolución.</w:t>
      </w:r>
    </w:p>
    <w:p w:rsidR="00E03D8B" w:rsidRPr="00B66156" w:rsidRDefault="00E03D8B" w:rsidP="00E03D8B">
      <w:pPr>
        <w:pStyle w:val="NormalWeb"/>
        <w:spacing w:before="0" w:beforeAutospacing="0" w:after="0" w:afterAutospacing="0" w:line="276" w:lineRule="auto"/>
        <w:jc w:val="both"/>
        <w:rPr>
          <w:rFonts w:ascii="Arial" w:hAnsi="Arial" w:cs="Arial"/>
          <w:color w:val="5B9BD5" w:themeColor="accent1"/>
        </w:rPr>
      </w:pPr>
    </w:p>
    <w:p w:rsidR="00E03D8B" w:rsidRPr="00B66156" w:rsidRDefault="00E03D8B" w:rsidP="00E03D8B">
      <w:pPr>
        <w:pStyle w:val="corte4fondo"/>
        <w:tabs>
          <w:tab w:val="left" w:pos="567"/>
        </w:tabs>
        <w:spacing w:line="276" w:lineRule="auto"/>
        <w:rPr>
          <w:rFonts w:cs="Arial"/>
          <w:color w:val="5B9BD5" w:themeColor="accent1"/>
          <w:sz w:val="24"/>
          <w:szCs w:val="24"/>
        </w:rPr>
      </w:pPr>
      <w:r w:rsidRPr="00B66156">
        <w:rPr>
          <w:rFonts w:cs="Arial"/>
          <w:color w:val="5B9BD5"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E03D8B" w:rsidRPr="00B66156" w:rsidRDefault="00E03D8B" w:rsidP="00E03D8B">
      <w:pPr>
        <w:pStyle w:val="NormalWeb"/>
        <w:spacing w:before="0" w:beforeAutospacing="0" w:after="0" w:afterAutospacing="0" w:line="276" w:lineRule="auto"/>
        <w:ind w:firstLine="708"/>
        <w:jc w:val="both"/>
        <w:rPr>
          <w:rFonts w:ascii="Arial" w:hAnsi="Arial" w:cs="Arial"/>
          <w:color w:val="5B9BD5" w:themeColor="accent1"/>
        </w:rPr>
      </w:pPr>
    </w:p>
    <w:p w:rsidR="00E03D8B" w:rsidRPr="00B66156" w:rsidRDefault="00E03D8B" w:rsidP="00E03D8B">
      <w:pPr>
        <w:pStyle w:val="NormalWeb"/>
        <w:spacing w:before="0" w:beforeAutospacing="0" w:after="0" w:afterAutospacing="0" w:line="276" w:lineRule="auto"/>
        <w:ind w:firstLine="708"/>
        <w:jc w:val="both"/>
        <w:rPr>
          <w:rFonts w:ascii="Arial" w:hAnsi="Arial" w:cs="Arial"/>
          <w:color w:val="5B9BD5" w:themeColor="accent1"/>
        </w:rPr>
      </w:pPr>
    </w:p>
    <w:p w:rsidR="00E03D8B" w:rsidRPr="00B66156" w:rsidRDefault="00E03D8B" w:rsidP="00E03D8B">
      <w:pPr>
        <w:pStyle w:val="NormalWeb"/>
        <w:spacing w:before="0" w:beforeAutospacing="0" w:after="0" w:afterAutospacing="0" w:line="276" w:lineRule="auto"/>
        <w:ind w:firstLine="708"/>
        <w:jc w:val="center"/>
        <w:rPr>
          <w:rFonts w:ascii="Arial" w:hAnsi="Arial" w:cs="Arial"/>
          <w:b/>
          <w:color w:val="5B9BD5" w:themeColor="accent1"/>
        </w:rPr>
      </w:pPr>
      <w:r w:rsidRPr="00B66156">
        <w:rPr>
          <w:rFonts w:ascii="Arial" w:hAnsi="Arial" w:cs="Arial"/>
          <w:b/>
          <w:color w:val="5B9BD5" w:themeColor="accent1"/>
        </w:rPr>
        <w:t>RESOLUTIVOS</w:t>
      </w:r>
    </w:p>
    <w:p w:rsidR="00E03D8B" w:rsidRPr="00B66156" w:rsidRDefault="00E03D8B" w:rsidP="00E03D8B">
      <w:pPr>
        <w:pStyle w:val="NormalWeb"/>
        <w:spacing w:before="0" w:beforeAutospacing="0" w:after="0" w:afterAutospacing="0" w:line="276" w:lineRule="auto"/>
        <w:jc w:val="center"/>
        <w:rPr>
          <w:rFonts w:ascii="Arial" w:hAnsi="Arial" w:cs="Arial"/>
          <w:b/>
          <w:color w:val="5B9BD5" w:themeColor="accent1"/>
        </w:rPr>
      </w:pPr>
    </w:p>
    <w:p w:rsidR="00E03D8B" w:rsidRPr="00B66156" w:rsidRDefault="00E03D8B" w:rsidP="00E03D8B">
      <w:pPr>
        <w:pStyle w:val="NormalWeb"/>
        <w:spacing w:before="0" w:beforeAutospacing="0" w:after="0" w:afterAutospacing="0" w:line="276" w:lineRule="auto"/>
        <w:ind w:firstLine="708"/>
        <w:jc w:val="both"/>
        <w:rPr>
          <w:rFonts w:ascii="Arial" w:hAnsi="Arial" w:cs="Arial"/>
          <w:color w:val="5B9BD5" w:themeColor="accent1"/>
        </w:rPr>
      </w:pPr>
      <w:r w:rsidRPr="00B66156">
        <w:rPr>
          <w:rFonts w:ascii="Arial" w:hAnsi="Arial" w:cs="Arial"/>
          <w:color w:val="5B9BD5" w:themeColor="accent1"/>
        </w:rPr>
        <w:t>Por lo expuesto y fundado, SE RESUELVE:</w:t>
      </w:r>
    </w:p>
    <w:p w:rsidR="00E03D8B" w:rsidRPr="00B66156" w:rsidRDefault="00E03D8B" w:rsidP="00E03D8B">
      <w:pPr>
        <w:pStyle w:val="NormalWeb"/>
        <w:spacing w:before="0" w:beforeAutospacing="0" w:after="0" w:afterAutospacing="0" w:line="276" w:lineRule="auto"/>
        <w:jc w:val="both"/>
        <w:rPr>
          <w:rFonts w:ascii="Arial" w:hAnsi="Arial" w:cs="Arial"/>
          <w:b/>
          <w:color w:val="5B9BD5" w:themeColor="accent1"/>
        </w:rPr>
      </w:pPr>
    </w:p>
    <w:p w:rsidR="00E03D8B" w:rsidRPr="00B66156" w:rsidRDefault="00E03D8B" w:rsidP="00E03D8B">
      <w:pPr>
        <w:pStyle w:val="corte4fondo"/>
        <w:spacing w:line="276" w:lineRule="auto"/>
        <w:rPr>
          <w:rFonts w:cs="Arial"/>
          <w:color w:val="5B9BD5" w:themeColor="accent1"/>
          <w:sz w:val="24"/>
          <w:szCs w:val="24"/>
        </w:rPr>
      </w:pPr>
      <w:r w:rsidRPr="00B66156">
        <w:rPr>
          <w:rFonts w:cs="Arial"/>
          <w:b/>
          <w:color w:val="5B9BD5" w:themeColor="accent1"/>
          <w:sz w:val="24"/>
          <w:szCs w:val="24"/>
        </w:rPr>
        <w:t xml:space="preserve">ÚNICO. </w:t>
      </w:r>
      <w:r w:rsidRPr="00B66156">
        <w:rPr>
          <w:rFonts w:cs="Arial"/>
          <w:color w:val="5B9BD5" w:themeColor="accent1"/>
          <w:sz w:val="24"/>
          <w:szCs w:val="24"/>
        </w:rPr>
        <w:t xml:space="preserve">Se </w:t>
      </w:r>
      <w:r w:rsidRPr="00B66156">
        <w:rPr>
          <w:rFonts w:cs="Arial"/>
          <w:b/>
          <w:color w:val="5B9BD5" w:themeColor="accent1"/>
          <w:sz w:val="24"/>
          <w:szCs w:val="24"/>
        </w:rPr>
        <w:t>Modifica la</w:t>
      </w:r>
      <w:r w:rsidRPr="00B66156">
        <w:rPr>
          <w:rFonts w:cs="Arial"/>
          <w:color w:val="5B9BD5" w:themeColor="accent1"/>
          <w:sz w:val="24"/>
          <w:szCs w:val="24"/>
        </w:rPr>
        <w:t xml:space="preserve"> respuesta del sujeto obligado por las razones y fundamentos expuestos en el considerando </w:t>
      </w:r>
      <w:r w:rsidR="007076CE">
        <w:rPr>
          <w:rFonts w:cs="Arial"/>
          <w:color w:val="5B9BD5" w:themeColor="accent1"/>
          <w:sz w:val="24"/>
          <w:szCs w:val="24"/>
        </w:rPr>
        <w:t>sexto</w:t>
      </w:r>
      <w:r w:rsidRPr="00B66156">
        <w:rPr>
          <w:rFonts w:cs="Arial"/>
          <w:color w:val="5B9BD5" w:themeColor="accent1"/>
          <w:sz w:val="24"/>
          <w:szCs w:val="24"/>
        </w:rPr>
        <w:t xml:space="preserve"> de la presente resolución.</w:t>
      </w:r>
    </w:p>
    <w:p w:rsidR="00E03D8B" w:rsidRPr="00B66156" w:rsidRDefault="00E03D8B" w:rsidP="00E03D8B">
      <w:pPr>
        <w:pStyle w:val="corte4fondo"/>
        <w:tabs>
          <w:tab w:val="left" w:pos="567"/>
        </w:tabs>
        <w:spacing w:line="276" w:lineRule="auto"/>
        <w:rPr>
          <w:rFonts w:cs="Arial"/>
          <w:color w:val="5B9BD5" w:themeColor="accent1"/>
          <w:sz w:val="24"/>
          <w:szCs w:val="24"/>
        </w:rPr>
      </w:pPr>
    </w:p>
    <w:p w:rsidR="00E03D8B" w:rsidRPr="00B66156" w:rsidRDefault="00E03D8B" w:rsidP="00E03D8B">
      <w:pPr>
        <w:pStyle w:val="corte4fondo"/>
        <w:tabs>
          <w:tab w:val="left" w:pos="567"/>
        </w:tabs>
        <w:spacing w:line="276" w:lineRule="auto"/>
        <w:rPr>
          <w:rFonts w:cs="Arial"/>
          <w:color w:val="5B9BD5" w:themeColor="accent1"/>
          <w:sz w:val="24"/>
          <w:szCs w:val="24"/>
        </w:rPr>
      </w:pPr>
    </w:p>
    <w:p w:rsidR="00E03D8B" w:rsidRPr="00B66156" w:rsidRDefault="00E03D8B" w:rsidP="00E03D8B">
      <w:pPr>
        <w:pStyle w:val="corte4fondo"/>
        <w:tabs>
          <w:tab w:val="left" w:pos="567"/>
        </w:tabs>
        <w:spacing w:line="276" w:lineRule="auto"/>
        <w:rPr>
          <w:rFonts w:cs="Arial"/>
          <w:color w:val="5B9BD5" w:themeColor="accent1"/>
          <w:sz w:val="24"/>
          <w:szCs w:val="24"/>
        </w:rPr>
      </w:pPr>
      <w:r w:rsidRPr="00B66156">
        <w:rPr>
          <w:rFonts w:cs="Arial"/>
          <w:b/>
          <w:color w:val="5B9BD5" w:themeColor="accent1"/>
          <w:sz w:val="24"/>
          <w:szCs w:val="24"/>
        </w:rPr>
        <w:t xml:space="preserve">Notifíquese; </w:t>
      </w:r>
      <w:r w:rsidRPr="00B66156">
        <w:rPr>
          <w:rFonts w:cs="Arial"/>
          <w:color w:val="5B9BD5" w:themeColor="accent1"/>
          <w:sz w:val="24"/>
          <w:szCs w:val="24"/>
        </w:rPr>
        <w:t>por oficio a las autoridades</w:t>
      </w:r>
      <w:r w:rsidRPr="00B66156">
        <w:rPr>
          <w:rFonts w:cs="Arial"/>
          <w:b/>
          <w:color w:val="5B9BD5" w:themeColor="accent1"/>
          <w:sz w:val="24"/>
          <w:szCs w:val="24"/>
        </w:rPr>
        <w:t xml:space="preserve"> </w:t>
      </w:r>
      <w:r w:rsidRPr="00B66156">
        <w:rPr>
          <w:rFonts w:cs="Arial"/>
          <w:color w:val="5B9BD5" w:themeColor="accent1"/>
          <w:sz w:val="24"/>
          <w:szCs w:val="24"/>
        </w:rPr>
        <w:t>y al recurrente por el medio que designó.</w:t>
      </w:r>
    </w:p>
    <w:p w:rsidR="00E03D8B" w:rsidRPr="00B66156" w:rsidRDefault="00E03D8B" w:rsidP="00E03D8B">
      <w:pPr>
        <w:pStyle w:val="corte4fondo"/>
        <w:tabs>
          <w:tab w:val="left" w:pos="567"/>
        </w:tabs>
        <w:spacing w:line="276" w:lineRule="auto"/>
        <w:rPr>
          <w:rFonts w:cs="Arial"/>
          <w:color w:val="5B9BD5" w:themeColor="accent1"/>
          <w:sz w:val="24"/>
          <w:szCs w:val="24"/>
        </w:rPr>
      </w:pPr>
    </w:p>
    <w:p w:rsidR="00E03D8B" w:rsidRPr="00B66156" w:rsidRDefault="00E03D8B" w:rsidP="00E03D8B">
      <w:pPr>
        <w:pStyle w:val="corte4fondo"/>
        <w:tabs>
          <w:tab w:val="left" w:pos="567"/>
        </w:tabs>
        <w:spacing w:line="276" w:lineRule="auto"/>
        <w:rPr>
          <w:rFonts w:eastAsia="Arial Unicode MS" w:cs="Arial"/>
          <w:color w:val="5B9BD5" w:themeColor="accent1"/>
          <w:sz w:val="24"/>
          <w:szCs w:val="24"/>
        </w:rPr>
      </w:pPr>
      <w:r w:rsidRPr="00B66156">
        <w:rPr>
          <w:rFonts w:cs="Arial"/>
          <w:color w:val="5B9BD5" w:themeColor="accent1"/>
          <w:sz w:val="24"/>
          <w:szCs w:val="24"/>
        </w:rPr>
        <w:t xml:space="preserve">Así, por unanimidad de votos lo resolvió la Comisión Estatal de Garantía de Acceso a la Información Pública, integrada por los Comisionados Licenciados Mariajosé González Zarzosa, Mtro. Alejandro Lafuente Torres, Paulina Sánchez Pérez del Pozo, Presidente, siendo ponente la última de los nombrados, quienes, en unión de la Licenciada Rosa María Motilla García, Secretaria de Pleno que da fe, firman esta resolución. </w:t>
      </w:r>
      <w:r w:rsidRPr="00B66156">
        <w:rPr>
          <w:rFonts w:eastAsia="Arial Unicode MS" w:cs="Arial"/>
          <w:color w:val="5B9BD5" w:themeColor="accent1"/>
          <w:sz w:val="24"/>
          <w:szCs w:val="24"/>
        </w:rPr>
        <w:t xml:space="preserve">   </w:t>
      </w:r>
    </w:p>
    <w:p w:rsidR="00E03D8B" w:rsidRPr="00B66156" w:rsidRDefault="00E03D8B" w:rsidP="00E03D8B">
      <w:pPr>
        <w:pStyle w:val="corte4fondo"/>
        <w:tabs>
          <w:tab w:val="left" w:pos="567"/>
        </w:tabs>
        <w:spacing w:line="276" w:lineRule="auto"/>
        <w:rPr>
          <w:rFonts w:cs="Arial"/>
          <w:color w:val="5B9BD5" w:themeColor="accent1"/>
          <w:sz w:val="24"/>
          <w:szCs w:val="24"/>
        </w:rPr>
      </w:pPr>
    </w:p>
    <w:p w:rsidR="00E03D8B" w:rsidRPr="00B66156" w:rsidRDefault="00E03D8B" w:rsidP="00E03D8B">
      <w:pPr>
        <w:tabs>
          <w:tab w:val="center" w:pos="2213"/>
        </w:tabs>
        <w:spacing w:after="0"/>
        <w:rPr>
          <w:rFonts w:ascii="Arial" w:eastAsia="Arial Unicode MS" w:hAnsi="Arial" w:cs="Arial"/>
          <w:b/>
          <w:color w:val="5B9BD5" w:themeColor="accent1"/>
          <w:sz w:val="24"/>
          <w:szCs w:val="24"/>
        </w:rPr>
      </w:pPr>
    </w:p>
    <w:p w:rsidR="00E03D8B" w:rsidRPr="00B66156" w:rsidRDefault="00E03D8B" w:rsidP="00E03D8B">
      <w:pPr>
        <w:spacing w:after="0"/>
        <w:ind w:left="360" w:firstLine="900"/>
        <w:jc w:val="both"/>
        <w:rPr>
          <w:rFonts w:ascii="Arial" w:eastAsia="Arial Unicode MS" w:hAnsi="Arial" w:cs="Arial"/>
          <w:b/>
          <w:color w:val="5B9BD5" w:themeColor="accent1"/>
          <w:sz w:val="24"/>
          <w:szCs w:val="24"/>
        </w:rPr>
      </w:pPr>
    </w:p>
    <w:p w:rsidR="00E03D8B" w:rsidRPr="00B66156" w:rsidRDefault="00E03D8B" w:rsidP="00E03D8B">
      <w:pPr>
        <w:spacing w:after="0"/>
        <w:ind w:left="360" w:firstLine="900"/>
        <w:jc w:val="both"/>
        <w:rPr>
          <w:rFonts w:ascii="Arial" w:eastAsia="Arial Unicode MS" w:hAnsi="Arial" w:cs="Arial"/>
          <w:b/>
          <w:color w:val="5B9BD5" w:themeColor="accent1"/>
          <w:sz w:val="24"/>
          <w:szCs w:val="24"/>
        </w:rPr>
      </w:pPr>
    </w:p>
    <w:tbl>
      <w:tblPr>
        <w:tblpPr w:leftFromText="141" w:rightFromText="141" w:bottomFromText="160" w:vertAnchor="text" w:horzAnchor="margin" w:tblpY="-386"/>
        <w:tblW w:w="9517" w:type="dxa"/>
        <w:tblLook w:val="01E0"/>
      </w:tblPr>
      <w:tblGrid>
        <w:gridCol w:w="4376"/>
        <w:gridCol w:w="86"/>
        <w:gridCol w:w="235"/>
        <w:gridCol w:w="4820"/>
      </w:tblGrid>
      <w:tr w:rsidR="00E03D8B" w:rsidRPr="00B66156" w:rsidTr="00B2386F">
        <w:trPr>
          <w:trHeight w:val="1690"/>
        </w:trPr>
        <w:tc>
          <w:tcPr>
            <w:tcW w:w="4462" w:type="dxa"/>
            <w:gridSpan w:val="2"/>
          </w:tcPr>
          <w:p w:rsidR="00E03D8B" w:rsidRPr="00B66156" w:rsidRDefault="00E03D8B" w:rsidP="00B2386F">
            <w:pPr>
              <w:spacing w:after="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        COMISIONADA </w:t>
            </w:r>
          </w:p>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p w:rsidR="00E03D8B" w:rsidRPr="00B66156" w:rsidRDefault="00E03D8B" w:rsidP="00B2386F">
            <w:pPr>
              <w:tabs>
                <w:tab w:val="left" w:pos="1358"/>
              </w:tabs>
              <w:spacing w:after="0"/>
              <w:ind w:firstLine="36"/>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MARIAJOSÉ </w:t>
            </w:r>
          </w:p>
          <w:p w:rsidR="00E03D8B" w:rsidRPr="00B66156" w:rsidRDefault="00E03D8B" w:rsidP="00B2386F">
            <w:pPr>
              <w:spacing w:after="0"/>
              <w:ind w:left="360" w:firstLine="36"/>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GONZÁLEZ ZARZOSA </w:t>
            </w:r>
          </w:p>
          <w:p w:rsidR="00E03D8B" w:rsidRPr="00B66156" w:rsidRDefault="00E03D8B" w:rsidP="00B2386F">
            <w:pPr>
              <w:pStyle w:val="Textonotapie"/>
              <w:ind w:right="-4077"/>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 </w:t>
            </w:r>
          </w:p>
        </w:tc>
        <w:tc>
          <w:tcPr>
            <w:tcW w:w="5055" w:type="dxa"/>
            <w:gridSpan w:val="2"/>
          </w:tcPr>
          <w:p w:rsidR="00E03D8B" w:rsidRPr="00B66156" w:rsidRDefault="00E03D8B" w:rsidP="00B2386F">
            <w:pPr>
              <w:spacing w:after="0"/>
              <w:ind w:left="360" w:firstLine="708"/>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              COMISIONADO </w:t>
            </w:r>
          </w:p>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p w:rsidR="00E03D8B" w:rsidRPr="00B66156" w:rsidRDefault="00E03D8B" w:rsidP="00B2386F">
            <w:pPr>
              <w:spacing w:after="0"/>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                     MTRO. ALEJANDRO </w:t>
            </w:r>
          </w:p>
          <w:p w:rsidR="00E03D8B" w:rsidRPr="00B66156" w:rsidRDefault="00E03D8B" w:rsidP="00B2386F">
            <w:pPr>
              <w:pStyle w:val="corte4fondo"/>
              <w:tabs>
                <w:tab w:val="left" w:pos="567"/>
              </w:tabs>
              <w:spacing w:line="276" w:lineRule="auto"/>
              <w:ind w:firstLine="0"/>
              <w:rPr>
                <w:rFonts w:cs="Arial"/>
                <w:i/>
                <w:color w:val="5B9BD5" w:themeColor="accent1"/>
                <w:sz w:val="10"/>
                <w:szCs w:val="10"/>
                <w:lang w:eastAsia="en-US"/>
              </w:rPr>
            </w:pPr>
            <w:r w:rsidRPr="00B66156">
              <w:rPr>
                <w:rFonts w:eastAsia="Arial Unicode MS" w:cs="Arial"/>
                <w:b/>
                <w:color w:val="5B9BD5" w:themeColor="accent1"/>
                <w:sz w:val="24"/>
                <w:szCs w:val="24"/>
                <w:lang w:eastAsia="en-US"/>
              </w:rPr>
              <w:t xml:space="preserve">                    LAFUENTE TORRES</w:t>
            </w:r>
          </w:p>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p w:rsidR="00E03D8B" w:rsidRPr="00B66156" w:rsidRDefault="00E03D8B" w:rsidP="00B2386F">
            <w:pPr>
              <w:pStyle w:val="corte4fondo"/>
              <w:tabs>
                <w:tab w:val="left" w:pos="567"/>
              </w:tabs>
              <w:spacing w:line="276" w:lineRule="auto"/>
              <w:ind w:firstLine="0"/>
              <w:rPr>
                <w:rFonts w:eastAsia="Arial Unicode MS" w:cs="Arial"/>
                <w:b/>
                <w:color w:val="5B9BD5" w:themeColor="accent1"/>
                <w:sz w:val="24"/>
                <w:szCs w:val="24"/>
                <w:lang w:eastAsia="en-US"/>
              </w:rPr>
            </w:pPr>
            <w:r w:rsidRPr="00B66156">
              <w:rPr>
                <w:rFonts w:eastAsia="Arial Unicode MS" w:cs="Arial"/>
                <w:b/>
                <w:color w:val="5B9BD5" w:themeColor="accent1"/>
                <w:sz w:val="24"/>
                <w:szCs w:val="24"/>
                <w:lang w:eastAsia="en-US"/>
              </w:rPr>
              <w:t xml:space="preserve">                                                                                                             </w:t>
            </w:r>
          </w:p>
          <w:p w:rsidR="00E03D8B" w:rsidRPr="00B66156" w:rsidRDefault="00E03D8B" w:rsidP="00B2386F">
            <w:pPr>
              <w:pStyle w:val="corte4fondo"/>
              <w:tabs>
                <w:tab w:val="left" w:pos="567"/>
              </w:tabs>
              <w:spacing w:line="276" w:lineRule="auto"/>
              <w:ind w:left="743" w:firstLine="0"/>
              <w:jc w:val="left"/>
              <w:rPr>
                <w:rFonts w:eastAsia="Arial Unicode MS" w:cs="Arial"/>
                <w:b/>
                <w:color w:val="5B9BD5" w:themeColor="accent1"/>
                <w:sz w:val="24"/>
                <w:szCs w:val="24"/>
                <w:lang w:eastAsia="en-US"/>
              </w:rPr>
            </w:pPr>
          </w:p>
          <w:p w:rsidR="00E03D8B" w:rsidRPr="00B66156" w:rsidRDefault="00E03D8B" w:rsidP="00B2386F">
            <w:pPr>
              <w:ind w:left="176"/>
              <w:rPr>
                <w:color w:val="5B9BD5" w:themeColor="accent1"/>
                <w:lang w:eastAsia="es-MX"/>
              </w:rPr>
            </w:pPr>
          </w:p>
        </w:tc>
      </w:tr>
      <w:tr w:rsidR="00E03D8B" w:rsidRPr="00B66156" w:rsidTr="00B2386F">
        <w:trPr>
          <w:trHeight w:val="1328"/>
        </w:trPr>
        <w:tc>
          <w:tcPr>
            <w:tcW w:w="4376" w:type="dxa"/>
          </w:tcPr>
          <w:p w:rsidR="00E03D8B" w:rsidRPr="00B66156" w:rsidRDefault="00E03D8B" w:rsidP="00B2386F">
            <w:pPr>
              <w:spacing w:after="0"/>
              <w:ind w:left="360" w:hanging="36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COMISIONADA PRESIDENTE</w:t>
            </w:r>
          </w:p>
          <w:p w:rsidR="00E03D8B" w:rsidRPr="00B66156" w:rsidRDefault="00E03D8B" w:rsidP="00B2386F">
            <w:pPr>
              <w:spacing w:after="0"/>
              <w:ind w:left="360"/>
              <w:rPr>
                <w:rFonts w:ascii="Arial" w:eastAsia="Arial Unicode MS" w:hAnsi="Arial" w:cs="Arial"/>
                <w:b/>
                <w:color w:val="5B9BD5" w:themeColor="accent1"/>
                <w:sz w:val="24"/>
                <w:szCs w:val="24"/>
              </w:rPr>
            </w:pPr>
          </w:p>
          <w:p w:rsidR="00E03D8B" w:rsidRPr="00B66156" w:rsidRDefault="00E03D8B" w:rsidP="00B2386F">
            <w:pPr>
              <w:spacing w:after="0"/>
              <w:ind w:left="360"/>
              <w:rPr>
                <w:rFonts w:ascii="Arial" w:eastAsia="Arial Unicode MS" w:hAnsi="Arial" w:cs="Arial"/>
                <w:b/>
                <w:color w:val="5B9BD5" w:themeColor="accent1"/>
                <w:sz w:val="24"/>
                <w:szCs w:val="24"/>
              </w:rPr>
            </w:pPr>
          </w:p>
          <w:p w:rsidR="00E03D8B" w:rsidRPr="00B66156" w:rsidRDefault="00E03D8B" w:rsidP="00B2386F">
            <w:pPr>
              <w:spacing w:after="0"/>
              <w:ind w:left="360"/>
              <w:rPr>
                <w:rFonts w:ascii="Arial" w:eastAsia="Arial Unicode MS" w:hAnsi="Arial" w:cs="Arial"/>
                <w:b/>
                <w:color w:val="5B9BD5" w:themeColor="accent1"/>
                <w:sz w:val="24"/>
                <w:szCs w:val="24"/>
              </w:rPr>
            </w:pPr>
          </w:p>
          <w:p w:rsidR="00E03D8B" w:rsidRPr="00B66156" w:rsidRDefault="00E03D8B" w:rsidP="00B2386F">
            <w:pPr>
              <w:spacing w:after="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LIC. PAULINA SÁNCHEZ </w:t>
            </w:r>
          </w:p>
          <w:p w:rsidR="00E03D8B" w:rsidRPr="00B66156" w:rsidRDefault="00E03D8B" w:rsidP="00B2386F">
            <w:pPr>
              <w:spacing w:after="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PÉREZ DEL POZO</w:t>
            </w:r>
          </w:p>
          <w:p w:rsidR="00E03D8B" w:rsidRPr="00B66156" w:rsidRDefault="00E03D8B" w:rsidP="00B2386F">
            <w:pPr>
              <w:spacing w:after="0"/>
              <w:ind w:left="360" w:firstLine="36"/>
              <w:jc w:val="center"/>
              <w:rPr>
                <w:rFonts w:ascii="Arial" w:eastAsia="Arial Unicode MS" w:hAnsi="Arial" w:cs="Arial"/>
                <w:b/>
                <w:color w:val="5B9BD5" w:themeColor="accent1"/>
                <w:sz w:val="24"/>
                <w:szCs w:val="24"/>
              </w:rPr>
            </w:pPr>
          </w:p>
        </w:tc>
        <w:tc>
          <w:tcPr>
            <w:tcW w:w="321" w:type="dxa"/>
            <w:gridSpan w:val="2"/>
          </w:tcPr>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tc>
        <w:tc>
          <w:tcPr>
            <w:tcW w:w="4820" w:type="dxa"/>
          </w:tcPr>
          <w:p w:rsidR="00E03D8B" w:rsidRPr="00B66156" w:rsidRDefault="00E03D8B" w:rsidP="00B2386F">
            <w:pPr>
              <w:spacing w:after="0"/>
              <w:ind w:left="360" w:firstLine="708"/>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SECRETARIA DE PLENO</w:t>
            </w:r>
          </w:p>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p w:rsidR="00E03D8B" w:rsidRPr="00B66156" w:rsidRDefault="00E03D8B" w:rsidP="00B2386F">
            <w:pPr>
              <w:spacing w:after="0"/>
              <w:ind w:left="360" w:firstLine="708"/>
              <w:jc w:val="center"/>
              <w:rPr>
                <w:rFonts w:ascii="Arial" w:eastAsia="Arial Unicode MS" w:hAnsi="Arial" w:cs="Arial"/>
                <w:b/>
                <w:color w:val="5B9BD5" w:themeColor="accent1"/>
                <w:sz w:val="24"/>
                <w:szCs w:val="24"/>
              </w:rPr>
            </w:pPr>
          </w:p>
          <w:p w:rsidR="00E03D8B" w:rsidRPr="00B66156" w:rsidRDefault="00E03D8B" w:rsidP="00B2386F">
            <w:pPr>
              <w:spacing w:after="0"/>
              <w:ind w:left="360" w:hanging="360"/>
              <w:jc w:val="center"/>
              <w:rPr>
                <w:rFonts w:ascii="Arial" w:eastAsia="Arial Unicode MS" w:hAnsi="Arial" w:cs="Arial"/>
                <w:b/>
                <w:color w:val="5B9BD5" w:themeColor="accent1"/>
                <w:sz w:val="24"/>
                <w:szCs w:val="24"/>
              </w:rPr>
            </w:pPr>
            <w:r w:rsidRPr="00B66156">
              <w:rPr>
                <w:rFonts w:ascii="Arial" w:eastAsia="Arial Unicode MS" w:hAnsi="Arial" w:cs="Arial"/>
                <w:b/>
                <w:color w:val="5B9BD5" w:themeColor="accent1"/>
                <w:sz w:val="24"/>
                <w:szCs w:val="24"/>
              </w:rPr>
              <w:t xml:space="preserve">LIC. ROSA MARÍA MOTILLA GARCÍA </w:t>
            </w:r>
          </w:p>
        </w:tc>
      </w:tr>
    </w:tbl>
    <w:p w:rsidR="00E03D8B" w:rsidRPr="00B66156" w:rsidRDefault="00E03D8B" w:rsidP="00E03D8B">
      <w:pPr>
        <w:pStyle w:val="corte4fondo"/>
        <w:tabs>
          <w:tab w:val="left" w:pos="567"/>
        </w:tabs>
        <w:spacing w:line="276" w:lineRule="auto"/>
        <w:ind w:firstLine="0"/>
        <w:rPr>
          <w:rFonts w:cs="Arial"/>
          <w:color w:val="5B9BD5" w:themeColor="accent1"/>
          <w:sz w:val="12"/>
          <w:szCs w:val="12"/>
        </w:rPr>
      </w:pPr>
    </w:p>
    <w:p w:rsidR="00E03D8B" w:rsidRPr="00B66156" w:rsidRDefault="00E03D8B" w:rsidP="00E03D8B">
      <w:pPr>
        <w:pStyle w:val="corte4fondo"/>
        <w:tabs>
          <w:tab w:val="left" w:pos="567"/>
        </w:tabs>
        <w:spacing w:line="276" w:lineRule="auto"/>
        <w:ind w:firstLine="0"/>
        <w:rPr>
          <w:rFonts w:cs="Arial"/>
          <w:color w:val="5B9BD5" w:themeColor="accent1"/>
          <w:sz w:val="12"/>
          <w:szCs w:val="12"/>
        </w:rPr>
      </w:pPr>
      <w:r w:rsidRPr="00B66156">
        <w:rPr>
          <w:rFonts w:cs="Arial"/>
          <w:color w:val="5B9BD5" w:themeColor="accent1"/>
          <w:sz w:val="12"/>
          <w:szCs w:val="12"/>
        </w:rPr>
        <w:t xml:space="preserve">*ESTAS FIRMAS PERTENECEN A LA RESOLUCIÓN DE LA REVISIÓN </w:t>
      </w:r>
      <w:r>
        <w:rPr>
          <w:rFonts w:cs="Arial"/>
          <w:color w:val="5B9BD5" w:themeColor="accent1"/>
          <w:sz w:val="12"/>
          <w:szCs w:val="12"/>
        </w:rPr>
        <w:t>671</w:t>
      </w:r>
      <w:r w:rsidRPr="00B66156">
        <w:rPr>
          <w:rFonts w:cs="Arial"/>
          <w:color w:val="5B9BD5" w:themeColor="accent1"/>
          <w:sz w:val="12"/>
          <w:szCs w:val="12"/>
        </w:rPr>
        <w:t>/201</w:t>
      </w:r>
      <w:r>
        <w:rPr>
          <w:rFonts w:cs="Arial"/>
          <w:color w:val="5B9BD5" w:themeColor="accent1"/>
          <w:sz w:val="12"/>
          <w:szCs w:val="12"/>
        </w:rPr>
        <w:t xml:space="preserve">9-2 QUE FUE INTERPUESTO CONTRA </w:t>
      </w:r>
      <w:r w:rsidRPr="00B66156">
        <w:rPr>
          <w:rFonts w:cs="Arial"/>
          <w:color w:val="5B9BD5" w:themeColor="accent1"/>
          <w:sz w:val="12"/>
          <w:szCs w:val="12"/>
        </w:rPr>
        <w:t xml:space="preserve">EL  H. AYUNTAMIENTO DE SAN LUIS POTOSÍ, Y QUE FUE APROBADA EN LA SESIÓN EXTRAORDINARIA DE 15  QUINCE  DE AGOSTO DE 2019 DOS MIL DIECINUEVE.             </w:t>
      </w:r>
    </w:p>
    <w:p w:rsidR="00E03D8B" w:rsidRPr="00B66156" w:rsidRDefault="00E03D8B" w:rsidP="00E03D8B">
      <w:pPr>
        <w:pStyle w:val="corte4fondo"/>
        <w:tabs>
          <w:tab w:val="left" w:pos="567"/>
        </w:tabs>
        <w:spacing w:line="276" w:lineRule="auto"/>
        <w:ind w:firstLine="0"/>
        <w:rPr>
          <w:rFonts w:cs="Arial"/>
          <w:color w:val="5B9BD5" w:themeColor="accent1"/>
          <w:sz w:val="12"/>
          <w:szCs w:val="12"/>
        </w:rPr>
      </w:pPr>
    </w:p>
    <w:p w:rsidR="00E03D8B" w:rsidRPr="00B66156" w:rsidRDefault="00E03D8B" w:rsidP="00E03D8B">
      <w:pPr>
        <w:pStyle w:val="corte4fondo"/>
        <w:tabs>
          <w:tab w:val="left" w:pos="567"/>
        </w:tabs>
        <w:spacing w:line="276" w:lineRule="auto"/>
        <w:ind w:firstLine="0"/>
        <w:rPr>
          <w:rFonts w:cs="Arial"/>
          <w:color w:val="5B9BD5" w:themeColor="accent1"/>
          <w:sz w:val="12"/>
          <w:szCs w:val="12"/>
        </w:rPr>
      </w:pPr>
    </w:p>
    <w:p w:rsidR="00E03D8B" w:rsidRPr="00B66156" w:rsidRDefault="00E03D8B" w:rsidP="00E03D8B">
      <w:pPr>
        <w:pStyle w:val="corte4fondo"/>
        <w:tabs>
          <w:tab w:val="left" w:pos="567"/>
        </w:tabs>
        <w:spacing w:line="276" w:lineRule="auto"/>
        <w:ind w:firstLine="0"/>
        <w:rPr>
          <w:rFonts w:cs="Arial"/>
          <w:color w:val="5B9BD5" w:themeColor="accent1"/>
          <w:sz w:val="14"/>
          <w:szCs w:val="16"/>
        </w:rPr>
      </w:pPr>
    </w:p>
    <w:p w:rsidR="00E03D8B" w:rsidRPr="00B66156" w:rsidRDefault="00E03D8B" w:rsidP="00E03D8B">
      <w:pPr>
        <w:pStyle w:val="corte4fondo"/>
        <w:tabs>
          <w:tab w:val="left" w:pos="567"/>
        </w:tabs>
        <w:spacing w:line="276" w:lineRule="auto"/>
        <w:ind w:firstLine="0"/>
        <w:rPr>
          <w:color w:val="5B9BD5" w:themeColor="accent1"/>
        </w:rPr>
      </w:pPr>
      <w:r w:rsidRPr="00B66156">
        <w:rPr>
          <w:rFonts w:cs="Arial"/>
          <w:i/>
          <w:color w:val="5B9BD5" w:themeColor="accent1"/>
          <w:sz w:val="10"/>
          <w:szCs w:val="10"/>
        </w:rPr>
        <w:t xml:space="preserve">*ECMG </w:t>
      </w:r>
    </w:p>
    <w:p w:rsidR="00E03D8B" w:rsidRPr="002868AD" w:rsidRDefault="00E03D8B" w:rsidP="00E03D8B">
      <w:pPr>
        <w:pStyle w:val="corte4fondo"/>
        <w:spacing w:line="276" w:lineRule="auto"/>
        <w:ind w:firstLine="0"/>
        <w:jc w:val="left"/>
        <w:rPr>
          <w:rFonts w:cs="Arial"/>
          <w:color w:val="2E74B5" w:themeColor="accent1" w:themeShade="BF"/>
          <w:sz w:val="24"/>
          <w:szCs w:val="24"/>
        </w:rPr>
      </w:pPr>
    </w:p>
    <w:p w:rsidR="00E03D8B" w:rsidRPr="002868AD" w:rsidRDefault="00E03D8B" w:rsidP="00E03D8B">
      <w:pPr>
        <w:pStyle w:val="corte4fondo"/>
        <w:spacing w:line="276" w:lineRule="auto"/>
        <w:ind w:firstLine="708"/>
        <w:rPr>
          <w:rFonts w:cs="Arial"/>
          <w:i/>
          <w:color w:val="2E74B5" w:themeColor="accent1" w:themeShade="BF"/>
          <w:sz w:val="20"/>
        </w:rPr>
      </w:pPr>
    </w:p>
    <w:p w:rsidR="00E03D8B" w:rsidRPr="002868AD" w:rsidRDefault="00E03D8B" w:rsidP="00E03D8B">
      <w:pPr>
        <w:pStyle w:val="corte4fondo"/>
        <w:spacing w:line="276" w:lineRule="auto"/>
        <w:ind w:firstLine="0"/>
        <w:rPr>
          <w:rFonts w:cs="Arial"/>
          <w:i/>
          <w:color w:val="2E74B5" w:themeColor="accent1" w:themeShade="BF"/>
          <w:sz w:val="20"/>
        </w:rPr>
      </w:pPr>
    </w:p>
    <w:p w:rsidR="00E03D8B" w:rsidRPr="002868AD" w:rsidRDefault="00E03D8B" w:rsidP="00E03D8B">
      <w:pPr>
        <w:pStyle w:val="corte4fondo"/>
        <w:spacing w:line="276" w:lineRule="auto"/>
        <w:ind w:firstLine="0"/>
        <w:rPr>
          <w:rFonts w:cs="Arial"/>
          <w:i/>
          <w:color w:val="2E74B5" w:themeColor="accent1" w:themeShade="BF"/>
          <w:sz w:val="20"/>
        </w:rPr>
      </w:pPr>
    </w:p>
    <w:p w:rsidR="00E03D8B" w:rsidRPr="002868AD" w:rsidRDefault="00E03D8B" w:rsidP="00E03D8B">
      <w:pPr>
        <w:pStyle w:val="corte4fondo"/>
        <w:spacing w:line="276" w:lineRule="auto"/>
        <w:ind w:firstLine="0"/>
        <w:jc w:val="left"/>
        <w:rPr>
          <w:rFonts w:cs="Arial"/>
          <w:color w:val="2E74B5" w:themeColor="accent1" w:themeShade="BF"/>
          <w:sz w:val="24"/>
          <w:szCs w:val="24"/>
        </w:rPr>
      </w:pPr>
    </w:p>
    <w:p w:rsidR="00E03D8B" w:rsidRDefault="00E03D8B" w:rsidP="00E03D8B"/>
    <w:p w:rsidR="00C225B3" w:rsidRPr="002868AD" w:rsidRDefault="00C225B3" w:rsidP="00C225B3">
      <w:pPr>
        <w:pStyle w:val="corte4fondo"/>
        <w:spacing w:line="276" w:lineRule="auto"/>
        <w:ind w:firstLine="0"/>
        <w:jc w:val="left"/>
        <w:rPr>
          <w:rFonts w:cs="Arial"/>
          <w:color w:val="2E74B5" w:themeColor="accent1" w:themeShade="BF"/>
          <w:sz w:val="24"/>
          <w:szCs w:val="24"/>
        </w:rPr>
      </w:pPr>
    </w:p>
    <w:sectPr w:rsidR="00C225B3" w:rsidRPr="002868AD" w:rsidSect="009830A4">
      <w:headerReference w:type="default" r:id="rId10"/>
      <w:footerReference w:type="default" r:id="rId11"/>
      <w:pgSz w:w="12240" w:h="20160"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00BD" w:rsidRDefault="00C400BD" w:rsidP="00C225B3">
      <w:pPr>
        <w:spacing w:after="0" w:line="240" w:lineRule="auto"/>
      </w:pPr>
      <w:r>
        <w:separator/>
      </w:r>
    </w:p>
  </w:endnote>
  <w:endnote w:type="continuationSeparator" w:id="0">
    <w:p w:rsidR="00C400BD" w:rsidRDefault="00C400BD" w:rsidP="00C225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0A4" w:rsidRDefault="00C400BD" w:rsidP="009830A4">
    <w:pPr>
      <w:pStyle w:val="Piedepgina"/>
    </w:pPr>
  </w:p>
  <w:p w:rsidR="009830A4" w:rsidRDefault="00C400B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00BD" w:rsidRDefault="00C400BD" w:rsidP="00C225B3">
      <w:pPr>
        <w:spacing w:after="0" w:line="240" w:lineRule="auto"/>
      </w:pPr>
      <w:r>
        <w:separator/>
      </w:r>
    </w:p>
  </w:footnote>
  <w:footnote w:type="continuationSeparator" w:id="0">
    <w:p w:rsidR="00C400BD" w:rsidRDefault="00C400BD" w:rsidP="00C225B3">
      <w:pPr>
        <w:spacing w:after="0" w:line="240" w:lineRule="auto"/>
      </w:pPr>
      <w:r>
        <w:continuationSeparator/>
      </w:r>
    </w:p>
  </w:footnote>
  <w:footnote w:id="1">
    <w:p w:rsidR="00E03D8B" w:rsidRPr="00E03D8B" w:rsidRDefault="00E03D8B">
      <w:pPr>
        <w:pStyle w:val="Textonotapie"/>
        <w:rPr>
          <w:color w:val="2E74B5" w:themeColor="accent1" w:themeShade="BF"/>
        </w:rPr>
      </w:pPr>
      <w:r w:rsidRPr="00E03D8B">
        <w:rPr>
          <w:rStyle w:val="Refdenotaalpie"/>
          <w:color w:val="2E74B5" w:themeColor="accent1" w:themeShade="BF"/>
          <w:sz w:val="16"/>
        </w:rPr>
        <w:footnoteRef/>
      </w:r>
      <w:r w:rsidRPr="00E03D8B">
        <w:rPr>
          <w:color w:val="2E74B5" w:themeColor="accent1" w:themeShade="BF"/>
          <w:sz w:val="16"/>
        </w:rPr>
        <w:t xml:space="preserve"> Visible a foja 18 de autos</w:t>
      </w:r>
    </w:p>
  </w:footnote>
  <w:footnote w:id="2">
    <w:p w:rsidR="00E03D8B" w:rsidRPr="00E03D8B" w:rsidRDefault="00E03D8B">
      <w:pPr>
        <w:pStyle w:val="Textonotapie"/>
        <w:rPr>
          <w:color w:val="2E74B5" w:themeColor="accent1" w:themeShade="BF"/>
        </w:rPr>
      </w:pPr>
      <w:r w:rsidRPr="00E03D8B">
        <w:rPr>
          <w:rStyle w:val="Refdenotaalpie"/>
          <w:color w:val="2E74B5" w:themeColor="accent1" w:themeShade="BF"/>
          <w:sz w:val="16"/>
        </w:rPr>
        <w:footnoteRef/>
      </w:r>
      <w:r w:rsidRPr="00E03D8B">
        <w:rPr>
          <w:color w:val="2E74B5" w:themeColor="accent1" w:themeShade="BF"/>
          <w:sz w:val="16"/>
        </w:rPr>
        <w:t xml:space="preserve"> Visible a foja</w:t>
      </w:r>
      <w:r w:rsidR="00A624ED">
        <w:rPr>
          <w:color w:val="2E74B5" w:themeColor="accent1" w:themeShade="BF"/>
          <w:sz w:val="16"/>
        </w:rPr>
        <w:t>s</w:t>
      </w:r>
      <w:r w:rsidR="007112C5">
        <w:rPr>
          <w:color w:val="2E74B5" w:themeColor="accent1" w:themeShade="BF"/>
          <w:sz w:val="16"/>
        </w:rPr>
        <w:t xml:space="preserve"> 23</w:t>
      </w:r>
      <w:r w:rsidR="00A624ED">
        <w:rPr>
          <w:color w:val="2E74B5" w:themeColor="accent1" w:themeShade="BF"/>
          <w:sz w:val="16"/>
        </w:rPr>
        <w:t>,24 y 25</w:t>
      </w:r>
      <w:r w:rsidR="007112C5">
        <w:rPr>
          <w:color w:val="2E74B5" w:themeColor="accent1" w:themeShade="BF"/>
          <w:sz w:val="16"/>
        </w:rPr>
        <w:t xml:space="preserve"> </w:t>
      </w:r>
      <w:r w:rsidRPr="00E03D8B">
        <w:rPr>
          <w:color w:val="2E74B5" w:themeColor="accent1" w:themeShade="BF"/>
          <w:sz w:val="16"/>
        </w:rPr>
        <w:t xml:space="preserve"> de autos</w:t>
      </w:r>
    </w:p>
  </w:footnote>
  <w:footnote w:id="3">
    <w:p w:rsidR="00E03D8B" w:rsidRPr="00E13C2B" w:rsidRDefault="00E03D8B" w:rsidP="00E03D8B">
      <w:pPr>
        <w:pStyle w:val="corte4fondo"/>
        <w:spacing w:line="240" w:lineRule="auto"/>
        <w:ind w:right="49" w:firstLine="0"/>
        <w:rPr>
          <w:rFonts w:cs="Arial"/>
          <w:color w:val="5B9BD5" w:themeColor="accent1"/>
          <w:sz w:val="24"/>
          <w:szCs w:val="24"/>
        </w:rPr>
      </w:pPr>
      <w:r w:rsidRPr="00E13C2B">
        <w:rPr>
          <w:rStyle w:val="Refdenotaalpie"/>
          <w:color w:val="5B9BD5" w:themeColor="accent1"/>
          <w:sz w:val="16"/>
          <w:szCs w:val="16"/>
        </w:rPr>
        <w:footnoteRef/>
      </w:r>
      <w:r w:rsidRPr="00E13C2B">
        <w:rPr>
          <w:color w:val="5B9BD5" w:themeColor="accent1"/>
          <w:sz w:val="16"/>
          <w:szCs w:val="16"/>
        </w:rPr>
        <w:t xml:space="preserve"> </w:t>
      </w:r>
      <w:r w:rsidRPr="00E13C2B">
        <w:rPr>
          <w:rFonts w:cs="Arial"/>
          <w:color w:val="5B9BD5" w:themeColor="accent1"/>
          <w:sz w:val="16"/>
          <w:szCs w:val="16"/>
        </w:rPr>
        <w:t>Jurisprudencia número I.10o.A.79 A (10a.), visible en la Décima Época, de la Gaceta del Semanario Judicial de la Federación, Libro 60, Noviembre de 2018, Tomo III, p. 2318. Instancia: Tribunales Colegiados de Circuito, con Registro electrónico: 180023.</w:t>
      </w:r>
    </w:p>
  </w:footnote>
  <w:footnote w:id="4">
    <w:p w:rsidR="00E03D8B" w:rsidRPr="008345BB" w:rsidRDefault="00E03D8B" w:rsidP="00E03D8B">
      <w:pPr>
        <w:pStyle w:val="Textonotapie"/>
        <w:jc w:val="both"/>
        <w:rPr>
          <w:rFonts w:ascii="Arial" w:hAnsi="Arial" w:cs="Arial"/>
          <w:color w:val="5B9BD5" w:themeColor="accent1"/>
          <w:sz w:val="14"/>
          <w:szCs w:val="14"/>
        </w:rPr>
      </w:pPr>
      <w:r w:rsidRPr="008345BB">
        <w:rPr>
          <w:rStyle w:val="Refdenotaalpie"/>
          <w:rFonts w:cs="Arial"/>
          <w:color w:val="5B9BD5" w:themeColor="accent1"/>
          <w:sz w:val="14"/>
          <w:szCs w:val="14"/>
        </w:rPr>
        <w:footnoteRef/>
      </w:r>
      <w:r w:rsidRPr="008345BB">
        <w:rPr>
          <w:rFonts w:ascii="Arial" w:hAnsi="Arial" w:cs="Arial"/>
          <w:color w:val="5B9BD5" w:themeColor="accent1"/>
          <w:sz w:val="14"/>
          <w:szCs w:val="14"/>
        </w:rPr>
        <w:t xml:space="preserve"> </w:t>
      </w:r>
      <w:r w:rsidRPr="008345BB">
        <w:rPr>
          <w:rFonts w:ascii="Arial" w:hAnsi="Arial" w:cs="Arial"/>
          <w:b/>
          <w:bCs/>
          <w:color w:val="5B9BD5" w:themeColor="accent1"/>
          <w:sz w:val="14"/>
          <w:szCs w:val="14"/>
        </w:rPr>
        <w:t xml:space="preserve">ARTICULO 7. </w:t>
      </w:r>
      <w:r w:rsidRPr="008345BB">
        <w:rPr>
          <w:rFonts w:ascii="Arial" w:hAnsi="Arial" w:cs="Arial"/>
          <w:color w:val="5B9BD5" w:themeColor="accent1"/>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5">
    <w:p w:rsidR="00E03D8B" w:rsidRPr="008345BB" w:rsidRDefault="00E03D8B" w:rsidP="00E03D8B">
      <w:pPr>
        <w:pStyle w:val="corte4fondo"/>
        <w:tabs>
          <w:tab w:val="left" w:pos="567"/>
        </w:tabs>
        <w:spacing w:line="276" w:lineRule="auto"/>
        <w:ind w:firstLine="0"/>
        <w:rPr>
          <w:rFonts w:cs="Arial"/>
          <w:color w:val="5B9BD5" w:themeColor="accent1"/>
          <w:sz w:val="14"/>
          <w:szCs w:val="14"/>
        </w:rPr>
      </w:pPr>
      <w:r w:rsidRPr="008345BB">
        <w:rPr>
          <w:rStyle w:val="Refdenotaalpie"/>
          <w:rFonts w:eastAsia="Calibri"/>
          <w:color w:val="5B9BD5" w:themeColor="accent1"/>
          <w:sz w:val="14"/>
          <w:szCs w:val="14"/>
        </w:rPr>
        <w:footnoteRef/>
      </w:r>
      <w:r w:rsidRPr="008345BB">
        <w:rPr>
          <w:color w:val="5B9BD5" w:themeColor="accent1"/>
          <w:sz w:val="14"/>
          <w:szCs w:val="14"/>
        </w:rPr>
        <w:t xml:space="preserve"> </w:t>
      </w:r>
      <w:r w:rsidRPr="008345BB">
        <w:rPr>
          <w:rFonts w:cs="Arial"/>
          <w:b/>
          <w:color w:val="5B9BD5" w:themeColor="accent1"/>
          <w:sz w:val="14"/>
          <w:szCs w:val="14"/>
        </w:rPr>
        <w:t>ARTÍCULO 165.</w:t>
      </w:r>
      <w:r w:rsidRPr="008345BB">
        <w:rPr>
          <w:rFonts w:cs="Arial"/>
          <w:color w:val="5B9BD5" w:themeColor="accent1"/>
          <w:sz w:val="14"/>
          <w:szCs w:val="14"/>
        </w:rPr>
        <w:t xml:space="preserve">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E03D8B" w:rsidRPr="008345BB" w:rsidRDefault="00E03D8B" w:rsidP="00E03D8B">
      <w:pPr>
        <w:pStyle w:val="corte4fondo"/>
        <w:tabs>
          <w:tab w:val="left" w:pos="567"/>
        </w:tabs>
        <w:spacing w:line="276" w:lineRule="auto"/>
        <w:ind w:firstLine="0"/>
        <w:rPr>
          <w:rFonts w:cs="Arial"/>
          <w:color w:val="5B9BD5" w:themeColor="accent1"/>
          <w:sz w:val="16"/>
          <w:szCs w:val="16"/>
        </w:rPr>
      </w:pPr>
      <w:r w:rsidRPr="008345BB">
        <w:rPr>
          <w:rFonts w:cs="Arial"/>
          <w:color w:val="5B9BD5" w:themeColor="accent1"/>
          <w:sz w:val="14"/>
          <w:szCs w:val="14"/>
        </w:rPr>
        <w:t>Ante la falta de respuesta a una solicitud en el plazo previsto y en caso de que proceda el acceso, los costos de reproducción y envío correrán a cargo del sujeto obligado.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9618154"/>
      <w:docPartObj>
        <w:docPartGallery w:val="Page Numbers (Top of Page)"/>
        <w:docPartUnique/>
      </w:docPartObj>
    </w:sdtPr>
    <w:sdtContent>
      <w:p w:rsidR="009830A4" w:rsidRDefault="00D21B00">
        <w:pPr>
          <w:pStyle w:val="Encabezado"/>
          <w:jc w:val="center"/>
        </w:pPr>
        <w:r>
          <w:fldChar w:fldCharType="begin"/>
        </w:r>
        <w:r w:rsidR="004F013F">
          <w:instrText>PAGE   \* MERGEFORMAT</w:instrText>
        </w:r>
        <w:r>
          <w:fldChar w:fldCharType="separate"/>
        </w:r>
        <w:r w:rsidR="001A422D" w:rsidRPr="001A422D">
          <w:rPr>
            <w:noProof/>
            <w:lang w:val="es-ES"/>
          </w:rPr>
          <w:t>2</w:t>
        </w:r>
        <w:r>
          <w:fldChar w:fldCharType="end"/>
        </w:r>
      </w:p>
    </w:sdtContent>
  </w:sdt>
  <w:p w:rsidR="009830A4" w:rsidRDefault="00C400BD">
    <w:pPr>
      <w:pStyle w:val="Encabezado"/>
    </w:pPr>
  </w:p>
  <w:p w:rsidR="009830A4" w:rsidRDefault="00C400BD">
    <w:pPr>
      <w:pStyle w:val="Encabezado"/>
    </w:pPr>
  </w:p>
  <w:p w:rsidR="009830A4" w:rsidRDefault="00C400BD">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99B09D7"/>
    <w:multiLevelType w:val="hybridMultilevel"/>
    <w:tmpl w:val="5AF034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32205FB"/>
    <w:multiLevelType w:val="hybridMultilevel"/>
    <w:tmpl w:val="0B3668CA"/>
    <w:lvl w:ilvl="0" w:tplc="FF8EAE58">
      <w:start w:val="1"/>
      <w:numFmt w:val="upperRoman"/>
      <w:lvlText w:val="%1."/>
      <w:lvlJc w:val="left"/>
      <w:pPr>
        <w:ind w:left="1571" w:hanging="72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4">
    <w:nsid w:val="2D820CD2"/>
    <w:multiLevelType w:val="hybridMultilevel"/>
    <w:tmpl w:val="54F8228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2E924423"/>
    <w:multiLevelType w:val="hybridMultilevel"/>
    <w:tmpl w:val="C36CBFA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6">
    <w:nsid w:val="2F045CA5"/>
    <w:multiLevelType w:val="hybridMultilevel"/>
    <w:tmpl w:val="87E4BA20"/>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7">
    <w:nsid w:val="3268012D"/>
    <w:multiLevelType w:val="hybridMultilevel"/>
    <w:tmpl w:val="5B149A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75042ED"/>
    <w:multiLevelType w:val="hybridMultilevel"/>
    <w:tmpl w:val="74045FCA"/>
    <w:lvl w:ilvl="0" w:tplc="080A0017">
      <w:start w:val="1"/>
      <w:numFmt w:val="lowerLetter"/>
      <w:lvlText w:val="%1)"/>
      <w:lvlJc w:val="left"/>
      <w:pPr>
        <w:ind w:left="1290" w:hanging="360"/>
      </w:pPr>
    </w:lvl>
    <w:lvl w:ilvl="1" w:tplc="080A0019" w:tentative="1">
      <w:start w:val="1"/>
      <w:numFmt w:val="lowerLetter"/>
      <w:lvlText w:val="%2."/>
      <w:lvlJc w:val="left"/>
      <w:pPr>
        <w:ind w:left="2010" w:hanging="360"/>
      </w:pPr>
    </w:lvl>
    <w:lvl w:ilvl="2" w:tplc="080A001B" w:tentative="1">
      <w:start w:val="1"/>
      <w:numFmt w:val="lowerRoman"/>
      <w:lvlText w:val="%3."/>
      <w:lvlJc w:val="right"/>
      <w:pPr>
        <w:ind w:left="2730" w:hanging="180"/>
      </w:pPr>
    </w:lvl>
    <w:lvl w:ilvl="3" w:tplc="080A000F" w:tentative="1">
      <w:start w:val="1"/>
      <w:numFmt w:val="decimal"/>
      <w:lvlText w:val="%4."/>
      <w:lvlJc w:val="left"/>
      <w:pPr>
        <w:ind w:left="3450" w:hanging="360"/>
      </w:pPr>
    </w:lvl>
    <w:lvl w:ilvl="4" w:tplc="080A0019" w:tentative="1">
      <w:start w:val="1"/>
      <w:numFmt w:val="lowerLetter"/>
      <w:lvlText w:val="%5."/>
      <w:lvlJc w:val="left"/>
      <w:pPr>
        <w:ind w:left="4170" w:hanging="360"/>
      </w:pPr>
    </w:lvl>
    <w:lvl w:ilvl="5" w:tplc="080A001B" w:tentative="1">
      <w:start w:val="1"/>
      <w:numFmt w:val="lowerRoman"/>
      <w:lvlText w:val="%6."/>
      <w:lvlJc w:val="right"/>
      <w:pPr>
        <w:ind w:left="4890" w:hanging="180"/>
      </w:pPr>
    </w:lvl>
    <w:lvl w:ilvl="6" w:tplc="080A000F" w:tentative="1">
      <w:start w:val="1"/>
      <w:numFmt w:val="decimal"/>
      <w:lvlText w:val="%7."/>
      <w:lvlJc w:val="left"/>
      <w:pPr>
        <w:ind w:left="5610" w:hanging="360"/>
      </w:pPr>
    </w:lvl>
    <w:lvl w:ilvl="7" w:tplc="080A0019" w:tentative="1">
      <w:start w:val="1"/>
      <w:numFmt w:val="lowerLetter"/>
      <w:lvlText w:val="%8."/>
      <w:lvlJc w:val="left"/>
      <w:pPr>
        <w:ind w:left="6330" w:hanging="360"/>
      </w:pPr>
    </w:lvl>
    <w:lvl w:ilvl="8" w:tplc="080A001B" w:tentative="1">
      <w:start w:val="1"/>
      <w:numFmt w:val="lowerRoman"/>
      <w:lvlText w:val="%9."/>
      <w:lvlJc w:val="right"/>
      <w:pPr>
        <w:ind w:left="7050" w:hanging="180"/>
      </w:pPr>
    </w:lvl>
  </w:abstractNum>
  <w:abstractNum w:abstractNumId="9">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nsid w:val="52D04166"/>
    <w:multiLevelType w:val="hybridMultilevel"/>
    <w:tmpl w:val="476451E6"/>
    <w:lvl w:ilvl="0" w:tplc="080A0001">
      <w:start w:val="1"/>
      <w:numFmt w:val="bullet"/>
      <w:lvlText w:val=""/>
      <w:lvlJc w:val="left"/>
      <w:pPr>
        <w:ind w:left="1492" w:hanging="360"/>
      </w:pPr>
      <w:rPr>
        <w:rFonts w:ascii="Symbol" w:hAnsi="Symbol" w:hint="default"/>
      </w:rPr>
    </w:lvl>
    <w:lvl w:ilvl="1" w:tplc="080A0003" w:tentative="1">
      <w:start w:val="1"/>
      <w:numFmt w:val="bullet"/>
      <w:lvlText w:val="o"/>
      <w:lvlJc w:val="left"/>
      <w:pPr>
        <w:ind w:left="2212" w:hanging="360"/>
      </w:pPr>
      <w:rPr>
        <w:rFonts w:ascii="Courier New" w:hAnsi="Courier New" w:cs="Courier New" w:hint="default"/>
      </w:rPr>
    </w:lvl>
    <w:lvl w:ilvl="2" w:tplc="080A0005" w:tentative="1">
      <w:start w:val="1"/>
      <w:numFmt w:val="bullet"/>
      <w:lvlText w:val=""/>
      <w:lvlJc w:val="left"/>
      <w:pPr>
        <w:ind w:left="2932" w:hanging="360"/>
      </w:pPr>
      <w:rPr>
        <w:rFonts w:ascii="Wingdings" w:hAnsi="Wingdings" w:hint="default"/>
      </w:rPr>
    </w:lvl>
    <w:lvl w:ilvl="3" w:tplc="080A0001" w:tentative="1">
      <w:start w:val="1"/>
      <w:numFmt w:val="bullet"/>
      <w:lvlText w:val=""/>
      <w:lvlJc w:val="left"/>
      <w:pPr>
        <w:ind w:left="3652" w:hanging="360"/>
      </w:pPr>
      <w:rPr>
        <w:rFonts w:ascii="Symbol" w:hAnsi="Symbol" w:hint="default"/>
      </w:rPr>
    </w:lvl>
    <w:lvl w:ilvl="4" w:tplc="080A0003" w:tentative="1">
      <w:start w:val="1"/>
      <w:numFmt w:val="bullet"/>
      <w:lvlText w:val="o"/>
      <w:lvlJc w:val="left"/>
      <w:pPr>
        <w:ind w:left="4372" w:hanging="360"/>
      </w:pPr>
      <w:rPr>
        <w:rFonts w:ascii="Courier New" w:hAnsi="Courier New" w:cs="Courier New" w:hint="default"/>
      </w:rPr>
    </w:lvl>
    <w:lvl w:ilvl="5" w:tplc="080A0005" w:tentative="1">
      <w:start w:val="1"/>
      <w:numFmt w:val="bullet"/>
      <w:lvlText w:val=""/>
      <w:lvlJc w:val="left"/>
      <w:pPr>
        <w:ind w:left="5092" w:hanging="360"/>
      </w:pPr>
      <w:rPr>
        <w:rFonts w:ascii="Wingdings" w:hAnsi="Wingdings" w:hint="default"/>
      </w:rPr>
    </w:lvl>
    <w:lvl w:ilvl="6" w:tplc="080A0001" w:tentative="1">
      <w:start w:val="1"/>
      <w:numFmt w:val="bullet"/>
      <w:lvlText w:val=""/>
      <w:lvlJc w:val="left"/>
      <w:pPr>
        <w:ind w:left="5812" w:hanging="360"/>
      </w:pPr>
      <w:rPr>
        <w:rFonts w:ascii="Symbol" w:hAnsi="Symbol" w:hint="default"/>
      </w:rPr>
    </w:lvl>
    <w:lvl w:ilvl="7" w:tplc="080A0003" w:tentative="1">
      <w:start w:val="1"/>
      <w:numFmt w:val="bullet"/>
      <w:lvlText w:val="o"/>
      <w:lvlJc w:val="left"/>
      <w:pPr>
        <w:ind w:left="6532" w:hanging="360"/>
      </w:pPr>
      <w:rPr>
        <w:rFonts w:ascii="Courier New" w:hAnsi="Courier New" w:cs="Courier New" w:hint="default"/>
      </w:rPr>
    </w:lvl>
    <w:lvl w:ilvl="8" w:tplc="080A0005" w:tentative="1">
      <w:start w:val="1"/>
      <w:numFmt w:val="bullet"/>
      <w:lvlText w:val=""/>
      <w:lvlJc w:val="left"/>
      <w:pPr>
        <w:ind w:left="7252" w:hanging="360"/>
      </w:pPr>
      <w:rPr>
        <w:rFonts w:ascii="Wingdings" w:hAnsi="Wingdings" w:hint="default"/>
      </w:rPr>
    </w:lvl>
  </w:abstractNum>
  <w:abstractNum w:abstractNumId="12">
    <w:nsid w:val="5E372215"/>
    <w:multiLevelType w:val="hybridMultilevel"/>
    <w:tmpl w:val="611E23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559581D"/>
    <w:multiLevelType w:val="hybridMultilevel"/>
    <w:tmpl w:val="B21A169C"/>
    <w:lvl w:ilvl="0" w:tplc="08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15">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0"/>
  </w:num>
  <w:num w:numId="2">
    <w:abstractNumId w:val="4"/>
  </w:num>
  <w:num w:numId="3">
    <w:abstractNumId w:val="0"/>
  </w:num>
  <w:num w:numId="4">
    <w:abstractNumId w:val="15"/>
  </w:num>
  <w:num w:numId="5">
    <w:abstractNumId w:val="5"/>
  </w:num>
  <w:num w:numId="6">
    <w:abstractNumId w:val="11"/>
  </w:num>
  <w:num w:numId="7">
    <w:abstractNumId w:val="13"/>
  </w:num>
  <w:num w:numId="8">
    <w:abstractNumId w:val="8"/>
  </w:num>
  <w:num w:numId="9">
    <w:abstractNumId w:val="6"/>
  </w:num>
  <w:num w:numId="10">
    <w:abstractNumId w:val="2"/>
  </w:num>
  <w:num w:numId="11">
    <w:abstractNumId w:val="12"/>
  </w:num>
  <w:num w:numId="12">
    <w:abstractNumId w:val="9"/>
  </w:num>
  <w:num w:numId="13">
    <w:abstractNumId w:val="14"/>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C225B3"/>
    <w:rsid w:val="001A422D"/>
    <w:rsid w:val="001A7D8F"/>
    <w:rsid w:val="001B21C6"/>
    <w:rsid w:val="00205A89"/>
    <w:rsid w:val="00237509"/>
    <w:rsid w:val="002E5E64"/>
    <w:rsid w:val="004F013F"/>
    <w:rsid w:val="006216C1"/>
    <w:rsid w:val="0065193C"/>
    <w:rsid w:val="006A363F"/>
    <w:rsid w:val="007076CE"/>
    <w:rsid w:val="007112C5"/>
    <w:rsid w:val="0084075B"/>
    <w:rsid w:val="0085347B"/>
    <w:rsid w:val="009C0B5B"/>
    <w:rsid w:val="00A624ED"/>
    <w:rsid w:val="00B873EF"/>
    <w:rsid w:val="00BC2A0E"/>
    <w:rsid w:val="00C065F7"/>
    <w:rsid w:val="00C225B3"/>
    <w:rsid w:val="00C400BD"/>
    <w:rsid w:val="00D00578"/>
    <w:rsid w:val="00D0411C"/>
    <w:rsid w:val="00D21B00"/>
    <w:rsid w:val="00E03D8B"/>
    <w:rsid w:val="00E26957"/>
    <w:rsid w:val="00F34F01"/>
    <w:rsid w:val="00F500EA"/>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5B3"/>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C225B3"/>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C225B3"/>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C225B3"/>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C225B3"/>
    <w:rPr>
      <w:rFonts w:ascii="Arial" w:eastAsia="Times New Roman" w:hAnsi="Arial" w:cs="Times New Roman"/>
      <w:b/>
      <w:caps/>
      <w:sz w:val="30"/>
      <w:szCs w:val="20"/>
      <w:lang w:eastAsia="es-MX"/>
    </w:rPr>
  </w:style>
  <w:style w:type="character" w:customStyle="1" w:styleId="corte4fondoCar1">
    <w:name w:val="corte4 fondo Car1"/>
    <w:link w:val="corte4fondo"/>
    <w:rsid w:val="00C225B3"/>
    <w:rPr>
      <w:rFonts w:ascii="Arial" w:eastAsia="Times New Roman" w:hAnsi="Arial" w:cs="Times New Roman"/>
      <w:sz w:val="30"/>
      <w:szCs w:val="20"/>
      <w:lang w:eastAsia="es-MX"/>
    </w:rPr>
  </w:style>
  <w:style w:type="character" w:customStyle="1" w:styleId="corte1datosCar">
    <w:name w:val="corte1 datos Car"/>
    <w:link w:val="corte1datos"/>
    <w:rsid w:val="00C225B3"/>
    <w:rPr>
      <w:rFonts w:ascii="Arial" w:eastAsia="Times New Roman" w:hAnsi="Arial" w:cs="Times New Roman"/>
      <w:b/>
      <w:caps/>
      <w:sz w:val="30"/>
      <w:szCs w:val="20"/>
      <w:lang w:eastAsia="es-MX"/>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C225B3"/>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C225B3"/>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C225B3"/>
    <w:rPr>
      <w:rFonts w:ascii="Calibri" w:eastAsia="Calibri" w:hAnsi="Calibri" w:cs="Times New Roman"/>
      <w:sz w:val="20"/>
      <w:szCs w:val="20"/>
    </w:rPr>
  </w:style>
  <w:style w:type="paragraph" w:styleId="NormalWeb">
    <w:name w:val="Normal (Web)"/>
    <w:basedOn w:val="Normal"/>
    <w:uiPriority w:val="99"/>
    <w:rsid w:val="00C225B3"/>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Encabezado">
    <w:name w:val="header"/>
    <w:basedOn w:val="Normal"/>
    <w:link w:val="EncabezadoCar"/>
    <w:uiPriority w:val="99"/>
    <w:unhideWhenUsed/>
    <w:rsid w:val="00C225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225B3"/>
    <w:rPr>
      <w:rFonts w:ascii="Calibri" w:eastAsia="Calibri" w:hAnsi="Calibri" w:cs="Times New Roman"/>
    </w:rPr>
  </w:style>
  <w:style w:type="paragraph" w:styleId="Piedepgina">
    <w:name w:val="footer"/>
    <w:basedOn w:val="Normal"/>
    <w:link w:val="PiedepginaCar"/>
    <w:uiPriority w:val="99"/>
    <w:unhideWhenUsed/>
    <w:rsid w:val="00C225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225B3"/>
    <w:rPr>
      <w:rFonts w:ascii="Calibri" w:eastAsia="Calibri" w:hAnsi="Calibri" w:cs="Times New Roman"/>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C225B3"/>
    <w:pPr>
      <w:ind w:left="720"/>
      <w:contextualSpacing/>
    </w:pPr>
  </w:style>
  <w:style w:type="paragraph" w:styleId="Textoindependiente">
    <w:name w:val="Body Text"/>
    <w:basedOn w:val="Normal"/>
    <w:link w:val="TextoindependienteCar"/>
    <w:uiPriority w:val="99"/>
    <w:semiHidden/>
    <w:unhideWhenUsed/>
    <w:rsid w:val="00C225B3"/>
    <w:pPr>
      <w:spacing w:after="120"/>
    </w:pPr>
  </w:style>
  <w:style w:type="character" w:customStyle="1" w:styleId="TextoindependienteCar">
    <w:name w:val="Texto independiente Car"/>
    <w:basedOn w:val="Fuentedeprrafopredeter"/>
    <w:link w:val="Textoindependiente"/>
    <w:uiPriority w:val="99"/>
    <w:semiHidden/>
    <w:rsid w:val="00C225B3"/>
    <w:rPr>
      <w:rFonts w:ascii="Calibri" w:eastAsia="Calibri" w:hAnsi="Calibri" w:cs="Times New Roman"/>
    </w:rPr>
  </w:style>
  <w:style w:type="paragraph" w:styleId="Textoindependienteprimerasangra">
    <w:name w:val="Body Text First Indent"/>
    <w:basedOn w:val="Textoindependiente"/>
    <w:link w:val="TextoindependienteprimerasangraCar"/>
    <w:rsid w:val="00C225B3"/>
    <w:pPr>
      <w:spacing w:line="360" w:lineRule="auto"/>
      <w:ind w:firstLine="210"/>
      <w:jc w:val="both"/>
    </w:pPr>
    <w:rPr>
      <w:rFonts w:asciiTheme="minorHAnsi" w:eastAsia="Times New Roman" w:hAnsiTheme="minorHAnsi"/>
      <w:sz w:val="26"/>
      <w:szCs w:val="24"/>
      <w:lang w:val="es-ES" w:eastAsia="es-ES"/>
    </w:rPr>
  </w:style>
  <w:style w:type="character" w:customStyle="1" w:styleId="TextoindependienteprimerasangraCar">
    <w:name w:val="Texto independiente primera sangría Car"/>
    <w:basedOn w:val="TextoindependienteCar"/>
    <w:link w:val="Textoindependienteprimerasangra"/>
    <w:rsid w:val="00C225B3"/>
    <w:rPr>
      <w:rFonts w:ascii="Calibri" w:eastAsia="Times New Roman" w:hAnsi="Calibri" w:cs="Times New Roman"/>
      <w:sz w:val="26"/>
      <w:szCs w:val="24"/>
      <w:lang w:val="es-ES" w:eastAsia="es-ES"/>
    </w:rPr>
  </w:style>
  <w:style w:type="paragraph" w:styleId="Textodeglobo">
    <w:name w:val="Balloon Text"/>
    <w:basedOn w:val="Normal"/>
    <w:link w:val="TextodegloboCar"/>
    <w:uiPriority w:val="99"/>
    <w:semiHidden/>
    <w:unhideWhenUsed/>
    <w:rsid w:val="00F34F0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34F01"/>
    <w:rPr>
      <w:rFonts w:ascii="Tahoma" w:eastAsia="Calibri" w:hAnsi="Tahoma" w:cs="Tahoma"/>
      <w:sz w:val="16"/>
      <w:szCs w:val="16"/>
    </w:rPr>
  </w:style>
  <w:style w:type="character" w:customStyle="1" w:styleId="apple-style-span">
    <w:name w:val="apple-style-span"/>
    <w:basedOn w:val="Fuentedeprrafopredeter"/>
    <w:rsid w:val="001B21C6"/>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E03D8B"/>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6185E3-4046-4138-8EE6-3A07BDF04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5520</Words>
  <Characters>30361</Characters>
  <Application>Microsoft Office Word</Application>
  <DocSecurity>0</DocSecurity>
  <Lines>253</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 Siman</dc:creator>
  <cp:lastModifiedBy>ELI</cp:lastModifiedBy>
  <cp:revision>13</cp:revision>
  <dcterms:created xsi:type="dcterms:W3CDTF">2019-08-29T13:24:00Z</dcterms:created>
  <dcterms:modified xsi:type="dcterms:W3CDTF">2019-09-26T16:59:00Z</dcterms:modified>
</cp:coreProperties>
</file>