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581" w:rsidRDefault="00BC3D0F">
      <w:hyperlink r:id="rId5" w:history="1">
        <w:r w:rsidRPr="00CE35D3">
          <w:rPr>
            <w:rStyle w:val="Hipervnculo"/>
          </w:rPr>
          <w:t>http://www.cegaipslp.org.mx/webcegaip2018.nsf/Leyes%20aplicables?OpenPage</w:t>
        </w:r>
      </w:hyperlink>
    </w:p>
    <w:p w:rsidR="00BC3D0F" w:rsidRDefault="00BC3D0F">
      <w:bookmarkStart w:id="0" w:name="_GoBack"/>
      <w:bookmarkEnd w:id="0"/>
    </w:p>
    <w:sectPr w:rsidR="00BC3D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D0F"/>
    <w:rsid w:val="001C0581"/>
    <w:rsid w:val="00BC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C3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C3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18.nsf/Leyes%20aplicables?OpenPag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1</cp:revision>
  <dcterms:created xsi:type="dcterms:W3CDTF">2019-09-05T15:15:00Z</dcterms:created>
  <dcterms:modified xsi:type="dcterms:W3CDTF">2019-09-05T15:26:00Z</dcterms:modified>
</cp:coreProperties>
</file>