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2309" w:rsidRDefault="00F52309" w:rsidP="00F52309">
      <w:pPr>
        <w:jc w:val="center"/>
        <w:rPr>
          <w:rFonts w:ascii="Calibri" w:hAnsi="Calibri" w:cs="Calibri"/>
          <w:b/>
          <w:sz w:val="44"/>
          <w:szCs w:val="44"/>
          <w:u w:val="single"/>
        </w:rPr>
      </w:pPr>
      <w:r w:rsidRPr="00024A28">
        <w:rPr>
          <w:rFonts w:ascii="Calibri" w:hAnsi="Calibri" w:cs="Calibri"/>
          <w:b/>
          <w:sz w:val="44"/>
          <w:szCs w:val="44"/>
          <w:u w:val="single"/>
        </w:rPr>
        <w:t xml:space="preserve">Artículo 84 fracción </w:t>
      </w:r>
      <w:r>
        <w:rPr>
          <w:rFonts w:ascii="Calibri" w:hAnsi="Calibri" w:cs="Calibri"/>
          <w:b/>
          <w:sz w:val="44"/>
          <w:szCs w:val="44"/>
          <w:u w:val="single"/>
        </w:rPr>
        <w:t>X</w:t>
      </w:r>
      <w:r>
        <w:rPr>
          <w:rFonts w:ascii="Calibri" w:hAnsi="Calibri" w:cs="Calibri"/>
          <w:b/>
          <w:sz w:val="44"/>
          <w:szCs w:val="44"/>
          <w:u w:val="single"/>
        </w:rPr>
        <w:t>L</w:t>
      </w:r>
      <w:r>
        <w:rPr>
          <w:rFonts w:ascii="Calibri" w:hAnsi="Calibri" w:cs="Calibri"/>
          <w:b/>
          <w:sz w:val="44"/>
          <w:szCs w:val="44"/>
          <w:u w:val="single"/>
        </w:rPr>
        <w:t>I</w:t>
      </w:r>
      <w:r>
        <w:rPr>
          <w:rFonts w:ascii="Calibri" w:hAnsi="Calibri" w:cs="Calibri"/>
          <w:b/>
          <w:sz w:val="44"/>
          <w:szCs w:val="44"/>
          <w:u w:val="single"/>
        </w:rPr>
        <w:t>I</w:t>
      </w:r>
      <w:r>
        <w:rPr>
          <w:rFonts w:ascii="Calibri" w:hAnsi="Calibri" w:cs="Calibri"/>
          <w:b/>
          <w:sz w:val="44"/>
          <w:szCs w:val="44"/>
          <w:u w:val="single"/>
        </w:rPr>
        <w:t>I</w:t>
      </w:r>
    </w:p>
    <w:p w:rsidR="008170BD" w:rsidRDefault="008170BD" w:rsidP="00F52309">
      <w:pPr>
        <w:jc w:val="center"/>
        <w:rPr>
          <w:rFonts w:ascii="Calibri" w:hAnsi="Calibri" w:cs="Calibri"/>
          <w:b/>
          <w:sz w:val="44"/>
          <w:szCs w:val="44"/>
          <w:u w:val="single"/>
        </w:rPr>
      </w:pPr>
    </w:p>
    <w:p w:rsidR="00F52309" w:rsidRDefault="00F52309" w:rsidP="00F52309">
      <w:pPr>
        <w:jc w:val="both"/>
      </w:pPr>
    </w:p>
    <w:p w:rsidR="00F52309" w:rsidRPr="008A0030" w:rsidRDefault="00A07537" w:rsidP="008170BD">
      <w:pPr>
        <w:spacing w:line="276" w:lineRule="auto"/>
        <w:jc w:val="both"/>
      </w:pPr>
      <w:r>
        <w:t xml:space="preserve">Con fundamento </w:t>
      </w:r>
      <w:r w:rsidRPr="008A0030">
        <w:t xml:space="preserve">en </w:t>
      </w:r>
      <w:r>
        <w:t>el</w:t>
      </w:r>
      <w:r w:rsidRPr="008A0030">
        <w:t xml:space="preserve"> artículo 84 Fracción XLIII</w:t>
      </w:r>
      <w:r w:rsidR="00F52309" w:rsidRPr="008A0030">
        <w:t xml:space="preserve"> </w:t>
      </w:r>
      <w:r>
        <w:t xml:space="preserve">de la </w:t>
      </w:r>
      <w:r>
        <w:t>Ley d</w:t>
      </w:r>
      <w:r w:rsidRPr="008A0030">
        <w:t xml:space="preserve">e Transparencia </w:t>
      </w:r>
      <w:r>
        <w:t>y Acceso a l</w:t>
      </w:r>
      <w:r w:rsidRPr="008A0030">
        <w:t>a Información</w:t>
      </w:r>
      <w:r>
        <w:t xml:space="preserve"> Pública del Estado d</w:t>
      </w:r>
      <w:r w:rsidRPr="008A0030">
        <w:t>e San Luis Potosí</w:t>
      </w:r>
      <w:r>
        <w:t xml:space="preserve">, </w:t>
      </w:r>
      <w:r>
        <w:t>s</w:t>
      </w:r>
      <w:r w:rsidRPr="008A0030">
        <w:t xml:space="preserve">e desprende </w:t>
      </w:r>
      <w:r>
        <w:t xml:space="preserve">que </w:t>
      </w:r>
      <w:r w:rsidR="00F52309" w:rsidRPr="008A0030">
        <w:t>el Honorable Congreso del Estado</w:t>
      </w:r>
      <w:r>
        <w:t>,</w:t>
      </w:r>
      <w:r w:rsidR="00F52309" w:rsidRPr="008A0030">
        <w:t xml:space="preserve"> debe hacer pública la información relativa a resoluciones y laudos que emitan en procesos o procedimientos seguidos en forma de juicios en los que, en todo caso, </w:t>
      </w:r>
      <w:r w:rsidR="008170BD" w:rsidRPr="008170BD">
        <w:rPr>
          <w:b/>
        </w:rPr>
        <w:t>funjan como autoridad substanciadora</w:t>
      </w:r>
      <w:r w:rsidR="008170BD">
        <w:t xml:space="preserve"> y derivado de </w:t>
      </w:r>
      <w:r w:rsidR="00F52309" w:rsidRPr="008A0030">
        <w:t xml:space="preserve">las atribuciones correspondientes a la Coordinación de Asuntos Jurídicos, </w:t>
      </w:r>
      <w:r w:rsidR="008170BD">
        <w:t xml:space="preserve">que </w:t>
      </w:r>
      <w:r w:rsidR="00F52309" w:rsidRPr="008A0030">
        <w:t xml:space="preserve">se encuentran en el artículo 192 del Reglamento para el gobierno Interior del Congreso del Estado, de cuya lectura </w:t>
      </w:r>
      <w:r w:rsidR="00F52309" w:rsidRPr="008170BD">
        <w:rPr>
          <w:b/>
        </w:rPr>
        <w:t>no se advierte</w:t>
      </w:r>
      <w:r w:rsidR="00F52309" w:rsidRPr="008A0030">
        <w:t xml:space="preserve"> la de fungir como autoridad substanciadora en procedimientos en forma de juicios. </w:t>
      </w:r>
    </w:p>
    <w:p w:rsidR="008170BD" w:rsidRDefault="008170BD" w:rsidP="008170BD">
      <w:pPr>
        <w:spacing w:line="276" w:lineRule="auto"/>
        <w:jc w:val="both"/>
      </w:pPr>
    </w:p>
    <w:p w:rsidR="00F52309" w:rsidRPr="008A0030" w:rsidRDefault="00F52309" w:rsidP="008170BD">
      <w:pPr>
        <w:spacing w:line="276" w:lineRule="auto"/>
        <w:jc w:val="both"/>
      </w:pPr>
      <w:r w:rsidRPr="008A0030">
        <w:t>Sin embargo, y a efecto de contribuir al cumplimiento de la disposici</w:t>
      </w:r>
      <w:r w:rsidR="008170BD">
        <w:t>o</w:t>
      </w:r>
      <w:r w:rsidRPr="008A0030">
        <w:t>n</w:t>
      </w:r>
      <w:r w:rsidR="008170BD">
        <w:t>es</w:t>
      </w:r>
      <w:r w:rsidRPr="008A0030">
        <w:t xml:space="preserve"> legal</w:t>
      </w:r>
      <w:r w:rsidR="008170BD">
        <w:t>es</w:t>
      </w:r>
      <w:r w:rsidRPr="008A0030">
        <w:t xml:space="preserve"> en </w:t>
      </w:r>
      <w:r w:rsidR="008170BD">
        <w:t>materia de Transparencia</w:t>
      </w:r>
      <w:r w:rsidRPr="008A0030">
        <w:t xml:space="preserve"> </w:t>
      </w:r>
      <w:r w:rsidR="008170BD">
        <w:t xml:space="preserve">se comenta que </w:t>
      </w:r>
      <w:r w:rsidRPr="008A0030">
        <w:t>las Comisiones de Gobernación y Justicia, así como las jurisdicc</w:t>
      </w:r>
      <w:r w:rsidR="008170BD">
        <w:t xml:space="preserve">ionales que en su caso se creen, éstas </w:t>
      </w:r>
      <w:r w:rsidRPr="008A0030">
        <w:t>substancia</w:t>
      </w:r>
      <w:r w:rsidR="008170BD">
        <w:t>n</w:t>
      </w:r>
      <w:r w:rsidRPr="008A0030">
        <w:t xml:space="preserve"> procedimientos de responsabilidad, así como juicios políticos, siendo éstos los que, en todo caso, cumplen con las características a que se refiere la porción normativa en comento. </w:t>
      </w:r>
    </w:p>
    <w:p w:rsidR="00F52309" w:rsidRDefault="00F52309" w:rsidP="008170BD">
      <w:pPr>
        <w:spacing w:line="276" w:lineRule="auto"/>
        <w:jc w:val="both"/>
      </w:pPr>
    </w:p>
    <w:p w:rsidR="00F52309" w:rsidRPr="008A0030" w:rsidRDefault="00F52309" w:rsidP="008170BD">
      <w:pPr>
        <w:spacing w:line="276" w:lineRule="auto"/>
        <w:jc w:val="both"/>
      </w:pPr>
      <w:r w:rsidRPr="008A0030">
        <w:t>Con base a lo anterior y tomando como referencia la Ley Orgánica</w:t>
      </w:r>
      <w:r>
        <w:t xml:space="preserve"> del Poder Legislativo del Estado d</w:t>
      </w:r>
      <w:r w:rsidRPr="008A0030">
        <w:t>e San Luis Potosí</w:t>
      </w:r>
      <w:r w:rsidR="008170BD">
        <w:t>,</w:t>
      </w:r>
      <w:r w:rsidRPr="008A0030">
        <w:t xml:space="preserve"> en su artículo 138</w:t>
      </w:r>
      <w:r w:rsidR="008170BD">
        <w:t xml:space="preserve"> fracción IX</w:t>
      </w:r>
      <w:r w:rsidRPr="008A0030">
        <w:t>, el Congreso del Estado deberá publicar en su página de internet, cuando menos</w:t>
      </w:r>
      <w:r w:rsidR="008170BD">
        <w:t xml:space="preserve"> l</w:t>
      </w:r>
      <w:r w:rsidRPr="008A0030">
        <w:t>as resoluciones definitivas sobre juicio</w:t>
      </w:r>
      <w:r w:rsidR="008170BD">
        <w:t>s</w:t>
      </w:r>
      <w:r w:rsidRPr="008A0030">
        <w:t xml:space="preserve"> político</w:t>
      </w:r>
      <w:r w:rsidR="008170BD">
        <w:t>s</w:t>
      </w:r>
      <w:r w:rsidRPr="008A0030">
        <w:t>, y de sanciones administrativas, una vez que hayan causado estado</w:t>
      </w:r>
      <w:r w:rsidR="008170BD">
        <w:t>.</w:t>
      </w:r>
    </w:p>
    <w:p w:rsidR="00F52309" w:rsidRDefault="00F52309" w:rsidP="008170BD">
      <w:pPr>
        <w:spacing w:line="276" w:lineRule="auto"/>
        <w:jc w:val="both"/>
      </w:pPr>
    </w:p>
    <w:p w:rsidR="00F52309" w:rsidRPr="008A0030" w:rsidRDefault="00F52309" w:rsidP="008170BD">
      <w:pPr>
        <w:spacing w:line="276" w:lineRule="auto"/>
        <w:jc w:val="both"/>
      </w:pPr>
      <w:r w:rsidRPr="008A0030">
        <w:t xml:space="preserve">Por tal motivo, en la página web, de esta soberanía existe un formato denominada “Juicios de Responsabilidad Administrativa” en donde se encuentra la información referte al asunto que nos ocupa, y el cual consta de las siguientes columnas: Tema. Promovente. Sesión.  Data. Situación. Comisiones.  </w:t>
      </w:r>
    </w:p>
    <w:p w:rsidR="008170BD" w:rsidRDefault="008170BD" w:rsidP="008170BD">
      <w:pPr>
        <w:spacing w:line="276" w:lineRule="auto"/>
        <w:jc w:val="both"/>
      </w:pPr>
    </w:p>
    <w:p w:rsidR="00F52309" w:rsidRPr="008A0030" w:rsidRDefault="00F52309" w:rsidP="008170BD">
      <w:pPr>
        <w:spacing w:line="276" w:lineRule="auto"/>
        <w:jc w:val="both"/>
      </w:pPr>
      <w:r w:rsidRPr="008A0030">
        <w:t>Con apego a  lo establecido en el  Reglamento para el Gobierno Interior del Congreso del Estado de San Luis Potosí, en su artículo 42 y a la Ley De Transparencia y Acceso a la Información Pública del Estado de San Luis Potosí en su artículo 3 fracción XI, y  su artículo</w:t>
      </w:r>
      <w:r w:rsidR="00D0337A">
        <w:t xml:space="preserve"> 138, en virtud de que las resoluciones que se tomen en una sesión privada se entenderán como secreto inviolable, cuando de manera expresa así lo determine el Pleno, además de considerarse esta como información confidencial ya que contiene datos personales concernientes a una persona identificada o identificable </w:t>
      </w:r>
    </w:p>
    <w:p w:rsidR="00F52309" w:rsidRPr="00232860" w:rsidRDefault="00F52309" w:rsidP="008170BD">
      <w:pPr>
        <w:spacing w:line="276" w:lineRule="auto"/>
        <w:jc w:val="center"/>
        <w:rPr>
          <w:rFonts w:ascii="Calibri" w:hAnsi="Calibri" w:cs="Calibri"/>
          <w:b/>
          <w:sz w:val="22"/>
          <w:szCs w:val="22"/>
          <w:u w:val="single"/>
        </w:rPr>
      </w:pPr>
      <w:bookmarkStart w:id="0" w:name="_GoBack"/>
      <w:bookmarkEnd w:id="0"/>
    </w:p>
    <w:sectPr w:rsidR="00F52309" w:rsidRPr="00232860" w:rsidSect="00F52309">
      <w:headerReference w:type="default" r:id="rId4"/>
      <w:footerReference w:type="default" r:id="rId5"/>
      <w:pgSz w:w="12240" w:h="15840" w:code="1"/>
      <w:pgMar w:top="851" w:right="851" w:bottom="851" w:left="851" w:header="0" w:footer="56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gency FB">
    <w:panose1 w:val="020B050302020202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5487" w:rsidRDefault="00D0337A" w:rsidP="00177710">
    <w:pPr>
      <w:pStyle w:val="Piedepgina"/>
      <w:jc w:val="center"/>
      <w:rPr>
        <w:rFonts w:ascii="Arial" w:hAnsi="Arial" w:cs="Arial"/>
        <w:color w:val="000000"/>
        <w:sz w:val="15"/>
        <w:szCs w:val="15"/>
      </w:rPr>
    </w:pPr>
    <w:r w:rsidRPr="00AB08FF">
      <w:rPr>
        <w:rFonts w:ascii="Agency FB" w:hAnsi="Agency FB" w:cs="Arial"/>
        <w:color w:val="FFFFFF"/>
        <w:sz w:val="28"/>
        <w:szCs w:val="28"/>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5487" w:rsidRPr="00772882" w:rsidRDefault="00D0337A" w:rsidP="00177710">
    <w:pPr>
      <w:pStyle w:val="Encabezado"/>
      <w:ind w:left="-1701"/>
      <w:jc w:val="right"/>
      <w:rPr>
        <w:rFonts w:ascii="Century Gothic" w:hAnsi="Century Gothic"/>
        <w:sz w:val="2"/>
        <w:szCs w:val="2"/>
      </w:rPr>
    </w:pPr>
    <w:r>
      <w:rPr>
        <w:rFonts w:ascii="Century Gothic" w:hAnsi="Century Gothic"/>
        <w:noProof/>
        <w:sz w:val="2"/>
        <w:szCs w:val="2"/>
        <w:lang w:val="es-MX" w:eastAsia="es-MX"/>
      </w:rPr>
      <w:drawing>
        <wp:inline distT="0" distB="0" distL="0" distR="0" wp14:anchorId="46824F15" wp14:editId="1020A8BB">
          <wp:extent cx="8307421" cy="1675765"/>
          <wp:effectExtent l="0" t="0" r="0" b="635"/>
          <wp:docPr id="1" name="Imagen 1" descr="-AVI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VIS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17183" cy="1677734"/>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2309"/>
    <w:rsid w:val="008170BD"/>
    <w:rsid w:val="00A07537"/>
    <w:rsid w:val="00BC4719"/>
    <w:rsid w:val="00D0337A"/>
    <w:rsid w:val="00F52309"/>
    <w:rsid w:val="00FC4D0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78D71E5-93DC-43C7-B533-0700F0EA7A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52309"/>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F52309"/>
    <w:pPr>
      <w:tabs>
        <w:tab w:val="center" w:pos="4252"/>
        <w:tab w:val="right" w:pos="8504"/>
      </w:tabs>
    </w:pPr>
  </w:style>
  <w:style w:type="character" w:customStyle="1" w:styleId="EncabezadoCar">
    <w:name w:val="Encabezado Car"/>
    <w:basedOn w:val="Fuentedeprrafopredeter"/>
    <w:link w:val="Encabezado"/>
    <w:rsid w:val="00F52309"/>
    <w:rPr>
      <w:rFonts w:ascii="Times New Roman" w:eastAsia="Times New Roman" w:hAnsi="Times New Roman" w:cs="Times New Roman"/>
      <w:sz w:val="24"/>
      <w:szCs w:val="24"/>
      <w:lang w:val="es-ES" w:eastAsia="es-ES"/>
    </w:rPr>
  </w:style>
  <w:style w:type="paragraph" w:styleId="Piedepgina">
    <w:name w:val="footer"/>
    <w:basedOn w:val="Normal"/>
    <w:link w:val="PiedepginaCar"/>
    <w:rsid w:val="00F52309"/>
    <w:pPr>
      <w:tabs>
        <w:tab w:val="center" w:pos="4252"/>
        <w:tab w:val="right" w:pos="8504"/>
      </w:tabs>
    </w:pPr>
  </w:style>
  <w:style w:type="character" w:customStyle="1" w:styleId="PiedepginaCar">
    <w:name w:val="Pie de página Car"/>
    <w:basedOn w:val="Fuentedeprrafopredeter"/>
    <w:link w:val="Piedepgina"/>
    <w:rsid w:val="00F52309"/>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Pages>
  <Words>366</Words>
  <Characters>2016</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 Francisco Pinocely</dc:creator>
  <cp:keywords/>
  <dc:description/>
  <cp:lastModifiedBy>Lic Francisco Pinocely</cp:lastModifiedBy>
  <cp:revision>4</cp:revision>
  <dcterms:created xsi:type="dcterms:W3CDTF">2019-10-09T19:22:00Z</dcterms:created>
  <dcterms:modified xsi:type="dcterms:W3CDTF">2019-10-09T19:47:00Z</dcterms:modified>
</cp:coreProperties>
</file>