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6D22A4" w14:textId="39122B32" w:rsidR="00B94385" w:rsidRPr="008120A0" w:rsidRDefault="00B94385" w:rsidP="00B94385">
      <w:pPr>
        <w:tabs>
          <w:tab w:val="left" w:pos="6840"/>
        </w:tabs>
        <w:spacing w:after="0" w:line="360" w:lineRule="auto"/>
        <w:jc w:val="both"/>
        <w:outlineLvl w:val="5"/>
        <w:rPr>
          <w:rFonts w:ascii="Arial" w:eastAsia="Times New Roman" w:hAnsi="Arial" w:cs="Arial"/>
          <w:color w:val="365F91" w:themeColor="accent1" w:themeShade="BF"/>
          <w:sz w:val="24"/>
          <w:szCs w:val="24"/>
          <w:lang w:eastAsia="es-ES"/>
        </w:rPr>
      </w:pPr>
      <w:r w:rsidRPr="008120A0">
        <w:rPr>
          <w:rFonts w:ascii="Arial" w:eastAsia="Times New Roman" w:hAnsi="Arial" w:cs="Arial"/>
          <w:color w:val="365F91" w:themeColor="accent1" w:themeShade="BF"/>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 - - - - - - - - - - - - - - - - - - - - - - - - - - - - - - - - - </w:t>
      </w:r>
      <w:r w:rsidRPr="008120A0">
        <w:rPr>
          <w:rFonts w:ascii="Arial" w:eastAsia="Times New Roman" w:hAnsi="Arial" w:cs="Arial"/>
          <w:b/>
          <w:color w:val="365F91" w:themeColor="accent1" w:themeShade="BF"/>
          <w:sz w:val="24"/>
          <w:szCs w:val="24"/>
          <w:lang w:eastAsia="es-ES"/>
        </w:rPr>
        <w:t>C E R T I F I C A</w:t>
      </w:r>
      <w:r w:rsidRPr="008120A0">
        <w:rPr>
          <w:rFonts w:ascii="Arial" w:eastAsia="Times New Roman" w:hAnsi="Arial" w:cs="Arial"/>
          <w:color w:val="365F91" w:themeColor="accent1" w:themeShade="BF"/>
          <w:sz w:val="24"/>
          <w:szCs w:val="24"/>
          <w:lang w:eastAsia="es-ES"/>
        </w:rPr>
        <w:t xml:space="preserve"> - - - - - - - - - - - - - - - - - - - - - </w:t>
      </w:r>
    </w:p>
    <w:p w14:paraId="61D6DB1F" w14:textId="77777777" w:rsidR="00B94385" w:rsidRPr="008120A0" w:rsidRDefault="00B94385" w:rsidP="00B94385">
      <w:pPr>
        <w:tabs>
          <w:tab w:val="left" w:pos="6840"/>
        </w:tabs>
        <w:spacing w:after="0" w:line="360" w:lineRule="auto"/>
        <w:jc w:val="both"/>
        <w:outlineLvl w:val="5"/>
        <w:rPr>
          <w:rFonts w:ascii="Arial" w:eastAsia="Times New Roman" w:hAnsi="Arial" w:cs="Arial"/>
          <w:color w:val="365F91" w:themeColor="accent1" w:themeShade="BF"/>
          <w:sz w:val="24"/>
          <w:szCs w:val="24"/>
          <w:lang w:eastAsia="es-ES"/>
        </w:rPr>
      </w:pPr>
      <w:r w:rsidRPr="008120A0">
        <w:rPr>
          <w:rFonts w:ascii="Arial" w:eastAsia="Times New Roman" w:hAnsi="Arial" w:cs="Arial"/>
          <w:color w:val="365F91" w:themeColor="accent1" w:themeShade="BF"/>
          <w:sz w:val="24"/>
          <w:szCs w:val="24"/>
          <w:lang w:eastAsia="es-ES"/>
        </w:rPr>
        <w:t xml:space="preserve">Que el término de 05 cinco días hábiles que se le concedió al recurrente, para que manifieste lo que a su derecho convenga respecto del cumplimiento dado por el sujeto obligado a la resolución dictada dentro del presente recurso de revisión; mismo que fue  notificado al recurrente el 25 veinticinco de enero de 2019 dos mil diecinueve, por lo que dicho plazo comenzó a correr el 28 veintiocho y concluyó el 01 uno de febrero, ambos de la anualidad en curso; descontándose los días inhábiles. Lo que se asienta para constancia legal en la ciudad de San Luis Potosí, San Luis Potosí a 28 veintiocho de octubre de 2019 dos mil diecinueve. </w:t>
      </w:r>
      <w:r w:rsidRPr="008120A0">
        <w:rPr>
          <w:rFonts w:ascii="Arial" w:eastAsia="Times New Roman" w:hAnsi="Arial" w:cs="Arial"/>
          <w:b/>
          <w:color w:val="365F91" w:themeColor="accent1" w:themeShade="BF"/>
          <w:sz w:val="24"/>
          <w:szCs w:val="24"/>
          <w:lang w:eastAsia="es-ES"/>
        </w:rPr>
        <w:t xml:space="preserve">DOY FE. - </w:t>
      </w:r>
    </w:p>
    <w:p w14:paraId="0AA12389" w14:textId="77777777" w:rsidR="00B94385" w:rsidRPr="008120A0" w:rsidRDefault="00B94385" w:rsidP="00B94385">
      <w:pPr>
        <w:tabs>
          <w:tab w:val="left" w:pos="6840"/>
        </w:tabs>
        <w:spacing w:after="0" w:line="360" w:lineRule="auto"/>
        <w:ind w:left="708" w:firstLine="709"/>
        <w:jc w:val="both"/>
        <w:outlineLvl w:val="5"/>
        <w:rPr>
          <w:rFonts w:ascii="Arial" w:hAnsi="Arial" w:cs="Arial"/>
          <w:color w:val="365F91" w:themeColor="accent1" w:themeShade="BF"/>
          <w:sz w:val="24"/>
          <w:szCs w:val="24"/>
        </w:rPr>
      </w:pPr>
      <w:r w:rsidRPr="008120A0">
        <w:rPr>
          <w:rFonts w:ascii="Arial" w:hAnsi="Arial" w:cs="Arial"/>
          <w:color w:val="365F91" w:themeColor="accent1" w:themeShade="BF"/>
          <w:sz w:val="24"/>
          <w:szCs w:val="24"/>
        </w:rPr>
        <w:t xml:space="preserve">                                                                                                                                            </w:t>
      </w:r>
      <w:bookmarkStart w:id="0" w:name="_Hlk500937475"/>
      <w:r w:rsidRPr="008120A0">
        <w:rPr>
          <w:rFonts w:ascii="Arial" w:hAnsi="Arial" w:cs="Arial"/>
          <w:color w:val="365F91" w:themeColor="accent1" w:themeShade="BF"/>
          <w:sz w:val="24"/>
          <w:szCs w:val="24"/>
        </w:rPr>
        <w:t xml:space="preserve">San Luis Potosí, San Luis Potosí, a </w:t>
      </w:r>
      <w:r w:rsidRPr="008120A0">
        <w:rPr>
          <w:rFonts w:ascii="Arial" w:eastAsia="Times New Roman" w:hAnsi="Arial" w:cs="Arial"/>
          <w:color w:val="365F91" w:themeColor="accent1" w:themeShade="BF"/>
          <w:sz w:val="24"/>
          <w:szCs w:val="24"/>
          <w:lang w:eastAsia="es-ES"/>
        </w:rPr>
        <w:t>28 veintiocho de octubre de 2019 dos mil diecinueve</w:t>
      </w:r>
      <w:r w:rsidRPr="008120A0">
        <w:rPr>
          <w:rFonts w:ascii="Arial" w:hAnsi="Arial" w:cs="Arial"/>
          <w:color w:val="365F91" w:themeColor="accent1" w:themeShade="BF"/>
          <w:sz w:val="24"/>
          <w:szCs w:val="24"/>
        </w:rPr>
        <w:t xml:space="preserve">.    </w:t>
      </w:r>
    </w:p>
    <w:p w14:paraId="62DCE821" w14:textId="77777777" w:rsidR="00B94385" w:rsidRPr="008120A0" w:rsidRDefault="00B94385" w:rsidP="00B94385">
      <w:pPr>
        <w:tabs>
          <w:tab w:val="left" w:pos="6840"/>
        </w:tabs>
        <w:spacing w:after="0" w:line="360" w:lineRule="auto"/>
        <w:ind w:firstLine="709"/>
        <w:jc w:val="right"/>
        <w:outlineLvl w:val="5"/>
        <w:rPr>
          <w:rFonts w:ascii="Arial" w:hAnsi="Arial" w:cs="Arial"/>
          <w:color w:val="FF0000"/>
          <w:sz w:val="24"/>
          <w:szCs w:val="24"/>
        </w:rPr>
      </w:pPr>
    </w:p>
    <w:p w14:paraId="4FC21E04" w14:textId="77777777" w:rsidR="00B94385" w:rsidRPr="008120A0" w:rsidRDefault="00B94385" w:rsidP="00B94385">
      <w:pPr>
        <w:spacing w:after="0" w:line="360" w:lineRule="auto"/>
        <w:ind w:firstLine="708"/>
        <w:jc w:val="both"/>
        <w:rPr>
          <w:rFonts w:ascii="Arial" w:hAnsi="Arial" w:cs="Arial"/>
          <w:color w:val="365F91" w:themeColor="accent1" w:themeShade="BF"/>
          <w:sz w:val="24"/>
          <w:szCs w:val="24"/>
        </w:rPr>
      </w:pPr>
      <w:r w:rsidRPr="008120A0">
        <w:rPr>
          <w:rFonts w:ascii="Arial" w:hAnsi="Arial" w:cs="Arial"/>
          <w:color w:val="365F91" w:themeColor="accent1" w:themeShade="BF"/>
          <w:sz w:val="24"/>
          <w:szCs w:val="24"/>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65066C19" w14:textId="77777777" w:rsidR="00B94385" w:rsidRPr="008120A0" w:rsidRDefault="00B94385" w:rsidP="00B94385">
      <w:pPr>
        <w:spacing w:after="0" w:line="360" w:lineRule="auto"/>
        <w:ind w:firstLine="708"/>
        <w:jc w:val="both"/>
        <w:rPr>
          <w:rFonts w:ascii="Arial" w:hAnsi="Arial" w:cs="Arial"/>
          <w:color w:val="365F91" w:themeColor="accent1" w:themeShade="BF"/>
          <w:sz w:val="24"/>
          <w:szCs w:val="24"/>
        </w:rPr>
      </w:pPr>
    </w:p>
    <w:p w14:paraId="426DE375" w14:textId="77777777" w:rsidR="00B94385" w:rsidRPr="008120A0" w:rsidRDefault="00B94385" w:rsidP="00B94385">
      <w:pPr>
        <w:spacing w:after="0" w:line="360" w:lineRule="auto"/>
        <w:ind w:firstLine="708"/>
        <w:jc w:val="both"/>
        <w:rPr>
          <w:rFonts w:ascii="Arial" w:hAnsi="Arial" w:cs="Arial"/>
          <w:color w:val="365F91" w:themeColor="accent1" w:themeShade="BF"/>
          <w:sz w:val="24"/>
          <w:szCs w:val="24"/>
        </w:rPr>
      </w:pPr>
      <w:r w:rsidRPr="008120A0">
        <w:rPr>
          <w:rFonts w:ascii="Arial" w:hAnsi="Arial" w:cs="Arial"/>
          <w:color w:val="365F91" w:themeColor="accent1" w:themeShade="BF"/>
          <w:sz w:val="24"/>
          <w:szCs w:val="24"/>
        </w:rPr>
        <w:t>En primer término, resulta necesario insertar los efectos dictados en la resolución:</w:t>
      </w:r>
    </w:p>
    <w:p w14:paraId="0CBBDA52" w14:textId="77777777" w:rsidR="00B94385" w:rsidRPr="008120A0" w:rsidRDefault="00B94385" w:rsidP="00B94385">
      <w:pPr>
        <w:spacing w:after="0" w:line="240" w:lineRule="auto"/>
        <w:ind w:firstLine="708"/>
        <w:jc w:val="both"/>
        <w:rPr>
          <w:rFonts w:ascii="Arial" w:hAnsi="Arial" w:cs="Arial"/>
          <w:i/>
          <w:color w:val="365F91" w:themeColor="accent1" w:themeShade="BF"/>
          <w:sz w:val="24"/>
          <w:szCs w:val="24"/>
        </w:rPr>
      </w:pPr>
      <w:r w:rsidRPr="008120A0">
        <w:rPr>
          <w:rFonts w:ascii="Arial" w:hAnsi="Arial" w:cs="Arial"/>
          <w:i/>
          <w:color w:val="365F91" w:themeColor="accent1" w:themeShade="BF"/>
          <w:sz w:val="24"/>
          <w:szCs w:val="24"/>
        </w:rPr>
        <w:t xml:space="preserve">[…] </w:t>
      </w:r>
      <w:r w:rsidRPr="008120A0">
        <w:rPr>
          <w:rFonts w:ascii="Arial" w:hAnsi="Arial" w:cs="Arial"/>
          <w:i/>
          <w:color w:val="365F91" w:themeColor="accent1" w:themeShade="BF"/>
          <w:szCs w:val="24"/>
        </w:rPr>
        <w:t>7.2. Sentido de la resolución.</w:t>
      </w:r>
    </w:p>
    <w:p w14:paraId="1DB334F6" w14:textId="77777777" w:rsidR="00B94385" w:rsidRPr="008120A0" w:rsidRDefault="00B94385" w:rsidP="00B94385">
      <w:pPr>
        <w:spacing w:after="0" w:line="360" w:lineRule="auto"/>
        <w:ind w:left="567"/>
        <w:jc w:val="both"/>
        <w:rPr>
          <w:rFonts w:ascii="Arial" w:hAnsi="Arial" w:cs="Arial"/>
          <w:i/>
          <w:color w:val="365F91" w:themeColor="accent1" w:themeShade="BF"/>
          <w:szCs w:val="24"/>
        </w:rPr>
      </w:pPr>
      <w:r w:rsidRPr="008120A0">
        <w:rPr>
          <w:rFonts w:ascii="Arial" w:hAnsi="Arial" w:cs="Arial"/>
          <w:i/>
          <w:color w:val="365F91" w:themeColor="accent1" w:themeShade="BF"/>
          <w:szCs w:val="24"/>
        </w:rPr>
        <w:t>En las condiciones anotadas y, al haber resultado fundado el agravio que hizo valer el recurrente, lo procedente es que este órgano colegiado de conformidad con el artículo 175, fracción III, de la Ley de Transparencia y Acceso a la Información Pública del Estado modifica la respuesta proporcionada por el sujeto obligado y, por lo tanto, lo conmina a que emita otra respuesta en la que:</w:t>
      </w:r>
    </w:p>
    <w:p w14:paraId="7F038B8B" w14:textId="77777777" w:rsidR="00B94385" w:rsidRPr="008120A0" w:rsidRDefault="00B94385" w:rsidP="00B94385">
      <w:pPr>
        <w:spacing w:after="0" w:line="360" w:lineRule="auto"/>
        <w:ind w:left="567"/>
        <w:jc w:val="both"/>
        <w:rPr>
          <w:rFonts w:ascii="Arial" w:hAnsi="Arial" w:cs="Arial"/>
          <w:i/>
          <w:color w:val="365F91" w:themeColor="accent1" w:themeShade="BF"/>
          <w:szCs w:val="24"/>
        </w:rPr>
      </w:pPr>
    </w:p>
    <w:p w14:paraId="460D4CF4" w14:textId="77777777" w:rsidR="00B94385" w:rsidRPr="008120A0" w:rsidRDefault="00B94385" w:rsidP="00B94385">
      <w:pPr>
        <w:spacing w:after="0" w:line="360" w:lineRule="auto"/>
        <w:ind w:left="567"/>
        <w:jc w:val="both"/>
        <w:rPr>
          <w:rFonts w:ascii="Arial" w:hAnsi="Arial" w:cs="Arial"/>
          <w:i/>
          <w:color w:val="365F91" w:themeColor="accent1" w:themeShade="BF"/>
          <w:szCs w:val="24"/>
        </w:rPr>
      </w:pPr>
      <w:r w:rsidRPr="008120A0">
        <w:rPr>
          <w:rFonts w:ascii="Arial" w:hAnsi="Arial" w:cs="Arial"/>
          <w:i/>
          <w:color w:val="365F91" w:themeColor="accent1" w:themeShade="BF"/>
          <w:szCs w:val="24"/>
        </w:rPr>
        <w:t>1.- Entregue al recurrente la información de la indemnización o finiquito de José Francisco Carrera Martell, y el talón del cheque del pago del mismo.</w:t>
      </w:r>
      <w:r w:rsidRPr="008120A0">
        <w:rPr>
          <w:rFonts w:ascii="Arial" w:hAnsi="Arial" w:cs="Arial"/>
          <w:i/>
          <w:color w:val="365F91" w:themeColor="accent1" w:themeShade="BF"/>
          <w:sz w:val="24"/>
          <w:szCs w:val="24"/>
        </w:rPr>
        <w:t xml:space="preserve"> […]</w:t>
      </w:r>
    </w:p>
    <w:p w14:paraId="074E176B" w14:textId="77777777" w:rsidR="00B94385" w:rsidRDefault="00B94385" w:rsidP="00B94385">
      <w:pPr>
        <w:spacing w:after="0" w:line="360" w:lineRule="auto"/>
        <w:ind w:firstLine="708"/>
        <w:jc w:val="both"/>
        <w:rPr>
          <w:rFonts w:ascii="Arial" w:hAnsi="Arial" w:cs="Arial"/>
          <w:color w:val="FF0000"/>
          <w:sz w:val="24"/>
          <w:szCs w:val="24"/>
        </w:rPr>
      </w:pPr>
    </w:p>
    <w:p w14:paraId="59E51120" w14:textId="77777777" w:rsidR="00B94385" w:rsidRPr="00F5180A" w:rsidRDefault="00B94385" w:rsidP="00B94385">
      <w:pPr>
        <w:spacing w:after="0" w:line="360" w:lineRule="auto"/>
        <w:ind w:firstLine="708"/>
        <w:jc w:val="both"/>
        <w:rPr>
          <w:rFonts w:ascii="Arial" w:hAnsi="Arial" w:cs="Arial"/>
          <w:color w:val="365F91" w:themeColor="accent1" w:themeShade="BF"/>
          <w:sz w:val="24"/>
          <w:szCs w:val="24"/>
        </w:rPr>
      </w:pPr>
      <w:r w:rsidRPr="00F5180A">
        <w:rPr>
          <w:rFonts w:ascii="Arial" w:hAnsi="Arial" w:cs="Arial"/>
          <w:color w:val="365F91" w:themeColor="accent1" w:themeShade="BF"/>
          <w:sz w:val="24"/>
          <w:szCs w:val="24"/>
        </w:rPr>
        <w:t>El sujeto obligado, por conducto del encargado de la Unidad de Transparencia de servicios de salud, mediante un escrito, recibido en este órgano colegiado 28 veintiocho de noviembre de 2017 dos mil diecisiete, informó sobre el cumplimiento a la resolución de 24 veinticuatro de octubre de 2017 dos mil diecisiete, recayéndole auto donde se declaró el incumplimiento en fecha 06 seis de junio de 2018, por consiguiente en fecha el 14 catorce de junio de 2018 dos mil dieciocho, nuevamente se informó sobre el cumplimiento a la resolución de mérito, decretándose incumplida mediante auto de fecha 14 catorce de diciembre de 2018 dos mil dieciocho.</w:t>
      </w:r>
      <w:r>
        <w:rPr>
          <w:rFonts w:ascii="Arial" w:hAnsi="Arial" w:cs="Arial"/>
          <w:color w:val="365F91" w:themeColor="accent1" w:themeShade="BF"/>
          <w:sz w:val="24"/>
          <w:szCs w:val="24"/>
        </w:rPr>
        <w:t xml:space="preserve"> </w:t>
      </w:r>
    </w:p>
    <w:p w14:paraId="43CEEDBD" w14:textId="77777777" w:rsidR="00B94385" w:rsidRDefault="00B94385" w:rsidP="00B94385">
      <w:pPr>
        <w:spacing w:after="0" w:line="360" w:lineRule="auto"/>
        <w:ind w:firstLine="708"/>
        <w:jc w:val="both"/>
        <w:rPr>
          <w:rFonts w:ascii="Arial" w:hAnsi="Arial" w:cs="Arial"/>
          <w:color w:val="FF0000"/>
          <w:sz w:val="24"/>
          <w:szCs w:val="24"/>
        </w:rPr>
      </w:pPr>
    </w:p>
    <w:p w14:paraId="748341D3" w14:textId="77777777" w:rsidR="00B94385" w:rsidRPr="00F5180A" w:rsidRDefault="00B94385" w:rsidP="00B94385">
      <w:pPr>
        <w:spacing w:after="0" w:line="360" w:lineRule="auto"/>
        <w:ind w:firstLine="708"/>
        <w:jc w:val="both"/>
        <w:rPr>
          <w:rFonts w:ascii="Arial" w:hAnsi="Arial" w:cs="Arial"/>
          <w:color w:val="365F91" w:themeColor="accent1" w:themeShade="BF"/>
          <w:sz w:val="24"/>
          <w:szCs w:val="24"/>
        </w:rPr>
      </w:pPr>
      <w:r w:rsidRPr="00F5180A">
        <w:rPr>
          <w:rFonts w:ascii="Arial" w:hAnsi="Arial" w:cs="Arial"/>
          <w:color w:val="365F91" w:themeColor="accent1" w:themeShade="BF"/>
          <w:sz w:val="24"/>
          <w:szCs w:val="24"/>
        </w:rPr>
        <w:t>Ahora bien por consiguiente, el sujeto obligado, por conducto del encargado de la Unidad de Transparencia de servicios de salud, mediante oficio sin número, recibido en este órgano colegiado el 14 catorce de enero de 2019 dos mil diecinueve, informó sobre el cumplimiento a la resolución de 24 veinticuatro de octubre de 2017 dos mil diecisiete donde señala medularmente lo siguiente:</w:t>
      </w:r>
    </w:p>
    <w:p w14:paraId="6A813782" w14:textId="77777777" w:rsidR="00B94385" w:rsidRPr="008120A0" w:rsidRDefault="00B94385" w:rsidP="00B94385">
      <w:pPr>
        <w:spacing w:after="0" w:line="360" w:lineRule="auto"/>
        <w:ind w:firstLine="708"/>
        <w:jc w:val="both"/>
        <w:rPr>
          <w:rFonts w:ascii="Arial" w:hAnsi="Arial" w:cs="Arial"/>
          <w:color w:val="FF0000"/>
          <w:sz w:val="24"/>
          <w:szCs w:val="24"/>
        </w:rPr>
      </w:pPr>
    </w:p>
    <w:p w14:paraId="7A3B59CE" w14:textId="77777777" w:rsidR="00B94385" w:rsidRPr="00736D66" w:rsidRDefault="00B94385" w:rsidP="00B94385">
      <w:pPr>
        <w:spacing w:after="0" w:line="240" w:lineRule="auto"/>
        <w:ind w:firstLine="708"/>
        <w:jc w:val="both"/>
        <w:rPr>
          <w:rFonts w:ascii="Arial" w:hAnsi="Arial" w:cs="Arial"/>
          <w:i/>
          <w:color w:val="365F91" w:themeColor="accent1" w:themeShade="BF"/>
          <w:sz w:val="24"/>
          <w:szCs w:val="24"/>
        </w:rPr>
      </w:pPr>
      <w:bookmarkStart w:id="1" w:name="_Hlk506205158"/>
      <w:r w:rsidRPr="00736D66">
        <w:rPr>
          <w:rFonts w:ascii="Arial" w:hAnsi="Arial" w:cs="Arial"/>
          <w:i/>
          <w:color w:val="365F91" w:themeColor="accent1" w:themeShade="BF"/>
          <w:sz w:val="24"/>
          <w:szCs w:val="24"/>
        </w:rPr>
        <w:t xml:space="preserve"> […] </w:t>
      </w:r>
      <w:bookmarkEnd w:id="1"/>
      <w:r w:rsidRPr="00736D66">
        <w:rPr>
          <w:rFonts w:ascii="Arial" w:hAnsi="Arial" w:cs="Arial"/>
          <w:i/>
          <w:color w:val="365F91" w:themeColor="accent1" w:themeShade="BF"/>
          <w:sz w:val="24"/>
          <w:szCs w:val="24"/>
        </w:rPr>
        <w:t>Al respecto se remite copia certificada del comprobante así como del documento mercantil que se expidió a favor de José Francisco Carrera Martell con numero …se informa que el tenedor nunca se presentó a solicitar su finiquito…[…]</w:t>
      </w:r>
    </w:p>
    <w:p w14:paraId="51F11D09" w14:textId="77777777" w:rsidR="00B94385" w:rsidRPr="008120A0" w:rsidRDefault="00B94385" w:rsidP="00B94385">
      <w:pPr>
        <w:spacing w:after="0" w:line="360" w:lineRule="auto"/>
        <w:jc w:val="both"/>
        <w:rPr>
          <w:rFonts w:ascii="Arial" w:hAnsi="Arial" w:cs="Arial"/>
          <w:color w:val="FF0000"/>
          <w:sz w:val="24"/>
          <w:szCs w:val="24"/>
        </w:rPr>
      </w:pPr>
    </w:p>
    <w:p w14:paraId="29F3BD02" w14:textId="77777777" w:rsidR="00B94385" w:rsidRPr="00736D66" w:rsidRDefault="00B94385" w:rsidP="00B94385">
      <w:pPr>
        <w:pStyle w:val="corte4fondo"/>
        <w:tabs>
          <w:tab w:val="left" w:pos="567"/>
        </w:tabs>
        <w:rPr>
          <w:rFonts w:cs="Arial"/>
          <w:color w:val="365F91" w:themeColor="accent1" w:themeShade="BF"/>
          <w:sz w:val="24"/>
          <w:szCs w:val="24"/>
        </w:rPr>
      </w:pPr>
      <w:r w:rsidRPr="00736D66">
        <w:rPr>
          <w:rFonts w:cs="Arial"/>
          <w:color w:val="365F91" w:themeColor="accent1" w:themeShade="BF"/>
          <w:sz w:val="24"/>
          <w:szCs w:val="24"/>
        </w:rPr>
        <w:t>En ese sentido, acompañó las siguientes constancias (visibles a fojas 64 a 74 de autos):</w:t>
      </w:r>
    </w:p>
    <w:p w14:paraId="06A6CE4C" w14:textId="77777777" w:rsidR="00B94385" w:rsidRPr="008808DF" w:rsidRDefault="00B94385" w:rsidP="00B94385">
      <w:pPr>
        <w:pStyle w:val="corte4fondo"/>
        <w:numPr>
          <w:ilvl w:val="0"/>
          <w:numId w:val="18"/>
        </w:numPr>
        <w:tabs>
          <w:tab w:val="left" w:pos="567"/>
        </w:tabs>
        <w:rPr>
          <w:rFonts w:cs="Arial"/>
          <w:color w:val="365F91" w:themeColor="accent1" w:themeShade="BF"/>
          <w:sz w:val="24"/>
          <w:szCs w:val="24"/>
        </w:rPr>
      </w:pPr>
      <w:r w:rsidRPr="008808DF">
        <w:rPr>
          <w:rFonts w:cs="Arial"/>
          <w:color w:val="365F91" w:themeColor="accent1" w:themeShade="BF"/>
          <w:sz w:val="24"/>
          <w:szCs w:val="24"/>
        </w:rPr>
        <w:t>Copia certificada de la captura de pantalla del correo enviado al recurrente.</w:t>
      </w:r>
    </w:p>
    <w:p w14:paraId="4844E18C" w14:textId="77777777" w:rsidR="00B94385" w:rsidRPr="008808DF" w:rsidRDefault="00B94385" w:rsidP="00B94385">
      <w:pPr>
        <w:pStyle w:val="corte4fondo"/>
        <w:numPr>
          <w:ilvl w:val="0"/>
          <w:numId w:val="18"/>
        </w:numPr>
        <w:tabs>
          <w:tab w:val="left" w:pos="567"/>
        </w:tabs>
        <w:rPr>
          <w:rFonts w:cs="Arial"/>
          <w:color w:val="365F91" w:themeColor="accent1" w:themeShade="BF"/>
          <w:sz w:val="24"/>
          <w:szCs w:val="24"/>
        </w:rPr>
      </w:pPr>
      <w:r w:rsidRPr="008808DF">
        <w:rPr>
          <w:rFonts w:cs="Arial"/>
          <w:color w:val="365F91" w:themeColor="accent1" w:themeShade="BF"/>
          <w:sz w:val="24"/>
          <w:szCs w:val="24"/>
        </w:rPr>
        <w:t>Copia certificada del memorándum número 00573.</w:t>
      </w:r>
    </w:p>
    <w:p w14:paraId="158D8A95" w14:textId="77777777" w:rsidR="00B94385" w:rsidRPr="008808DF" w:rsidRDefault="00B94385" w:rsidP="00B94385">
      <w:pPr>
        <w:pStyle w:val="corte4fondo"/>
        <w:numPr>
          <w:ilvl w:val="0"/>
          <w:numId w:val="18"/>
        </w:numPr>
        <w:tabs>
          <w:tab w:val="left" w:pos="567"/>
        </w:tabs>
        <w:rPr>
          <w:rFonts w:cs="Arial"/>
          <w:color w:val="365F91" w:themeColor="accent1" w:themeShade="BF"/>
          <w:sz w:val="24"/>
          <w:szCs w:val="24"/>
        </w:rPr>
      </w:pPr>
      <w:r w:rsidRPr="008808DF">
        <w:rPr>
          <w:rFonts w:cs="Arial"/>
          <w:color w:val="365F91" w:themeColor="accent1" w:themeShade="BF"/>
          <w:sz w:val="24"/>
          <w:szCs w:val="24"/>
        </w:rPr>
        <w:t>Copia certificada del cheque número 000001921 y comprobante para el recurrente en versión pública.</w:t>
      </w:r>
    </w:p>
    <w:p w14:paraId="720A3DFB" w14:textId="77777777" w:rsidR="00B94385" w:rsidRPr="008808DF" w:rsidRDefault="00B94385" w:rsidP="00B94385">
      <w:pPr>
        <w:pStyle w:val="corte4fondo"/>
        <w:numPr>
          <w:ilvl w:val="0"/>
          <w:numId w:val="18"/>
        </w:numPr>
        <w:tabs>
          <w:tab w:val="left" w:pos="567"/>
        </w:tabs>
        <w:rPr>
          <w:rFonts w:cs="Arial"/>
          <w:color w:val="365F91" w:themeColor="accent1" w:themeShade="BF"/>
          <w:sz w:val="24"/>
          <w:szCs w:val="24"/>
        </w:rPr>
      </w:pPr>
      <w:r w:rsidRPr="008808DF">
        <w:rPr>
          <w:rFonts w:cs="Arial"/>
          <w:color w:val="365F91" w:themeColor="accent1" w:themeShade="BF"/>
          <w:sz w:val="24"/>
          <w:szCs w:val="24"/>
        </w:rPr>
        <w:t>Copia certificada de la constancia del rechazo de la información al correo electrónico del recurrente.</w:t>
      </w:r>
    </w:p>
    <w:p w14:paraId="0DF8CDCF" w14:textId="77777777" w:rsidR="00B94385" w:rsidRPr="008808DF" w:rsidRDefault="00B94385" w:rsidP="00B94385">
      <w:pPr>
        <w:pStyle w:val="corte4fondo"/>
        <w:numPr>
          <w:ilvl w:val="0"/>
          <w:numId w:val="18"/>
        </w:numPr>
        <w:tabs>
          <w:tab w:val="left" w:pos="567"/>
        </w:tabs>
        <w:rPr>
          <w:rFonts w:cs="Arial"/>
          <w:color w:val="365F91" w:themeColor="accent1" w:themeShade="BF"/>
          <w:sz w:val="24"/>
          <w:szCs w:val="24"/>
        </w:rPr>
      </w:pPr>
      <w:r w:rsidRPr="008808DF">
        <w:rPr>
          <w:rFonts w:cs="Arial"/>
          <w:color w:val="365F91" w:themeColor="accent1" w:themeShade="BF"/>
          <w:sz w:val="24"/>
          <w:szCs w:val="24"/>
        </w:rPr>
        <w:t>Cedula original de notificación por estrados.</w:t>
      </w:r>
    </w:p>
    <w:p w14:paraId="1CFC28FC" w14:textId="77777777" w:rsidR="00B94385" w:rsidRDefault="00B94385" w:rsidP="00B94385">
      <w:pPr>
        <w:pStyle w:val="corte4fondo"/>
        <w:tabs>
          <w:tab w:val="left" w:pos="567"/>
        </w:tabs>
        <w:ind w:firstLine="426"/>
        <w:rPr>
          <w:rFonts w:cs="Arial"/>
          <w:color w:val="FF0000"/>
          <w:sz w:val="24"/>
          <w:szCs w:val="24"/>
        </w:rPr>
      </w:pPr>
    </w:p>
    <w:p w14:paraId="10BD1A86" w14:textId="77777777" w:rsidR="00B94385" w:rsidRPr="003F2888" w:rsidRDefault="00B94385" w:rsidP="00B94385">
      <w:pPr>
        <w:pStyle w:val="corte4fondo"/>
        <w:tabs>
          <w:tab w:val="left" w:pos="567"/>
        </w:tabs>
        <w:ind w:firstLine="426"/>
        <w:rPr>
          <w:rFonts w:cs="Arial"/>
          <w:color w:val="365F91" w:themeColor="accent1" w:themeShade="BF"/>
          <w:sz w:val="24"/>
          <w:szCs w:val="24"/>
        </w:rPr>
      </w:pPr>
      <w:r w:rsidRPr="003F2888">
        <w:rPr>
          <w:rFonts w:cs="Arial"/>
          <w:color w:val="365F91" w:themeColor="accent1" w:themeShade="BF"/>
          <w:sz w:val="24"/>
          <w:szCs w:val="24"/>
        </w:rPr>
        <w:t>Con relación a lo anterior, se advierte que en referencia a lo expuesto por el sujeto obligado en relación a “…</w:t>
      </w:r>
      <w:r w:rsidRPr="003F2888">
        <w:rPr>
          <w:rFonts w:cs="Arial"/>
          <w:i/>
          <w:iCs/>
          <w:color w:val="365F91" w:themeColor="accent1" w:themeShade="BF"/>
          <w:sz w:val="24"/>
          <w:szCs w:val="24"/>
        </w:rPr>
        <w:t>se informa que el tenedor nunca se presentó a solicitar su finiquito</w:t>
      </w:r>
      <w:r w:rsidRPr="003F2888">
        <w:rPr>
          <w:rFonts w:cs="Arial"/>
          <w:color w:val="365F91" w:themeColor="accent1" w:themeShade="BF"/>
          <w:sz w:val="24"/>
          <w:szCs w:val="24"/>
        </w:rPr>
        <w:t>…” .</w:t>
      </w:r>
    </w:p>
    <w:p w14:paraId="1A965B2F" w14:textId="77777777" w:rsidR="00C328DB" w:rsidRDefault="00C328DB" w:rsidP="00B94385">
      <w:pPr>
        <w:pStyle w:val="corte4fondo"/>
        <w:tabs>
          <w:tab w:val="left" w:pos="567"/>
        </w:tabs>
        <w:ind w:firstLine="426"/>
        <w:rPr>
          <w:rFonts w:cs="Arial"/>
          <w:color w:val="365F91" w:themeColor="accent1" w:themeShade="BF"/>
          <w:sz w:val="24"/>
          <w:szCs w:val="24"/>
        </w:rPr>
      </w:pPr>
    </w:p>
    <w:p w14:paraId="7CEC0474" w14:textId="41A60EE6" w:rsidR="00B94385" w:rsidRPr="003F2888" w:rsidRDefault="00B94385" w:rsidP="00B94385">
      <w:pPr>
        <w:pStyle w:val="corte4fondo"/>
        <w:tabs>
          <w:tab w:val="left" w:pos="567"/>
        </w:tabs>
        <w:ind w:firstLine="426"/>
        <w:rPr>
          <w:rFonts w:cs="Arial"/>
          <w:color w:val="365F91" w:themeColor="accent1" w:themeShade="BF"/>
          <w:sz w:val="24"/>
          <w:szCs w:val="24"/>
        </w:rPr>
      </w:pPr>
      <w:r w:rsidRPr="003F2888">
        <w:rPr>
          <w:rFonts w:cs="Arial"/>
          <w:color w:val="365F91" w:themeColor="accent1" w:themeShade="BF"/>
          <w:sz w:val="24"/>
          <w:szCs w:val="24"/>
        </w:rPr>
        <w:t>Es menester, aunado a lo antes expuesto, señalar los siguientes preceptos legales:</w:t>
      </w:r>
    </w:p>
    <w:p w14:paraId="0573E123" w14:textId="77777777" w:rsidR="00B94385" w:rsidRPr="00F00CA9" w:rsidRDefault="00B94385" w:rsidP="00B94385">
      <w:pPr>
        <w:pStyle w:val="corte4fondo"/>
        <w:tabs>
          <w:tab w:val="left" w:pos="567"/>
        </w:tabs>
        <w:ind w:left="709" w:firstLine="0"/>
        <w:rPr>
          <w:rFonts w:cs="Arial"/>
          <w:i/>
          <w:iCs/>
          <w:color w:val="365F91" w:themeColor="accent1" w:themeShade="BF"/>
          <w:sz w:val="22"/>
          <w:szCs w:val="22"/>
        </w:rPr>
      </w:pPr>
      <w:r w:rsidRPr="00F00CA9">
        <w:rPr>
          <w:rFonts w:cs="Arial"/>
          <w:i/>
          <w:iCs/>
          <w:color w:val="365F91" w:themeColor="accent1" w:themeShade="BF"/>
          <w:sz w:val="22"/>
          <w:szCs w:val="22"/>
        </w:rPr>
        <w:t>“ARTÍCULO 19. Se presume que la información debe existir si se refiere a las facultades, competencias y funciones que los ordenamientos jurídicos aplicables otorgan a los sujetos obligados.</w:t>
      </w:r>
    </w:p>
    <w:p w14:paraId="4990AD18" w14:textId="77777777" w:rsidR="00B94385" w:rsidRPr="00F00CA9" w:rsidRDefault="00B94385" w:rsidP="00B94385">
      <w:pPr>
        <w:pStyle w:val="corte4fondo"/>
        <w:tabs>
          <w:tab w:val="left" w:pos="567"/>
        </w:tabs>
        <w:ind w:left="709" w:firstLine="0"/>
        <w:rPr>
          <w:rFonts w:cs="Arial"/>
          <w:i/>
          <w:iCs/>
          <w:color w:val="365F91" w:themeColor="accent1" w:themeShade="BF"/>
          <w:sz w:val="22"/>
          <w:szCs w:val="22"/>
        </w:rPr>
      </w:pPr>
      <w:r w:rsidRPr="00F00CA9">
        <w:rPr>
          <w:rFonts w:cs="Arial"/>
          <w:i/>
          <w:iCs/>
          <w:color w:val="365F91" w:themeColor="accent1" w:themeShade="BF"/>
          <w:sz w:val="22"/>
          <w:szCs w:val="22"/>
        </w:rPr>
        <w:t xml:space="preserve">En los casos en que ciertas </w:t>
      </w:r>
      <w:r w:rsidRPr="00F00CA9">
        <w:rPr>
          <w:rFonts w:cs="Arial"/>
          <w:i/>
          <w:iCs/>
          <w:color w:val="365F91" w:themeColor="accent1" w:themeShade="BF"/>
          <w:sz w:val="22"/>
          <w:szCs w:val="22"/>
          <w:u w:val="single"/>
        </w:rPr>
        <w:t>facultades, competencias o funciones no se hayan ejercido, se debe motivar la respuesta en función de las causas que motiven la inexistencia</w:t>
      </w:r>
      <w:r w:rsidRPr="00F00CA9">
        <w:rPr>
          <w:rFonts w:cs="Arial"/>
          <w:i/>
          <w:iCs/>
          <w:color w:val="365F91" w:themeColor="accent1" w:themeShade="BF"/>
          <w:sz w:val="22"/>
          <w:szCs w:val="22"/>
        </w:rPr>
        <w:t>.”</w:t>
      </w:r>
    </w:p>
    <w:p w14:paraId="4E4D4018" w14:textId="77777777" w:rsidR="00B94385" w:rsidRPr="00F00CA9" w:rsidRDefault="00B94385" w:rsidP="00B94385">
      <w:pPr>
        <w:pStyle w:val="corte4fondo"/>
        <w:tabs>
          <w:tab w:val="left" w:pos="567"/>
        </w:tabs>
        <w:ind w:left="709" w:firstLine="0"/>
        <w:rPr>
          <w:rFonts w:cs="Arial"/>
          <w:i/>
          <w:iCs/>
          <w:color w:val="365F91" w:themeColor="accent1" w:themeShade="BF"/>
          <w:sz w:val="22"/>
          <w:szCs w:val="22"/>
        </w:rPr>
      </w:pPr>
      <w:r w:rsidRPr="00F00CA9">
        <w:rPr>
          <w:rFonts w:cs="Arial"/>
          <w:i/>
          <w:iCs/>
          <w:color w:val="365F91" w:themeColor="accent1" w:themeShade="BF"/>
          <w:sz w:val="22"/>
          <w:szCs w:val="22"/>
        </w:rPr>
        <w:t xml:space="preserve">“ARTÍCULO 52. Cada Comité de Transparencia tendrá las siguientes funciones: II. Confirmar, modificar o revocar las determinaciones que en materia de ampliación del plazo de respuesta, clasificación de la información y </w:t>
      </w:r>
      <w:r w:rsidRPr="00F00CA9">
        <w:rPr>
          <w:rFonts w:cs="Arial"/>
          <w:i/>
          <w:iCs/>
          <w:color w:val="365F91" w:themeColor="accent1" w:themeShade="BF"/>
          <w:sz w:val="22"/>
          <w:szCs w:val="22"/>
          <w:u w:val="single"/>
        </w:rPr>
        <w:t>declaración de inexistencia</w:t>
      </w:r>
      <w:r w:rsidRPr="00F00CA9">
        <w:rPr>
          <w:rFonts w:cs="Arial"/>
          <w:i/>
          <w:iCs/>
          <w:color w:val="365F91" w:themeColor="accent1" w:themeShade="BF"/>
          <w:sz w:val="22"/>
          <w:szCs w:val="22"/>
        </w:rPr>
        <w:t xml:space="preserve"> o de incompetencia realicen los titulares de las áreas de los sujetos obligados;”</w:t>
      </w:r>
    </w:p>
    <w:p w14:paraId="04A0B269" w14:textId="77777777" w:rsidR="00B94385" w:rsidRPr="00F00CA9" w:rsidRDefault="00B94385" w:rsidP="00B94385">
      <w:pPr>
        <w:pStyle w:val="corte4fondo"/>
        <w:tabs>
          <w:tab w:val="left" w:pos="567"/>
        </w:tabs>
        <w:ind w:left="709" w:firstLine="0"/>
        <w:rPr>
          <w:rFonts w:cs="Arial"/>
          <w:i/>
          <w:iCs/>
          <w:color w:val="365F91" w:themeColor="accent1" w:themeShade="BF"/>
          <w:sz w:val="22"/>
          <w:szCs w:val="22"/>
        </w:rPr>
      </w:pPr>
      <w:r w:rsidRPr="00F00CA9">
        <w:rPr>
          <w:rFonts w:cs="Arial"/>
          <w:i/>
          <w:iCs/>
          <w:color w:val="365F91" w:themeColor="accent1" w:themeShade="BF"/>
          <w:sz w:val="22"/>
          <w:szCs w:val="22"/>
        </w:rPr>
        <w:t xml:space="preserve">“ARTÍCULO 160. Cuando la información no se encuentre en los archivos del sujeto obligado, el Comité de Transparencia: </w:t>
      </w:r>
    </w:p>
    <w:p w14:paraId="23E929E2" w14:textId="77777777" w:rsidR="00B94385" w:rsidRPr="00F00CA9" w:rsidRDefault="00B94385" w:rsidP="00B94385">
      <w:pPr>
        <w:pStyle w:val="corte4fondo"/>
        <w:tabs>
          <w:tab w:val="left" w:pos="567"/>
        </w:tabs>
        <w:ind w:left="709" w:firstLine="0"/>
        <w:rPr>
          <w:rFonts w:cs="Arial"/>
          <w:i/>
          <w:iCs/>
          <w:color w:val="365F91" w:themeColor="accent1" w:themeShade="BF"/>
          <w:sz w:val="22"/>
          <w:szCs w:val="22"/>
        </w:rPr>
      </w:pPr>
      <w:r w:rsidRPr="00F00CA9">
        <w:rPr>
          <w:rFonts w:cs="Arial"/>
          <w:i/>
          <w:iCs/>
          <w:color w:val="365F91" w:themeColor="accent1" w:themeShade="BF"/>
          <w:sz w:val="22"/>
          <w:szCs w:val="22"/>
        </w:rPr>
        <w:t>I. Analizará el caso y tomará las medidas necesarias para localizar la información;</w:t>
      </w:r>
    </w:p>
    <w:p w14:paraId="42F87E5F" w14:textId="77777777" w:rsidR="00B94385" w:rsidRPr="00F00CA9" w:rsidRDefault="00B94385" w:rsidP="00B94385">
      <w:pPr>
        <w:pStyle w:val="corte4fondo"/>
        <w:tabs>
          <w:tab w:val="left" w:pos="567"/>
        </w:tabs>
        <w:ind w:left="709" w:firstLine="0"/>
        <w:rPr>
          <w:rFonts w:cs="Arial"/>
          <w:i/>
          <w:iCs/>
          <w:color w:val="365F91" w:themeColor="accent1" w:themeShade="BF"/>
          <w:sz w:val="22"/>
          <w:szCs w:val="22"/>
        </w:rPr>
      </w:pPr>
      <w:r w:rsidRPr="00F00CA9">
        <w:rPr>
          <w:rFonts w:cs="Arial"/>
          <w:i/>
          <w:iCs/>
          <w:color w:val="365F91" w:themeColor="accent1" w:themeShade="BF"/>
          <w:sz w:val="22"/>
          <w:szCs w:val="22"/>
        </w:rPr>
        <w:t>II. Expedirá una resolución que confirme la inexistencia del Documento;</w:t>
      </w:r>
    </w:p>
    <w:p w14:paraId="5214CFFD" w14:textId="77777777" w:rsidR="00B94385" w:rsidRPr="00F00CA9" w:rsidRDefault="00B94385" w:rsidP="00B94385">
      <w:pPr>
        <w:pStyle w:val="corte4fondo"/>
        <w:tabs>
          <w:tab w:val="left" w:pos="567"/>
        </w:tabs>
        <w:ind w:left="709" w:firstLine="0"/>
        <w:rPr>
          <w:rFonts w:cs="Arial"/>
          <w:i/>
          <w:iCs/>
          <w:color w:val="365F91" w:themeColor="accent1" w:themeShade="BF"/>
          <w:sz w:val="22"/>
          <w:szCs w:val="22"/>
        </w:rPr>
      </w:pPr>
      <w:r w:rsidRPr="00F00CA9">
        <w:rPr>
          <w:rFonts w:cs="Arial"/>
          <w:i/>
          <w:iCs/>
          <w:color w:val="365F91" w:themeColor="accent1" w:themeShade="BF"/>
          <w:sz w:val="22"/>
          <w:szCs w:val="22"/>
        </w:rPr>
        <w:t>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037BEFB6" w14:textId="77777777" w:rsidR="00B94385" w:rsidRPr="00F00CA9" w:rsidRDefault="00B94385" w:rsidP="00B94385">
      <w:pPr>
        <w:pStyle w:val="corte4fondo"/>
        <w:tabs>
          <w:tab w:val="left" w:pos="567"/>
        </w:tabs>
        <w:ind w:left="709" w:firstLine="0"/>
        <w:rPr>
          <w:rFonts w:cs="Arial"/>
          <w:i/>
          <w:iCs/>
          <w:color w:val="365F91" w:themeColor="accent1" w:themeShade="BF"/>
          <w:sz w:val="22"/>
          <w:szCs w:val="22"/>
        </w:rPr>
      </w:pPr>
      <w:r w:rsidRPr="00F00CA9">
        <w:rPr>
          <w:rFonts w:cs="Arial"/>
          <w:i/>
          <w:iCs/>
          <w:color w:val="365F91" w:themeColor="accent1" w:themeShade="BF"/>
          <w:sz w:val="22"/>
          <w:szCs w:val="22"/>
        </w:rPr>
        <w:t>IV. Notificará al órgano interno de control o equivalente del sujeto obligado quien, en su caso, deberá iniciar el procedimiento de responsabilidad administrativa que corresponda.”</w:t>
      </w:r>
    </w:p>
    <w:p w14:paraId="44A7C194" w14:textId="2824E241" w:rsidR="00B94385" w:rsidRPr="00F00CA9" w:rsidRDefault="00B94385" w:rsidP="00B94385">
      <w:pPr>
        <w:pStyle w:val="corte4fondo"/>
        <w:tabs>
          <w:tab w:val="left" w:pos="567"/>
        </w:tabs>
        <w:ind w:left="709" w:firstLine="0"/>
        <w:rPr>
          <w:rFonts w:cs="Arial"/>
          <w:i/>
          <w:iCs/>
          <w:color w:val="365F91" w:themeColor="accent1" w:themeShade="BF"/>
          <w:sz w:val="22"/>
          <w:szCs w:val="22"/>
        </w:rPr>
      </w:pPr>
      <w:r w:rsidRPr="00F00CA9">
        <w:rPr>
          <w:rFonts w:cs="Arial"/>
          <w:i/>
          <w:iCs/>
          <w:color w:val="365F91" w:themeColor="accent1" w:themeShade="BF"/>
          <w:sz w:val="22"/>
          <w:szCs w:val="22"/>
        </w:rPr>
        <w:t xml:space="preserve">“ARTÍCULO 161. La resolución del Comité de Transparencia que confirme la inexistencia de la información solicitada contendrá los elementos mínimos que permitan al solicitante tener la certeza de que se utilizó un criterio de búsqueda exhaustivo, además de señalar las </w:t>
      </w:r>
      <w:r w:rsidRPr="00F00CA9">
        <w:rPr>
          <w:rFonts w:cs="Arial"/>
          <w:i/>
          <w:iCs/>
          <w:color w:val="365F91" w:themeColor="accent1" w:themeShade="BF"/>
          <w:sz w:val="22"/>
          <w:szCs w:val="22"/>
          <w:u w:val="single"/>
        </w:rPr>
        <w:t>circunstancias de tiempo, modo y lugar</w:t>
      </w:r>
      <w:r w:rsidRPr="00F00CA9">
        <w:rPr>
          <w:rFonts w:cs="Arial"/>
          <w:i/>
          <w:iCs/>
          <w:color w:val="365F91" w:themeColor="accent1" w:themeShade="BF"/>
          <w:sz w:val="22"/>
          <w:szCs w:val="22"/>
        </w:rPr>
        <w:t xml:space="preserve"> que </w:t>
      </w:r>
      <w:r w:rsidRPr="00F00CA9">
        <w:rPr>
          <w:rFonts w:cs="Arial"/>
          <w:i/>
          <w:iCs/>
          <w:color w:val="365F91" w:themeColor="accent1" w:themeShade="BF"/>
          <w:sz w:val="22"/>
          <w:szCs w:val="22"/>
        </w:rPr>
        <w:lastRenderedPageBreak/>
        <w:t>generaron la inexistencia en cuestión y señalará al servidor público responsable de contar con la misma.”</w:t>
      </w:r>
    </w:p>
    <w:p w14:paraId="72BA27E6" w14:textId="2A08A803" w:rsidR="00B94385" w:rsidRDefault="00C328DB" w:rsidP="00B94385">
      <w:pPr>
        <w:pStyle w:val="corte4fondo"/>
        <w:tabs>
          <w:tab w:val="left" w:pos="567"/>
        </w:tabs>
        <w:ind w:firstLine="0"/>
        <w:rPr>
          <w:rFonts w:cs="Arial"/>
          <w:color w:val="FF0000"/>
          <w:sz w:val="24"/>
          <w:szCs w:val="24"/>
        </w:rPr>
      </w:pPr>
      <w:r>
        <w:rPr>
          <w:noProof/>
        </w:rPr>
        <w:drawing>
          <wp:anchor distT="0" distB="0" distL="114300" distR="114300" simplePos="0" relativeHeight="251659264" behindDoc="0" locked="0" layoutInCell="1" allowOverlap="1" wp14:anchorId="0EB45DE4" wp14:editId="4C3E48F3">
            <wp:simplePos x="0" y="0"/>
            <wp:positionH relativeFrom="margin">
              <wp:posOffset>351073</wp:posOffset>
            </wp:positionH>
            <wp:positionV relativeFrom="margin">
              <wp:posOffset>656099</wp:posOffset>
            </wp:positionV>
            <wp:extent cx="3943350" cy="2700020"/>
            <wp:effectExtent l="171450" t="171450" r="361950" b="36703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6132" t="27725" r="26053" b="14080"/>
                    <a:stretch/>
                  </pic:blipFill>
                  <pic:spPr bwMode="auto">
                    <a:xfrm>
                      <a:off x="0" y="0"/>
                      <a:ext cx="3943350" cy="270002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999A4A" w14:textId="02A5E2AF" w:rsidR="00B94385" w:rsidRDefault="00B94385" w:rsidP="00B94385">
      <w:pPr>
        <w:pStyle w:val="corte4fondo"/>
        <w:tabs>
          <w:tab w:val="left" w:pos="567"/>
        </w:tabs>
        <w:ind w:firstLine="0"/>
        <w:rPr>
          <w:rFonts w:cs="Arial"/>
          <w:color w:val="FF0000"/>
          <w:sz w:val="24"/>
          <w:szCs w:val="24"/>
        </w:rPr>
      </w:pPr>
    </w:p>
    <w:p w14:paraId="21C0ECEA" w14:textId="035BD527" w:rsidR="00B94385" w:rsidRDefault="00B94385" w:rsidP="00B94385">
      <w:pPr>
        <w:pStyle w:val="corte4fondo"/>
        <w:tabs>
          <w:tab w:val="left" w:pos="567"/>
        </w:tabs>
        <w:ind w:firstLine="0"/>
        <w:rPr>
          <w:noProof/>
        </w:rPr>
      </w:pPr>
    </w:p>
    <w:p w14:paraId="014D934B" w14:textId="77777777" w:rsidR="00B94385" w:rsidRDefault="00B94385" w:rsidP="00B94385">
      <w:pPr>
        <w:pStyle w:val="corte4fondo"/>
        <w:tabs>
          <w:tab w:val="left" w:pos="567"/>
        </w:tabs>
        <w:ind w:firstLine="0"/>
        <w:rPr>
          <w:rFonts w:cs="Arial"/>
          <w:color w:val="FF0000"/>
          <w:sz w:val="24"/>
          <w:szCs w:val="24"/>
        </w:rPr>
      </w:pPr>
    </w:p>
    <w:p w14:paraId="18186643" w14:textId="77777777" w:rsidR="00B94385" w:rsidRDefault="00B94385" w:rsidP="00B94385">
      <w:pPr>
        <w:pStyle w:val="corte4fondo"/>
        <w:tabs>
          <w:tab w:val="left" w:pos="567"/>
        </w:tabs>
        <w:ind w:firstLine="0"/>
        <w:rPr>
          <w:rFonts w:cs="Arial"/>
          <w:color w:val="FF0000"/>
          <w:sz w:val="24"/>
          <w:szCs w:val="24"/>
        </w:rPr>
      </w:pPr>
    </w:p>
    <w:p w14:paraId="7B17CCCA" w14:textId="77777777" w:rsidR="00B94385" w:rsidRDefault="00B94385" w:rsidP="00B94385">
      <w:pPr>
        <w:pStyle w:val="corte4fondo"/>
        <w:tabs>
          <w:tab w:val="left" w:pos="567"/>
        </w:tabs>
        <w:ind w:firstLine="0"/>
        <w:rPr>
          <w:rFonts w:cs="Arial"/>
          <w:color w:val="FF0000"/>
          <w:sz w:val="24"/>
          <w:szCs w:val="24"/>
        </w:rPr>
      </w:pPr>
    </w:p>
    <w:p w14:paraId="5B184C6B" w14:textId="77777777" w:rsidR="00B94385" w:rsidRDefault="00B94385" w:rsidP="00B94385">
      <w:pPr>
        <w:pStyle w:val="corte4fondo"/>
        <w:tabs>
          <w:tab w:val="left" w:pos="567"/>
        </w:tabs>
        <w:ind w:firstLine="0"/>
        <w:rPr>
          <w:rFonts w:cs="Arial"/>
          <w:color w:val="FF0000"/>
          <w:sz w:val="24"/>
          <w:szCs w:val="24"/>
        </w:rPr>
      </w:pPr>
    </w:p>
    <w:p w14:paraId="4E387DCF" w14:textId="77777777" w:rsidR="00B94385" w:rsidRDefault="00B94385" w:rsidP="00B94385">
      <w:pPr>
        <w:pStyle w:val="corte4fondo"/>
        <w:tabs>
          <w:tab w:val="left" w:pos="567"/>
        </w:tabs>
        <w:ind w:firstLine="0"/>
        <w:rPr>
          <w:rFonts w:cs="Arial"/>
          <w:color w:val="FF0000"/>
          <w:sz w:val="24"/>
          <w:szCs w:val="24"/>
        </w:rPr>
      </w:pPr>
    </w:p>
    <w:p w14:paraId="683F5F57" w14:textId="77777777" w:rsidR="00B94385" w:rsidRDefault="00B94385" w:rsidP="00B94385">
      <w:pPr>
        <w:pStyle w:val="corte4fondo"/>
        <w:tabs>
          <w:tab w:val="left" w:pos="567"/>
        </w:tabs>
        <w:ind w:firstLine="0"/>
        <w:rPr>
          <w:rFonts w:cs="Arial"/>
          <w:color w:val="FF0000"/>
          <w:sz w:val="24"/>
          <w:szCs w:val="24"/>
        </w:rPr>
      </w:pPr>
    </w:p>
    <w:p w14:paraId="62397115" w14:textId="77777777" w:rsidR="00B94385" w:rsidRDefault="00B94385" w:rsidP="00B94385">
      <w:pPr>
        <w:pStyle w:val="corte4fondo"/>
        <w:tabs>
          <w:tab w:val="left" w:pos="567"/>
        </w:tabs>
        <w:ind w:firstLine="0"/>
        <w:rPr>
          <w:rFonts w:cs="Arial"/>
          <w:color w:val="FF0000"/>
          <w:sz w:val="24"/>
          <w:szCs w:val="24"/>
        </w:rPr>
      </w:pPr>
    </w:p>
    <w:p w14:paraId="50B422B9" w14:textId="77777777" w:rsidR="00B94385" w:rsidRDefault="00B94385" w:rsidP="00B94385">
      <w:pPr>
        <w:pStyle w:val="corte4fondo"/>
        <w:tabs>
          <w:tab w:val="left" w:pos="567"/>
        </w:tabs>
        <w:ind w:firstLine="0"/>
        <w:rPr>
          <w:rFonts w:cs="Arial"/>
          <w:color w:val="FF0000"/>
          <w:sz w:val="24"/>
          <w:szCs w:val="24"/>
        </w:rPr>
      </w:pPr>
    </w:p>
    <w:p w14:paraId="29A4E2DC" w14:textId="77777777" w:rsidR="00B94385" w:rsidRDefault="00B94385" w:rsidP="00B94385">
      <w:pPr>
        <w:pStyle w:val="corte4fondo"/>
        <w:tabs>
          <w:tab w:val="left" w:pos="567"/>
        </w:tabs>
        <w:ind w:firstLine="0"/>
        <w:rPr>
          <w:rFonts w:cs="Arial"/>
          <w:color w:val="FF0000"/>
          <w:sz w:val="24"/>
          <w:szCs w:val="24"/>
        </w:rPr>
      </w:pPr>
    </w:p>
    <w:p w14:paraId="359FC89F" w14:textId="77777777" w:rsidR="00B94385" w:rsidRDefault="00B94385" w:rsidP="00B94385">
      <w:pPr>
        <w:pStyle w:val="corte4fondo"/>
        <w:tabs>
          <w:tab w:val="left" w:pos="567"/>
        </w:tabs>
        <w:ind w:firstLine="0"/>
        <w:rPr>
          <w:rFonts w:cs="Arial"/>
          <w:color w:val="FF0000"/>
          <w:sz w:val="24"/>
          <w:szCs w:val="24"/>
        </w:rPr>
      </w:pPr>
    </w:p>
    <w:p w14:paraId="4DE0462A" w14:textId="77777777" w:rsidR="00B94385" w:rsidRDefault="00B94385" w:rsidP="00B94385">
      <w:pPr>
        <w:pStyle w:val="corte4fondo"/>
        <w:tabs>
          <w:tab w:val="left" w:pos="567"/>
        </w:tabs>
        <w:ind w:firstLine="0"/>
        <w:rPr>
          <w:rFonts w:cs="Arial"/>
          <w:color w:val="FF0000"/>
          <w:sz w:val="24"/>
          <w:szCs w:val="24"/>
        </w:rPr>
      </w:pPr>
    </w:p>
    <w:p w14:paraId="2FF0A142" w14:textId="1A5F84DD" w:rsidR="00B94385" w:rsidRPr="006A544C" w:rsidRDefault="00B94385" w:rsidP="00B94385">
      <w:pPr>
        <w:pStyle w:val="corte4fondo"/>
        <w:tabs>
          <w:tab w:val="left" w:pos="567"/>
        </w:tabs>
        <w:rPr>
          <w:rFonts w:cs="Arial"/>
          <w:color w:val="365F91" w:themeColor="accent1" w:themeShade="BF"/>
          <w:sz w:val="24"/>
          <w:szCs w:val="24"/>
        </w:rPr>
      </w:pPr>
      <w:r w:rsidRPr="006A544C">
        <w:rPr>
          <w:rFonts w:cs="Arial"/>
          <w:color w:val="365F91" w:themeColor="accent1" w:themeShade="BF"/>
          <w:sz w:val="24"/>
          <w:szCs w:val="24"/>
        </w:rPr>
        <w:t>Como se desprende de los preceptos legales que anteceden, el sujeto obligado debiera contar con la información solicitada referente a el finiquito de José Francisco Carrera Martell, aun cuando, aquel no haya acudido por dicho Finiquito, toda vez que, como se desprende del cheque en versión publica dentro del Informe rendido por parte de sujeto obligado,  se le estaba otorgando dicho cheque en razón de su renuncia voluntaria, mismo que debió de ser desglosado, señalando por qué se le está otorgando dicha suma de dinero y en razón de que se está emitiendo dicho Titulo de crédito, derecho que se tiene como trabajador para una certeza de que lo que se está entregado esta conforme a derecho, toda vez que al decidir, el sujeto obligado, emitir dicho cheque debió de haber generado un documento en cual desglose por qué se le está dando dicha cantidad de dinero,</w:t>
      </w:r>
      <w:r w:rsidR="00DC6698">
        <w:rPr>
          <w:rFonts w:cs="Arial"/>
          <w:color w:val="365F91" w:themeColor="accent1" w:themeShade="BF"/>
          <w:sz w:val="24"/>
          <w:szCs w:val="24"/>
        </w:rPr>
        <w:t xml:space="preserve"> fundamentando conforme a derecho,</w:t>
      </w:r>
      <w:r w:rsidRPr="006A544C">
        <w:rPr>
          <w:rFonts w:cs="Arial"/>
          <w:color w:val="365F91" w:themeColor="accent1" w:themeShade="BF"/>
          <w:sz w:val="24"/>
          <w:szCs w:val="24"/>
        </w:rPr>
        <w:t xml:space="preserve"> información que debiera constar en su expediente laboral.</w:t>
      </w:r>
    </w:p>
    <w:p w14:paraId="3D673F50" w14:textId="77777777" w:rsidR="00B94385" w:rsidRDefault="00B94385" w:rsidP="00B94385">
      <w:pPr>
        <w:pStyle w:val="corte4fondo"/>
        <w:tabs>
          <w:tab w:val="left" w:pos="567"/>
        </w:tabs>
        <w:ind w:firstLine="0"/>
        <w:rPr>
          <w:rFonts w:cs="Arial"/>
          <w:color w:val="FF0000"/>
          <w:sz w:val="24"/>
          <w:szCs w:val="24"/>
        </w:rPr>
      </w:pPr>
    </w:p>
    <w:p w14:paraId="3CF4ADD7" w14:textId="77777777" w:rsidR="00B94385" w:rsidRDefault="00B94385" w:rsidP="00B94385">
      <w:pPr>
        <w:pStyle w:val="corte4fondo"/>
        <w:tabs>
          <w:tab w:val="left" w:pos="567"/>
        </w:tabs>
        <w:rPr>
          <w:rFonts w:cs="Arial"/>
          <w:color w:val="365F91" w:themeColor="accent1" w:themeShade="BF"/>
          <w:sz w:val="24"/>
          <w:szCs w:val="24"/>
        </w:rPr>
      </w:pPr>
      <w:r w:rsidRPr="006A544C">
        <w:rPr>
          <w:rFonts w:cs="Arial"/>
          <w:color w:val="365F91" w:themeColor="accent1" w:themeShade="BF"/>
          <w:sz w:val="24"/>
          <w:szCs w:val="24"/>
        </w:rPr>
        <w:t xml:space="preserve">En consecuencia, al no contar con la información, se deberá atender lo establecido por la Ley de la Materia, es decir, el declarar la inexistencia de la información conforme a los preceptos legales antes señalados, y así notificar al recurrente de dicha inexistencia, así como la debida notificación al órgano interno </w:t>
      </w:r>
      <w:r w:rsidRPr="006A544C">
        <w:rPr>
          <w:rFonts w:cs="Arial"/>
          <w:color w:val="365F91" w:themeColor="accent1" w:themeShade="BF"/>
          <w:sz w:val="24"/>
          <w:szCs w:val="24"/>
        </w:rPr>
        <w:lastRenderedPageBreak/>
        <w:t>de control o equivalente del sujeto obligado quien, en su caso, deberá iniciar el procedimiento de responsabilidad administrativa, no obstante, se advierte que</w:t>
      </w:r>
      <w:r>
        <w:rPr>
          <w:rFonts w:cs="Arial"/>
          <w:color w:val="365F91" w:themeColor="accent1" w:themeShade="BF"/>
          <w:sz w:val="24"/>
          <w:szCs w:val="24"/>
        </w:rPr>
        <w:t xml:space="preserve"> </w:t>
      </w:r>
      <w:r w:rsidRPr="006A544C">
        <w:rPr>
          <w:rFonts w:cs="Arial"/>
          <w:color w:val="365F91" w:themeColor="accent1" w:themeShade="BF"/>
          <w:sz w:val="24"/>
          <w:szCs w:val="24"/>
        </w:rPr>
        <w:t>desde un inicio</w:t>
      </w:r>
      <w:r>
        <w:rPr>
          <w:rFonts w:cs="Arial"/>
          <w:color w:val="365F91" w:themeColor="accent1" w:themeShade="BF"/>
          <w:sz w:val="24"/>
          <w:szCs w:val="24"/>
        </w:rPr>
        <w:t xml:space="preserve">, </w:t>
      </w:r>
      <w:r w:rsidRPr="006A544C">
        <w:rPr>
          <w:rFonts w:cs="Arial"/>
          <w:color w:val="365F91" w:themeColor="accent1" w:themeShade="BF"/>
          <w:sz w:val="24"/>
          <w:szCs w:val="24"/>
        </w:rPr>
        <w:t>se debió de haber señalado y notificado al recurrente dicha inexistencia, otorgado su motivación y fundamentación conforme a Ley.</w:t>
      </w:r>
    </w:p>
    <w:p w14:paraId="11BDD96A" w14:textId="77777777" w:rsidR="00B94385" w:rsidRDefault="00B94385" w:rsidP="00B94385">
      <w:pPr>
        <w:pStyle w:val="corte4fondo"/>
        <w:tabs>
          <w:tab w:val="left" w:pos="567"/>
        </w:tabs>
        <w:rPr>
          <w:rFonts w:cs="Arial"/>
          <w:color w:val="365F91" w:themeColor="accent1" w:themeShade="BF"/>
          <w:sz w:val="24"/>
          <w:szCs w:val="24"/>
        </w:rPr>
      </w:pPr>
    </w:p>
    <w:p w14:paraId="3B4A75D9" w14:textId="77777777" w:rsidR="00B94385" w:rsidRDefault="00B94385" w:rsidP="00B94385">
      <w:pPr>
        <w:pStyle w:val="corte4fondo"/>
        <w:tabs>
          <w:tab w:val="left" w:pos="567"/>
        </w:tabs>
        <w:rPr>
          <w:rFonts w:cs="Arial"/>
          <w:color w:val="365F91" w:themeColor="accent1" w:themeShade="BF"/>
          <w:sz w:val="24"/>
          <w:szCs w:val="24"/>
        </w:rPr>
      </w:pPr>
      <w:r>
        <w:rPr>
          <w:rFonts w:cs="Arial"/>
          <w:color w:val="365F91" w:themeColor="accent1" w:themeShade="BF"/>
          <w:sz w:val="24"/>
          <w:szCs w:val="24"/>
        </w:rPr>
        <w:t>En cuanto a la versión pública del cheque número 000001921, puesta a disposición al recurrente, misma que se encuentra a foja 68 de autos del presente Recurso de Revisión, es preciso señalar lo siguiente, antes de proceder a su análisis:</w:t>
      </w:r>
    </w:p>
    <w:p w14:paraId="3297E478" w14:textId="77777777" w:rsidR="00B94385" w:rsidRPr="006A544C" w:rsidRDefault="00B94385" w:rsidP="00B94385">
      <w:pPr>
        <w:pStyle w:val="corte4fondo"/>
        <w:tabs>
          <w:tab w:val="left" w:pos="567"/>
        </w:tabs>
        <w:rPr>
          <w:rFonts w:cs="Arial"/>
          <w:color w:val="365F91" w:themeColor="accent1" w:themeShade="BF"/>
          <w:sz w:val="24"/>
          <w:szCs w:val="24"/>
        </w:rPr>
      </w:pPr>
    </w:p>
    <w:p w14:paraId="0F2C061F" w14:textId="77777777" w:rsidR="008B4490" w:rsidRPr="00555C11" w:rsidRDefault="008B4490" w:rsidP="008B4490">
      <w:pPr>
        <w:pStyle w:val="corte4fondo"/>
        <w:tabs>
          <w:tab w:val="left" w:pos="567"/>
        </w:tabs>
        <w:ind w:left="709" w:firstLine="0"/>
        <w:rPr>
          <w:rFonts w:cs="Arial"/>
          <w:i/>
          <w:iCs/>
          <w:color w:val="365F91" w:themeColor="accent1" w:themeShade="BF"/>
          <w:sz w:val="24"/>
          <w:szCs w:val="24"/>
        </w:rPr>
      </w:pPr>
      <w:r w:rsidRPr="00555C11">
        <w:rPr>
          <w:rFonts w:cs="Arial"/>
          <w:i/>
          <w:iCs/>
          <w:color w:val="365F91" w:themeColor="accent1" w:themeShade="BF"/>
          <w:sz w:val="24"/>
          <w:szCs w:val="24"/>
        </w:rPr>
        <w:t>“ARTÍCULO 120. La clasificación de la información se llevará a cabo en el momento en que:</w:t>
      </w:r>
    </w:p>
    <w:p w14:paraId="26F38B3C" w14:textId="77777777" w:rsidR="008B4490" w:rsidRPr="00555C11" w:rsidRDefault="008B4490" w:rsidP="008B4490">
      <w:pPr>
        <w:pStyle w:val="corte4fondo"/>
        <w:tabs>
          <w:tab w:val="left" w:pos="567"/>
        </w:tabs>
        <w:ind w:left="709" w:firstLine="0"/>
        <w:rPr>
          <w:rFonts w:cs="Arial"/>
          <w:i/>
          <w:iCs/>
          <w:color w:val="365F91" w:themeColor="accent1" w:themeShade="BF"/>
          <w:sz w:val="24"/>
          <w:szCs w:val="24"/>
        </w:rPr>
      </w:pPr>
      <w:r w:rsidRPr="00555C11">
        <w:rPr>
          <w:rFonts w:cs="Arial"/>
          <w:i/>
          <w:iCs/>
          <w:color w:val="365F91" w:themeColor="accent1" w:themeShade="BF"/>
          <w:sz w:val="24"/>
          <w:szCs w:val="24"/>
        </w:rPr>
        <w:t>I. Se reciba una solicitud de acceso a la información;</w:t>
      </w:r>
    </w:p>
    <w:p w14:paraId="68314A92" w14:textId="77777777" w:rsidR="008B4490" w:rsidRPr="00555C11" w:rsidRDefault="008B4490" w:rsidP="008B4490">
      <w:pPr>
        <w:pStyle w:val="corte4fondo"/>
        <w:tabs>
          <w:tab w:val="left" w:pos="567"/>
        </w:tabs>
        <w:ind w:left="709" w:firstLine="0"/>
        <w:rPr>
          <w:rFonts w:cs="Arial"/>
          <w:i/>
          <w:iCs/>
          <w:color w:val="365F91" w:themeColor="accent1" w:themeShade="BF"/>
          <w:sz w:val="24"/>
          <w:szCs w:val="24"/>
        </w:rPr>
      </w:pPr>
      <w:r w:rsidRPr="00555C11">
        <w:rPr>
          <w:rFonts w:cs="Arial"/>
          <w:i/>
          <w:iCs/>
          <w:color w:val="365F91" w:themeColor="accent1" w:themeShade="BF"/>
          <w:sz w:val="24"/>
          <w:szCs w:val="24"/>
        </w:rPr>
        <w:t>II. Se determine mediante resolución de autoridad competente, o</w:t>
      </w:r>
    </w:p>
    <w:p w14:paraId="4606B1B5" w14:textId="77777777" w:rsidR="008B4490" w:rsidRPr="00555C11" w:rsidRDefault="008B4490" w:rsidP="008B4490">
      <w:pPr>
        <w:pStyle w:val="corte4fondo"/>
        <w:tabs>
          <w:tab w:val="left" w:pos="567"/>
        </w:tabs>
        <w:ind w:left="709" w:firstLine="0"/>
        <w:rPr>
          <w:rFonts w:cs="Arial"/>
          <w:i/>
          <w:iCs/>
          <w:color w:val="365F91" w:themeColor="accent1" w:themeShade="BF"/>
          <w:sz w:val="24"/>
          <w:szCs w:val="24"/>
        </w:rPr>
      </w:pPr>
      <w:r w:rsidRPr="00555C11">
        <w:rPr>
          <w:rFonts w:cs="Arial"/>
          <w:i/>
          <w:iCs/>
          <w:color w:val="365F91" w:themeColor="accent1" w:themeShade="BF"/>
          <w:sz w:val="24"/>
          <w:szCs w:val="24"/>
        </w:rPr>
        <w:t xml:space="preserve">III. </w:t>
      </w:r>
      <w:r w:rsidRPr="00555C11">
        <w:rPr>
          <w:rFonts w:cs="Arial"/>
          <w:i/>
          <w:iCs/>
          <w:color w:val="365F91" w:themeColor="accent1" w:themeShade="BF"/>
          <w:sz w:val="24"/>
          <w:szCs w:val="24"/>
          <w:u w:val="single"/>
        </w:rPr>
        <w:t>Se generen versiones públicas para dar cumplimiento a las obligaciones de transparencia previstas en esta Ley.</w:t>
      </w:r>
    </w:p>
    <w:p w14:paraId="09DC5176" w14:textId="77777777" w:rsidR="008B4490" w:rsidRDefault="008B4490" w:rsidP="008B4490">
      <w:pPr>
        <w:pStyle w:val="corte4fondo"/>
        <w:tabs>
          <w:tab w:val="left" w:pos="567"/>
        </w:tabs>
        <w:ind w:left="709" w:firstLine="0"/>
        <w:rPr>
          <w:rFonts w:cs="Arial"/>
          <w:i/>
          <w:iCs/>
          <w:color w:val="365F91" w:themeColor="accent1" w:themeShade="BF"/>
          <w:sz w:val="24"/>
          <w:szCs w:val="24"/>
        </w:rPr>
      </w:pPr>
      <w:r w:rsidRPr="00555C11">
        <w:rPr>
          <w:rFonts w:cs="Arial"/>
          <w:i/>
          <w:iCs/>
          <w:color w:val="365F91" w:themeColor="accent1" w:themeShade="BF"/>
          <w:sz w:val="24"/>
          <w:szCs w:val="24"/>
        </w:rPr>
        <w:t xml:space="preserve">ARTÍCULO 121. Los Documentos clasificados parcial o totalmente </w:t>
      </w:r>
      <w:r w:rsidRPr="00555C11">
        <w:rPr>
          <w:rFonts w:cs="Arial"/>
          <w:b/>
          <w:bCs/>
          <w:i/>
          <w:iCs/>
          <w:color w:val="365F91" w:themeColor="accent1" w:themeShade="BF"/>
          <w:sz w:val="24"/>
          <w:szCs w:val="24"/>
          <w:u w:val="single"/>
        </w:rPr>
        <w:t>deberán llevar una leyenda que indique tal carácter, la fecha de la clasificación, el fundamento legal y, en su caso, el periodo de reserva</w:t>
      </w:r>
      <w:r>
        <w:rPr>
          <w:rFonts w:cs="Arial"/>
          <w:i/>
          <w:iCs/>
          <w:color w:val="365F91" w:themeColor="accent1" w:themeShade="BF"/>
          <w:sz w:val="24"/>
          <w:szCs w:val="24"/>
        </w:rPr>
        <w:t>.</w:t>
      </w:r>
    </w:p>
    <w:p w14:paraId="642DD423" w14:textId="61AA7247" w:rsidR="008B4490" w:rsidRDefault="008B4490" w:rsidP="008B4490">
      <w:pPr>
        <w:pStyle w:val="corte4fondo"/>
        <w:tabs>
          <w:tab w:val="left" w:pos="567"/>
        </w:tabs>
        <w:ind w:left="709" w:firstLine="0"/>
        <w:rPr>
          <w:rFonts w:cs="Arial"/>
          <w:i/>
          <w:iCs/>
          <w:color w:val="365F91" w:themeColor="accent1" w:themeShade="BF"/>
          <w:sz w:val="24"/>
          <w:szCs w:val="24"/>
        </w:rPr>
      </w:pPr>
      <w:r w:rsidRPr="00263677">
        <w:rPr>
          <w:rFonts w:cs="Arial"/>
          <w:i/>
          <w:iCs/>
          <w:color w:val="365F91" w:themeColor="accent1" w:themeShade="BF"/>
          <w:sz w:val="24"/>
          <w:szCs w:val="24"/>
        </w:rPr>
        <w:t xml:space="preserve">ARTÍCULO 123. Los </w:t>
      </w:r>
      <w:r w:rsidRPr="002D3C00">
        <w:rPr>
          <w:rFonts w:cs="Arial"/>
          <w:i/>
          <w:iCs/>
          <w:color w:val="365F91" w:themeColor="accent1" w:themeShade="BF"/>
          <w:sz w:val="24"/>
          <w:szCs w:val="24"/>
          <w:u w:val="single"/>
        </w:rPr>
        <w:t>lineamientos generales que emita el Sistema Nacional en materia de clasificación de la información reservada y confidencial y, para la elaboración de versiones públicas</w:t>
      </w:r>
      <w:r w:rsidRPr="00263677">
        <w:rPr>
          <w:rFonts w:cs="Arial"/>
          <w:i/>
          <w:iCs/>
          <w:color w:val="365F91" w:themeColor="accent1" w:themeShade="BF"/>
          <w:sz w:val="24"/>
          <w:szCs w:val="24"/>
        </w:rPr>
        <w:t>, serán de observancia obligatoria para los sujetos obligados</w:t>
      </w:r>
      <w:r>
        <w:rPr>
          <w:rFonts w:cs="Arial"/>
          <w:i/>
          <w:iCs/>
          <w:color w:val="365F91" w:themeColor="accent1" w:themeShade="BF"/>
          <w:sz w:val="24"/>
          <w:szCs w:val="24"/>
        </w:rPr>
        <w:t>”</w:t>
      </w:r>
      <w:r w:rsidRPr="00263677">
        <w:rPr>
          <w:rFonts w:cs="Arial"/>
          <w:i/>
          <w:iCs/>
          <w:color w:val="365F91" w:themeColor="accent1" w:themeShade="BF"/>
          <w:sz w:val="24"/>
          <w:szCs w:val="24"/>
        </w:rPr>
        <w:t xml:space="preserve"> </w:t>
      </w:r>
      <w:r w:rsidRPr="00555C11">
        <w:rPr>
          <w:rFonts w:cs="Arial"/>
          <w:i/>
          <w:iCs/>
          <w:color w:val="365F91" w:themeColor="accent1" w:themeShade="BF"/>
          <w:sz w:val="24"/>
          <w:szCs w:val="24"/>
        </w:rPr>
        <w:t xml:space="preserve">(Ley de Transparencia </w:t>
      </w:r>
      <w:r w:rsidRPr="00A86535">
        <w:rPr>
          <w:rFonts w:cs="Arial"/>
          <w:i/>
          <w:iCs/>
          <w:color w:val="365F91" w:themeColor="accent1" w:themeShade="BF"/>
          <w:sz w:val="24"/>
          <w:szCs w:val="24"/>
        </w:rPr>
        <w:t>y Acceso a la Información Pública del Estado).</w:t>
      </w:r>
    </w:p>
    <w:p w14:paraId="62EF0288" w14:textId="0640F519" w:rsidR="008B4490" w:rsidRDefault="008B4490" w:rsidP="008B4490">
      <w:pPr>
        <w:pStyle w:val="corte4fondo"/>
        <w:tabs>
          <w:tab w:val="left" w:pos="567"/>
        </w:tabs>
        <w:ind w:left="709" w:firstLine="0"/>
        <w:rPr>
          <w:rFonts w:cs="Arial"/>
          <w:i/>
          <w:iCs/>
          <w:color w:val="365F91" w:themeColor="accent1" w:themeShade="BF"/>
          <w:sz w:val="24"/>
          <w:szCs w:val="24"/>
        </w:rPr>
      </w:pPr>
    </w:p>
    <w:p w14:paraId="1D600E92" w14:textId="77777777" w:rsidR="008B4490" w:rsidRPr="008B4490" w:rsidRDefault="008B4490" w:rsidP="008B4490">
      <w:pPr>
        <w:pStyle w:val="corte4fondo"/>
        <w:tabs>
          <w:tab w:val="left" w:pos="567"/>
        </w:tabs>
        <w:ind w:left="709"/>
        <w:rPr>
          <w:rFonts w:cs="Arial"/>
          <w:i/>
          <w:iCs/>
          <w:color w:val="365F91" w:themeColor="accent1" w:themeShade="BF"/>
          <w:sz w:val="24"/>
          <w:szCs w:val="24"/>
          <w:lang w:val="es-ES_tradnl"/>
        </w:rPr>
      </w:pPr>
      <w:r w:rsidRPr="008B4490">
        <w:rPr>
          <w:rFonts w:cs="Arial"/>
          <w:i/>
          <w:iCs/>
          <w:color w:val="365F91" w:themeColor="accent1" w:themeShade="BF"/>
          <w:sz w:val="24"/>
          <w:szCs w:val="24"/>
          <w:lang w:val="es-ES_tradnl"/>
        </w:rPr>
        <w:t>La Ley de Transparencia y Acceso a la Información Pública del Estado, dispone en su artículo 3°, fracciones XI y XVII, establecen lo siguiente:</w:t>
      </w:r>
    </w:p>
    <w:p w14:paraId="091BAC04" w14:textId="77777777" w:rsidR="008B4490" w:rsidRPr="008B4490" w:rsidRDefault="008B4490" w:rsidP="008B4490">
      <w:pPr>
        <w:pStyle w:val="corte4fondo"/>
        <w:tabs>
          <w:tab w:val="left" w:pos="567"/>
        </w:tabs>
        <w:ind w:left="709"/>
        <w:rPr>
          <w:rFonts w:cs="Arial"/>
          <w:i/>
          <w:iCs/>
          <w:color w:val="365F91" w:themeColor="accent1" w:themeShade="BF"/>
          <w:sz w:val="24"/>
          <w:szCs w:val="24"/>
          <w:lang w:val="es-ES_tradnl"/>
        </w:rPr>
      </w:pPr>
    </w:p>
    <w:p w14:paraId="05A2D90B" w14:textId="0B8C064C" w:rsidR="008B4490" w:rsidRPr="008B4490" w:rsidRDefault="008B4490" w:rsidP="008B4490">
      <w:pPr>
        <w:pStyle w:val="corte4fondo"/>
        <w:tabs>
          <w:tab w:val="left" w:pos="567"/>
        </w:tabs>
        <w:ind w:left="709"/>
        <w:rPr>
          <w:rFonts w:cs="Arial"/>
          <w:i/>
          <w:iCs/>
          <w:color w:val="365F91" w:themeColor="accent1" w:themeShade="BF"/>
          <w:sz w:val="24"/>
          <w:szCs w:val="24"/>
          <w:lang w:val="es-ES_tradnl"/>
        </w:rPr>
      </w:pPr>
      <w:r>
        <w:rPr>
          <w:rFonts w:cs="Arial"/>
          <w:i/>
          <w:iCs/>
          <w:color w:val="365F91" w:themeColor="accent1" w:themeShade="BF"/>
          <w:sz w:val="24"/>
          <w:szCs w:val="24"/>
          <w:lang w:val="es-ES_tradnl"/>
        </w:rPr>
        <w:t>“</w:t>
      </w:r>
      <w:r w:rsidRPr="008B4490">
        <w:rPr>
          <w:rFonts w:cs="Arial"/>
          <w:i/>
          <w:iCs/>
          <w:color w:val="365F91" w:themeColor="accent1" w:themeShade="BF"/>
          <w:sz w:val="24"/>
          <w:szCs w:val="24"/>
          <w:lang w:val="es-ES_tradnl"/>
        </w:rPr>
        <w:t>ARTÍCULO 3°. Para los efectos de la presente Ley se entenderá por:</w:t>
      </w:r>
    </w:p>
    <w:p w14:paraId="536D2854" w14:textId="77777777" w:rsidR="008B4490" w:rsidRPr="008B4490" w:rsidRDefault="008B4490" w:rsidP="008B4490">
      <w:pPr>
        <w:pStyle w:val="corte4fondo"/>
        <w:tabs>
          <w:tab w:val="left" w:pos="567"/>
        </w:tabs>
        <w:ind w:left="709"/>
        <w:rPr>
          <w:rFonts w:cs="Arial"/>
          <w:i/>
          <w:iCs/>
          <w:color w:val="365F91" w:themeColor="accent1" w:themeShade="BF"/>
          <w:sz w:val="24"/>
          <w:szCs w:val="24"/>
          <w:lang w:val="es-ES_tradnl"/>
        </w:rPr>
      </w:pPr>
      <w:r w:rsidRPr="008B4490">
        <w:rPr>
          <w:rFonts w:cs="Arial"/>
          <w:i/>
          <w:iCs/>
          <w:color w:val="365F91" w:themeColor="accent1" w:themeShade="BF"/>
          <w:sz w:val="24"/>
          <w:szCs w:val="24"/>
          <w:lang w:val="es-ES_tradnl"/>
        </w:rPr>
        <w:t>(...)</w:t>
      </w:r>
    </w:p>
    <w:p w14:paraId="1DB0F43C" w14:textId="77777777" w:rsidR="008B4490" w:rsidRPr="008B4490" w:rsidRDefault="008B4490" w:rsidP="008B4490">
      <w:pPr>
        <w:pStyle w:val="corte4fondo"/>
        <w:tabs>
          <w:tab w:val="left" w:pos="567"/>
        </w:tabs>
        <w:ind w:left="709"/>
        <w:rPr>
          <w:rFonts w:cs="Arial"/>
          <w:i/>
          <w:iCs/>
          <w:color w:val="365F91" w:themeColor="accent1" w:themeShade="BF"/>
          <w:sz w:val="24"/>
          <w:szCs w:val="24"/>
          <w:lang w:val="es-ES_tradnl"/>
        </w:rPr>
      </w:pPr>
      <w:r w:rsidRPr="008B4490">
        <w:rPr>
          <w:rFonts w:cs="Arial"/>
          <w:i/>
          <w:iCs/>
          <w:color w:val="365F91" w:themeColor="accent1" w:themeShade="BF"/>
          <w:sz w:val="24"/>
          <w:szCs w:val="24"/>
          <w:lang w:val="es-ES_tradnl"/>
        </w:rPr>
        <w:t xml:space="preserve">XI. Datos personales: toda información sobre una persona física identificada o identificable, como lo es la relativa a su origen étnico o racial, </w:t>
      </w:r>
      <w:r w:rsidRPr="008B4490">
        <w:rPr>
          <w:rFonts w:cs="Arial"/>
          <w:i/>
          <w:iCs/>
          <w:color w:val="365F91" w:themeColor="accent1" w:themeShade="BF"/>
          <w:sz w:val="24"/>
          <w:szCs w:val="24"/>
          <w:lang w:val="es-ES_tradnl"/>
        </w:rPr>
        <w:lastRenderedPageBreak/>
        <w:t>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 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r w:rsidRPr="008B4490">
        <w:rPr>
          <w:rFonts w:cs="Arial"/>
          <w:i/>
          <w:iCs/>
          <w:color w:val="365F91" w:themeColor="accent1" w:themeShade="BF"/>
          <w:sz w:val="24"/>
          <w:szCs w:val="24"/>
          <w:lang w:val="es-ES_tradnl"/>
        </w:rPr>
        <w:tab/>
      </w:r>
    </w:p>
    <w:p w14:paraId="289673D8" w14:textId="77777777" w:rsidR="008B4490" w:rsidRPr="008B4490" w:rsidRDefault="008B4490" w:rsidP="008B4490">
      <w:pPr>
        <w:pStyle w:val="corte4fondo"/>
        <w:tabs>
          <w:tab w:val="left" w:pos="567"/>
        </w:tabs>
        <w:ind w:left="709"/>
        <w:rPr>
          <w:rFonts w:cs="Arial"/>
          <w:i/>
          <w:iCs/>
          <w:color w:val="365F91" w:themeColor="accent1" w:themeShade="BF"/>
          <w:sz w:val="24"/>
          <w:szCs w:val="24"/>
          <w:lang w:val="es-ES_tradnl"/>
        </w:rPr>
      </w:pPr>
      <w:r w:rsidRPr="008B4490">
        <w:rPr>
          <w:rFonts w:cs="Arial"/>
          <w:i/>
          <w:iCs/>
          <w:color w:val="365F91" w:themeColor="accent1" w:themeShade="BF"/>
          <w:sz w:val="24"/>
          <w:szCs w:val="24"/>
          <w:lang w:val="es-ES_tradnl"/>
        </w:rPr>
        <w:t>(...)</w:t>
      </w:r>
    </w:p>
    <w:p w14:paraId="050783D2" w14:textId="76926F9E" w:rsidR="008B4490" w:rsidRPr="008B4490" w:rsidRDefault="008B4490" w:rsidP="0066551D">
      <w:pPr>
        <w:pStyle w:val="corte4fondo"/>
        <w:tabs>
          <w:tab w:val="left" w:pos="567"/>
        </w:tabs>
        <w:ind w:left="709"/>
        <w:rPr>
          <w:rFonts w:cs="Arial"/>
          <w:i/>
          <w:iCs/>
          <w:color w:val="365F91" w:themeColor="accent1" w:themeShade="BF"/>
          <w:sz w:val="24"/>
          <w:szCs w:val="24"/>
          <w:lang w:val="es-ES_tradnl"/>
        </w:rPr>
      </w:pPr>
      <w:r w:rsidRPr="008B4490">
        <w:rPr>
          <w:rFonts w:cs="Arial"/>
          <w:i/>
          <w:iCs/>
          <w:color w:val="365F91" w:themeColor="accent1" w:themeShade="BF"/>
          <w:sz w:val="24"/>
          <w:szCs w:val="24"/>
          <w:lang w:val="es-ES_tradnl"/>
        </w:rPr>
        <w:t>XVII. Información confidencial.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r>
        <w:rPr>
          <w:rFonts w:cs="Arial"/>
          <w:i/>
          <w:iCs/>
          <w:color w:val="365F91" w:themeColor="accent1" w:themeShade="BF"/>
          <w:sz w:val="24"/>
          <w:szCs w:val="24"/>
          <w:lang w:val="es-ES_tradnl"/>
        </w:rPr>
        <w:t>”</w:t>
      </w:r>
    </w:p>
    <w:p w14:paraId="082492E2" w14:textId="77777777" w:rsidR="00B94385" w:rsidRDefault="00B94385" w:rsidP="00B94385">
      <w:pPr>
        <w:pStyle w:val="corte4fondo"/>
        <w:tabs>
          <w:tab w:val="left" w:pos="567"/>
        </w:tabs>
        <w:ind w:firstLine="0"/>
        <w:rPr>
          <w:rFonts w:cs="Arial"/>
          <w:color w:val="FF0000"/>
          <w:sz w:val="24"/>
          <w:szCs w:val="24"/>
        </w:rPr>
      </w:pPr>
    </w:p>
    <w:p w14:paraId="7E239FEB" w14:textId="64C3ECD3" w:rsidR="00B94385" w:rsidRPr="00F974B7" w:rsidRDefault="008B4490" w:rsidP="008B7BF0">
      <w:pPr>
        <w:pStyle w:val="corte4fondo"/>
        <w:tabs>
          <w:tab w:val="left" w:pos="567"/>
        </w:tabs>
        <w:rPr>
          <w:rFonts w:cs="Arial"/>
          <w:color w:val="365F91" w:themeColor="accent1" w:themeShade="BF"/>
          <w:sz w:val="24"/>
          <w:szCs w:val="24"/>
        </w:rPr>
      </w:pPr>
      <w:r w:rsidRPr="00F974B7">
        <w:rPr>
          <w:rFonts w:cs="Arial"/>
          <w:color w:val="365F91" w:themeColor="accent1" w:themeShade="BF"/>
          <w:sz w:val="24"/>
          <w:szCs w:val="24"/>
        </w:rPr>
        <w:t xml:space="preserve">En consecuencia, </w:t>
      </w:r>
      <w:r w:rsidR="008B7BF0" w:rsidRPr="00F974B7">
        <w:rPr>
          <w:rFonts w:cs="Arial"/>
          <w:color w:val="365F91" w:themeColor="accent1" w:themeShade="BF"/>
          <w:sz w:val="24"/>
          <w:szCs w:val="24"/>
        </w:rPr>
        <w:t xml:space="preserve">se advierte que la versión publica que se pretendió acompañar a su Informe, no puede ser tomada en cuenta, en razón de que  </w:t>
      </w:r>
      <w:r w:rsidR="00256240" w:rsidRPr="00F974B7">
        <w:rPr>
          <w:rFonts w:cs="Arial"/>
          <w:color w:val="365F91" w:themeColor="accent1" w:themeShade="BF"/>
          <w:sz w:val="24"/>
          <w:szCs w:val="24"/>
        </w:rPr>
        <w:t>se testo información relevante como lo son nombre y fecha, mismos que aportan certeza para el recurrente de dicho Titulo de Crédito, aunado a ello, no se n</w:t>
      </w:r>
      <w:r w:rsidR="00F974B7">
        <w:rPr>
          <w:rFonts w:cs="Arial"/>
          <w:color w:val="365F91" w:themeColor="accent1" w:themeShade="BF"/>
          <w:sz w:val="24"/>
          <w:szCs w:val="24"/>
        </w:rPr>
        <w:t>ú</w:t>
      </w:r>
      <w:r w:rsidR="00256240" w:rsidRPr="00F974B7">
        <w:rPr>
          <w:rFonts w:cs="Arial"/>
          <w:color w:val="365F91" w:themeColor="accent1" w:themeShade="BF"/>
          <w:sz w:val="24"/>
          <w:szCs w:val="24"/>
        </w:rPr>
        <w:t>mero lo testado con su leyenda correspondiente para mayor claridad.</w:t>
      </w:r>
    </w:p>
    <w:p w14:paraId="37BB06F0" w14:textId="77777777" w:rsidR="00B94385" w:rsidRDefault="00B94385" w:rsidP="00B27EF1">
      <w:pPr>
        <w:pStyle w:val="corte4fondo"/>
        <w:tabs>
          <w:tab w:val="left" w:pos="567"/>
        </w:tabs>
        <w:rPr>
          <w:rFonts w:cs="Arial"/>
          <w:color w:val="FF0000"/>
          <w:sz w:val="24"/>
          <w:szCs w:val="24"/>
        </w:rPr>
      </w:pPr>
    </w:p>
    <w:p w14:paraId="1D05F5BD" w14:textId="02F8EC7B" w:rsidR="00B94385" w:rsidRPr="00B27EF1" w:rsidRDefault="00B27EF1" w:rsidP="00B27EF1">
      <w:pPr>
        <w:pStyle w:val="corte4fondo"/>
        <w:tabs>
          <w:tab w:val="left" w:pos="567"/>
        </w:tabs>
        <w:rPr>
          <w:rFonts w:cs="Arial"/>
          <w:color w:val="365F91" w:themeColor="accent1" w:themeShade="BF"/>
          <w:sz w:val="24"/>
          <w:szCs w:val="24"/>
        </w:rPr>
      </w:pPr>
      <w:r w:rsidRPr="00B27EF1">
        <w:rPr>
          <w:rFonts w:cs="Arial"/>
          <w:color w:val="365F91" w:themeColor="accent1" w:themeShade="BF"/>
          <w:sz w:val="24"/>
          <w:szCs w:val="24"/>
        </w:rPr>
        <w:t>Por último, se insta para que la notificación al recurrente sea mediante el medio señalado por el mismo, siendo en este caso, vía correo electrónico; sin embargo, en el extremo de que no se pueda llevar a cabo de esa manera, entonces sí, se proceda a notificar mediante estrados conforme a la Ley de la Materia.</w:t>
      </w:r>
    </w:p>
    <w:p w14:paraId="736DC0E5" w14:textId="5D78D831" w:rsidR="00B94385" w:rsidRPr="008120A0" w:rsidRDefault="00B94385" w:rsidP="00B94385">
      <w:pPr>
        <w:spacing w:after="0"/>
        <w:ind w:left="-5" w:firstLine="713"/>
        <w:jc w:val="both"/>
        <w:rPr>
          <w:rFonts w:ascii="Arial" w:hAnsi="Arial" w:cs="Arial"/>
          <w:i/>
          <w:color w:val="FF0000"/>
          <w:sz w:val="24"/>
          <w:szCs w:val="24"/>
        </w:rPr>
      </w:pPr>
    </w:p>
    <w:p w14:paraId="548DF824" w14:textId="77777777" w:rsidR="00B94385" w:rsidRPr="00B27EF1" w:rsidRDefault="00B94385" w:rsidP="00B94385">
      <w:pPr>
        <w:pStyle w:val="corte4fondo"/>
        <w:tabs>
          <w:tab w:val="left" w:pos="567"/>
        </w:tabs>
        <w:rPr>
          <w:rFonts w:cs="Arial"/>
          <w:color w:val="365F91" w:themeColor="accent1" w:themeShade="BF"/>
          <w:sz w:val="24"/>
          <w:szCs w:val="24"/>
        </w:rPr>
      </w:pPr>
      <w:r w:rsidRPr="00B27EF1">
        <w:rPr>
          <w:rFonts w:cs="Arial"/>
          <w:color w:val="365F91" w:themeColor="accent1" w:themeShade="BF"/>
          <w:sz w:val="24"/>
          <w:szCs w:val="24"/>
        </w:rPr>
        <w:t>En esa tesitura, de las documentales exhibidas por el sujeto obligado</w:t>
      </w:r>
      <w:r w:rsidRPr="00B27EF1">
        <w:rPr>
          <w:rFonts w:cs="Arial"/>
          <w:b/>
          <w:color w:val="365F91" w:themeColor="accent1" w:themeShade="BF"/>
          <w:sz w:val="24"/>
          <w:szCs w:val="24"/>
        </w:rPr>
        <w:t>, se advierte que estas no son suficientes para colmar los extremos fijados en la resolución de mérito y por tanto</w:t>
      </w:r>
      <w:r w:rsidRPr="00B27EF1">
        <w:rPr>
          <w:rFonts w:cs="Arial"/>
          <w:color w:val="365F91" w:themeColor="accent1" w:themeShade="BF"/>
          <w:sz w:val="24"/>
          <w:szCs w:val="24"/>
        </w:rPr>
        <w:t xml:space="preserve"> </w:t>
      </w:r>
      <w:r w:rsidRPr="00B27EF1">
        <w:rPr>
          <w:rFonts w:cs="Arial"/>
          <w:b/>
          <w:color w:val="365F91" w:themeColor="accent1" w:themeShade="BF"/>
          <w:sz w:val="24"/>
          <w:szCs w:val="24"/>
        </w:rPr>
        <w:t>se encuentra incumplida.</w:t>
      </w:r>
      <w:r w:rsidRPr="00B27EF1">
        <w:rPr>
          <w:rFonts w:cs="Arial"/>
          <w:color w:val="365F91" w:themeColor="accent1" w:themeShade="BF"/>
          <w:sz w:val="24"/>
          <w:szCs w:val="24"/>
        </w:rPr>
        <w:t xml:space="preserve"> </w:t>
      </w:r>
    </w:p>
    <w:p w14:paraId="65756D18" w14:textId="77777777" w:rsidR="00B94385" w:rsidRPr="008120A0" w:rsidRDefault="00B94385" w:rsidP="00B94385">
      <w:pPr>
        <w:spacing w:after="0" w:line="360" w:lineRule="auto"/>
        <w:jc w:val="both"/>
        <w:rPr>
          <w:rFonts w:ascii="Arial" w:hAnsi="Arial" w:cs="Arial"/>
          <w:color w:val="FF0000"/>
          <w:sz w:val="24"/>
          <w:szCs w:val="24"/>
        </w:rPr>
      </w:pPr>
    </w:p>
    <w:p w14:paraId="64E720C3" w14:textId="77777777" w:rsidR="00B94385" w:rsidRPr="00B27EF1" w:rsidRDefault="00B94385" w:rsidP="00B94385">
      <w:pPr>
        <w:spacing w:after="0" w:line="360" w:lineRule="auto"/>
        <w:ind w:firstLine="709"/>
        <w:jc w:val="both"/>
        <w:rPr>
          <w:rFonts w:ascii="Arial" w:hAnsi="Arial" w:cs="Arial"/>
          <w:b/>
          <w:color w:val="365F91" w:themeColor="accent1" w:themeShade="BF"/>
          <w:sz w:val="24"/>
          <w:szCs w:val="24"/>
          <w:u w:val="single"/>
        </w:rPr>
      </w:pPr>
      <w:r w:rsidRPr="00B27EF1">
        <w:rPr>
          <w:rFonts w:ascii="Arial" w:hAnsi="Arial" w:cs="Arial"/>
          <w:color w:val="365F91" w:themeColor="accent1" w:themeShade="BF"/>
          <w:sz w:val="24"/>
          <w:szCs w:val="24"/>
        </w:rPr>
        <w:t xml:space="preserve">Por lo expuesto  y con fundamento en los artículos 27° primer párrafo, 184° segundo párrafo y 185 fracción I de la Ley de Transparencia y Acceso a la Información Pública del Estado, se tiene que la resolución emitida por el Pleno de esta Comisión  para este asunto </w:t>
      </w:r>
      <w:r w:rsidRPr="00B27EF1">
        <w:rPr>
          <w:rFonts w:ascii="Arial" w:hAnsi="Arial" w:cs="Arial"/>
          <w:b/>
          <w:color w:val="365F91" w:themeColor="accent1" w:themeShade="BF"/>
          <w:sz w:val="24"/>
          <w:szCs w:val="24"/>
          <w:u w:val="single"/>
        </w:rPr>
        <w:t>se encuentra incumplida y conmina al sujeto obligado a que dé cumplimiento en los precisos términos asentados en la misma, debiendo considerar las causas por las que aquí se decreta el incumplimiento y atenderlas para otorgar el debido cumplimiento.</w:t>
      </w:r>
    </w:p>
    <w:p w14:paraId="11E0BA06" w14:textId="77777777" w:rsidR="00B94385" w:rsidRPr="008120A0" w:rsidRDefault="00B94385" w:rsidP="00B94385">
      <w:pPr>
        <w:spacing w:after="0" w:line="360" w:lineRule="auto"/>
        <w:ind w:firstLine="709"/>
        <w:jc w:val="both"/>
        <w:rPr>
          <w:rFonts w:ascii="Arial" w:hAnsi="Arial" w:cs="Arial"/>
          <w:b/>
          <w:color w:val="FF0000"/>
          <w:sz w:val="24"/>
          <w:szCs w:val="24"/>
          <w:u w:val="single"/>
        </w:rPr>
      </w:pPr>
    </w:p>
    <w:p w14:paraId="754D4235" w14:textId="136EC5C7" w:rsidR="00B94385" w:rsidRPr="00C02B20" w:rsidRDefault="00B94385" w:rsidP="00B94385">
      <w:pPr>
        <w:spacing w:after="0" w:line="360" w:lineRule="auto"/>
        <w:ind w:firstLine="709"/>
        <w:jc w:val="both"/>
        <w:rPr>
          <w:rFonts w:ascii="Arial" w:hAnsi="Arial" w:cs="Arial"/>
          <w:color w:val="365F91" w:themeColor="accent1" w:themeShade="BF"/>
          <w:sz w:val="24"/>
          <w:szCs w:val="24"/>
        </w:rPr>
      </w:pPr>
      <w:r w:rsidRPr="00C02B20">
        <w:rPr>
          <w:rFonts w:ascii="Arial" w:hAnsi="Arial" w:cs="Arial"/>
          <w:color w:val="365F91" w:themeColor="accent1" w:themeShade="BF"/>
          <w:sz w:val="24"/>
          <w:szCs w:val="24"/>
        </w:rPr>
        <w:t xml:space="preserve">En consecuencia, con fundamento en el artículo 185 fracción II, con relación al artículo 58, ambos de la Ley de Transparencia, se requiere al </w:t>
      </w:r>
      <w:r w:rsidR="00B27EF1" w:rsidRPr="00C02B20">
        <w:rPr>
          <w:rFonts w:ascii="Arial" w:hAnsi="Arial" w:cs="Arial"/>
          <w:b/>
          <w:color w:val="365F91" w:themeColor="accent1" w:themeShade="BF"/>
          <w:sz w:val="24"/>
          <w:szCs w:val="24"/>
        </w:rPr>
        <w:t>Titular de Servicios de Salud del Estado de</w:t>
      </w:r>
      <w:r w:rsidRPr="00C02B20">
        <w:rPr>
          <w:rFonts w:ascii="Arial" w:hAnsi="Arial" w:cs="Arial"/>
          <w:b/>
          <w:color w:val="365F91" w:themeColor="accent1" w:themeShade="BF"/>
          <w:sz w:val="24"/>
          <w:szCs w:val="24"/>
        </w:rPr>
        <w:t xml:space="preserve"> San Luis Potosí</w:t>
      </w:r>
      <w:r w:rsidRPr="00C02B20">
        <w:rPr>
          <w:rFonts w:ascii="Arial" w:hAnsi="Arial" w:cs="Arial"/>
          <w:color w:val="365F91" w:themeColor="accent1" w:themeShade="BF"/>
          <w:sz w:val="24"/>
          <w:szCs w:val="24"/>
        </w:rPr>
        <w:t xml:space="preserve">, en virtud de ser el superior jerárquico del </w:t>
      </w:r>
      <w:r w:rsidRPr="00C02B20">
        <w:rPr>
          <w:rFonts w:ascii="Arial" w:hAnsi="Arial" w:cs="Arial"/>
          <w:b/>
          <w:color w:val="365F91" w:themeColor="accent1" w:themeShade="BF"/>
          <w:sz w:val="24"/>
          <w:szCs w:val="24"/>
        </w:rPr>
        <w:t xml:space="preserve">Titular de la Unidad de Transparencia del </w:t>
      </w:r>
      <w:r w:rsidR="00C02B20" w:rsidRPr="00C02B20">
        <w:rPr>
          <w:rFonts w:ascii="Arial" w:hAnsi="Arial" w:cs="Arial"/>
          <w:b/>
          <w:color w:val="365F91" w:themeColor="accent1" w:themeShade="BF"/>
          <w:sz w:val="24"/>
          <w:szCs w:val="24"/>
        </w:rPr>
        <w:t>Servicios de Salud del Estado de San Luis Potosí</w:t>
      </w:r>
      <w:r w:rsidRPr="00C02B20">
        <w:rPr>
          <w:rFonts w:ascii="Arial" w:hAnsi="Arial" w:cs="Arial"/>
          <w:color w:val="365F91" w:themeColor="accent1" w:themeShade="BF"/>
          <w:sz w:val="24"/>
          <w:szCs w:val="24"/>
        </w:rPr>
        <w:t xml:space="preserve">, a efecto de que gire las instrucciones necesarias que permitan dar cabal cumplimiento a la resolución dictada en el </w:t>
      </w:r>
      <w:r w:rsidRPr="00C02B20">
        <w:rPr>
          <w:rFonts w:ascii="Arial" w:hAnsi="Arial" w:cs="Arial"/>
          <w:b/>
          <w:color w:val="365F91" w:themeColor="accent1" w:themeShade="BF"/>
          <w:sz w:val="24"/>
          <w:szCs w:val="24"/>
        </w:rPr>
        <w:t xml:space="preserve">recurso de revisión </w:t>
      </w:r>
      <w:r w:rsidR="00C02B20" w:rsidRPr="00C02B20">
        <w:rPr>
          <w:rFonts w:ascii="Arial" w:hAnsi="Arial" w:cs="Arial"/>
          <w:b/>
          <w:color w:val="365F91" w:themeColor="accent1" w:themeShade="BF"/>
          <w:sz w:val="24"/>
          <w:szCs w:val="24"/>
        </w:rPr>
        <w:t>631</w:t>
      </w:r>
      <w:r w:rsidRPr="00C02B20">
        <w:rPr>
          <w:rFonts w:ascii="Arial" w:hAnsi="Arial" w:cs="Arial"/>
          <w:b/>
          <w:color w:val="365F91" w:themeColor="accent1" w:themeShade="BF"/>
          <w:sz w:val="24"/>
          <w:szCs w:val="24"/>
        </w:rPr>
        <w:t>/2017-</w:t>
      </w:r>
      <w:r w:rsidR="00C02B20" w:rsidRPr="00C02B20">
        <w:rPr>
          <w:rFonts w:ascii="Arial" w:hAnsi="Arial" w:cs="Arial"/>
          <w:b/>
          <w:color w:val="365F91" w:themeColor="accent1" w:themeShade="BF"/>
          <w:sz w:val="24"/>
          <w:szCs w:val="24"/>
        </w:rPr>
        <w:t>1</w:t>
      </w:r>
      <w:r w:rsidRPr="00C02B20">
        <w:rPr>
          <w:rFonts w:ascii="Arial" w:hAnsi="Arial" w:cs="Arial"/>
          <w:b/>
          <w:color w:val="365F91" w:themeColor="accent1" w:themeShade="BF"/>
          <w:sz w:val="24"/>
          <w:szCs w:val="24"/>
        </w:rPr>
        <w:t>, lo anterior dentro del</w:t>
      </w:r>
      <w:r w:rsidRPr="00C02B20">
        <w:rPr>
          <w:rFonts w:ascii="Arial" w:hAnsi="Arial" w:cs="Arial"/>
          <w:color w:val="365F91" w:themeColor="accent1" w:themeShade="BF"/>
          <w:sz w:val="24"/>
          <w:szCs w:val="24"/>
        </w:rPr>
        <w:t xml:space="preserve"> </w:t>
      </w:r>
      <w:r w:rsidRPr="00C02B20">
        <w:rPr>
          <w:rFonts w:ascii="Arial" w:hAnsi="Arial" w:cs="Arial"/>
          <w:b/>
          <w:color w:val="365F91" w:themeColor="accent1" w:themeShade="BF"/>
          <w:sz w:val="24"/>
          <w:szCs w:val="24"/>
        </w:rPr>
        <w:t xml:space="preserve">término de </w:t>
      </w:r>
      <w:r w:rsidRPr="00C328DB">
        <w:rPr>
          <w:rFonts w:ascii="Arial" w:hAnsi="Arial" w:cs="Arial"/>
          <w:b/>
          <w:color w:val="365F91" w:themeColor="accent1" w:themeShade="BF"/>
          <w:sz w:val="24"/>
          <w:szCs w:val="24"/>
        </w:rPr>
        <w:t xml:space="preserve">05 cinco </w:t>
      </w:r>
      <w:r w:rsidRPr="00C02B20">
        <w:rPr>
          <w:rFonts w:ascii="Arial" w:hAnsi="Arial" w:cs="Arial"/>
          <w:b/>
          <w:color w:val="365F91" w:themeColor="accent1" w:themeShade="BF"/>
          <w:sz w:val="24"/>
          <w:szCs w:val="24"/>
        </w:rPr>
        <w:t>días hábiles</w:t>
      </w:r>
      <w:r w:rsidRPr="00C02B20">
        <w:rPr>
          <w:rFonts w:ascii="Arial" w:hAnsi="Arial" w:cs="Arial"/>
          <w:color w:val="365F91" w:themeColor="accent1" w:themeShade="BF"/>
          <w:sz w:val="24"/>
          <w:szCs w:val="24"/>
        </w:rPr>
        <w:t>, contados a partir del día siguiente a la respectiva notificación.</w:t>
      </w:r>
    </w:p>
    <w:p w14:paraId="26C6E000" w14:textId="77777777" w:rsidR="00C328DB" w:rsidRDefault="00C328DB" w:rsidP="00B94385">
      <w:pPr>
        <w:spacing w:after="0" w:line="360" w:lineRule="auto"/>
        <w:ind w:firstLine="709"/>
        <w:jc w:val="both"/>
        <w:rPr>
          <w:rFonts w:ascii="Arial" w:hAnsi="Arial" w:cs="Arial"/>
          <w:color w:val="365F91" w:themeColor="accent1" w:themeShade="BF"/>
          <w:sz w:val="24"/>
          <w:szCs w:val="24"/>
        </w:rPr>
      </w:pPr>
    </w:p>
    <w:p w14:paraId="2FF1D6C7" w14:textId="1534D472" w:rsidR="00B94385" w:rsidRPr="00C02B20" w:rsidRDefault="00B94385" w:rsidP="00B94385">
      <w:pPr>
        <w:spacing w:after="0" w:line="360" w:lineRule="auto"/>
        <w:ind w:firstLine="709"/>
        <w:jc w:val="both"/>
        <w:rPr>
          <w:rFonts w:ascii="Arial" w:hAnsi="Arial" w:cs="Arial"/>
          <w:color w:val="365F91" w:themeColor="accent1" w:themeShade="BF"/>
          <w:sz w:val="24"/>
          <w:szCs w:val="24"/>
        </w:rPr>
      </w:pPr>
      <w:r w:rsidRPr="00C02B20">
        <w:rPr>
          <w:rFonts w:ascii="Arial" w:hAnsi="Arial" w:cs="Arial"/>
          <w:color w:val="365F91" w:themeColor="accent1" w:themeShade="BF"/>
          <w:sz w:val="24"/>
          <w:szCs w:val="24"/>
        </w:rPr>
        <w:t>Con relación a lo anterior</w:t>
      </w:r>
      <w:r w:rsidRPr="00C02B20">
        <w:rPr>
          <w:rFonts w:ascii="Arial" w:hAnsi="Arial" w:cs="Arial"/>
          <w:b/>
          <w:color w:val="365F91" w:themeColor="accent1" w:themeShade="BF"/>
          <w:sz w:val="24"/>
          <w:szCs w:val="24"/>
          <w:u w:val="single"/>
        </w:rPr>
        <w:t>, se apercibe al sujeto obligado de que en caso de no hacerlo se procederá en términos de lo establecido en los artículos 190 y 197 fracción XV de la Ley de Transparencia y Acceso a la Información Pública del Estado</w:t>
      </w:r>
      <w:r w:rsidRPr="00C02B20">
        <w:rPr>
          <w:rFonts w:ascii="Arial" w:hAnsi="Arial" w:cs="Arial"/>
          <w:b/>
          <w:color w:val="365F91" w:themeColor="accent1" w:themeShade="BF"/>
          <w:sz w:val="24"/>
          <w:szCs w:val="24"/>
        </w:rPr>
        <w:t>.</w:t>
      </w:r>
    </w:p>
    <w:p w14:paraId="376F3A02" w14:textId="77777777" w:rsidR="00C328DB" w:rsidRDefault="00C328DB" w:rsidP="00B94385">
      <w:pPr>
        <w:spacing w:after="0" w:line="360" w:lineRule="auto"/>
        <w:ind w:firstLine="709"/>
        <w:jc w:val="both"/>
        <w:rPr>
          <w:rFonts w:ascii="Arial" w:hAnsi="Arial" w:cs="Arial"/>
          <w:color w:val="365F91" w:themeColor="accent1" w:themeShade="BF"/>
          <w:sz w:val="24"/>
          <w:szCs w:val="24"/>
        </w:rPr>
      </w:pPr>
      <w:bookmarkStart w:id="2" w:name="_Hlk19173987"/>
    </w:p>
    <w:p w14:paraId="6BC95CF1" w14:textId="368C1786" w:rsidR="00B94385" w:rsidRPr="0005564C" w:rsidRDefault="00B94385" w:rsidP="00B94385">
      <w:pPr>
        <w:spacing w:after="0" w:line="360" w:lineRule="auto"/>
        <w:ind w:firstLine="709"/>
        <w:jc w:val="both"/>
        <w:rPr>
          <w:rFonts w:ascii="Arial" w:hAnsi="Arial" w:cs="Arial"/>
          <w:color w:val="365F91" w:themeColor="accent1" w:themeShade="BF"/>
          <w:sz w:val="24"/>
          <w:szCs w:val="24"/>
        </w:rPr>
      </w:pPr>
      <w:r w:rsidRPr="0005564C">
        <w:rPr>
          <w:rFonts w:ascii="Arial" w:hAnsi="Arial" w:cs="Arial"/>
          <w:color w:val="365F91" w:themeColor="accent1" w:themeShade="BF"/>
          <w:sz w:val="24"/>
          <w:szCs w:val="24"/>
        </w:rPr>
        <w:t>Ahora bien, en virtud del estado procesal que guarda el recurso de revisión en que se actúa y de la revisión de las constancias que lo integran, y, para efecto de dar cumplimiento al proveído que antecede, con observancia de los Lineamientos para la Aplicación de Medidas de Apremio Establecidas en la Ley de Transparencia y Acceso a la Información Pública del Estado, además de las propias constancias que integran el sumario, tómese en cuenta lo siguiente:</w:t>
      </w:r>
    </w:p>
    <w:p w14:paraId="26FF82C9" w14:textId="0D62A149" w:rsidR="00B94385" w:rsidRPr="00B7695D" w:rsidRDefault="00B94385" w:rsidP="00B94385">
      <w:pPr>
        <w:numPr>
          <w:ilvl w:val="0"/>
          <w:numId w:val="19"/>
        </w:numPr>
        <w:spacing w:after="0" w:line="360" w:lineRule="auto"/>
        <w:jc w:val="both"/>
        <w:rPr>
          <w:rFonts w:ascii="Arial" w:hAnsi="Arial" w:cs="Arial"/>
          <w:color w:val="365F91" w:themeColor="accent1" w:themeShade="BF"/>
          <w:sz w:val="24"/>
          <w:szCs w:val="24"/>
          <w:lang w:val="es-ES"/>
        </w:rPr>
      </w:pPr>
      <w:r w:rsidRPr="00B7695D">
        <w:rPr>
          <w:rFonts w:ascii="Arial" w:hAnsi="Arial" w:cs="Arial"/>
          <w:color w:val="365F91" w:themeColor="accent1" w:themeShade="BF"/>
          <w:sz w:val="24"/>
          <w:szCs w:val="24"/>
          <w:lang w:val="es-ES"/>
        </w:rPr>
        <w:t xml:space="preserve">El </w:t>
      </w:r>
      <w:r w:rsidR="00B7695D" w:rsidRPr="00B7695D">
        <w:rPr>
          <w:rFonts w:ascii="Arial" w:hAnsi="Arial" w:cs="Arial"/>
          <w:color w:val="365F91" w:themeColor="accent1" w:themeShade="BF"/>
          <w:sz w:val="24"/>
          <w:szCs w:val="24"/>
          <w:lang w:val="es-ES"/>
        </w:rPr>
        <w:t>24 veinticuatro de octubre</w:t>
      </w:r>
      <w:r w:rsidRPr="00B7695D">
        <w:rPr>
          <w:rFonts w:ascii="Arial" w:hAnsi="Arial" w:cs="Arial"/>
          <w:color w:val="365F91" w:themeColor="accent1" w:themeShade="BF"/>
          <w:sz w:val="24"/>
          <w:szCs w:val="24"/>
          <w:lang w:val="es-ES"/>
        </w:rPr>
        <w:t xml:space="preserve"> de 2017 dos mil diecisiete, el Pleno de esta Comisión dicto la resolución al recurso de revisión RR-</w:t>
      </w:r>
      <w:r w:rsidR="00B7695D" w:rsidRPr="00B7695D">
        <w:rPr>
          <w:rFonts w:ascii="Arial" w:hAnsi="Arial" w:cs="Arial"/>
          <w:color w:val="365F91" w:themeColor="accent1" w:themeShade="BF"/>
          <w:sz w:val="24"/>
          <w:szCs w:val="24"/>
          <w:lang w:val="es-ES"/>
        </w:rPr>
        <w:lastRenderedPageBreak/>
        <w:t>631</w:t>
      </w:r>
      <w:r w:rsidRPr="00B7695D">
        <w:rPr>
          <w:rFonts w:ascii="Arial" w:hAnsi="Arial" w:cs="Arial"/>
          <w:color w:val="365F91" w:themeColor="accent1" w:themeShade="BF"/>
          <w:sz w:val="24"/>
          <w:szCs w:val="24"/>
          <w:lang w:val="es-ES"/>
        </w:rPr>
        <w:t xml:space="preserve">/2017-1; por la cual se modificó la respuesta dada por el sujeto obligado y se le </w:t>
      </w:r>
      <w:r w:rsidR="00B7695D" w:rsidRPr="00B7695D">
        <w:rPr>
          <w:rFonts w:ascii="Arial" w:hAnsi="Arial" w:cs="Arial"/>
          <w:color w:val="365F91" w:themeColor="accent1" w:themeShade="BF"/>
          <w:sz w:val="24"/>
          <w:szCs w:val="24"/>
          <w:lang w:val="es-ES"/>
        </w:rPr>
        <w:t>conminó</w:t>
      </w:r>
      <w:r w:rsidRPr="00B7695D">
        <w:rPr>
          <w:rFonts w:ascii="Arial" w:hAnsi="Arial" w:cs="Arial"/>
          <w:color w:val="365F91" w:themeColor="accent1" w:themeShade="BF"/>
          <w:sz w:val="24"/>
          <w:szCs w:val="24"/>
          <w:lang w:val="es-ES"/>
        </w:rPr>
        <w:t xml:space="preserve"> a entregar la información solicitada en un plazo de </w:t>
      </w:r>
      <w:r w:rsidR="00B7695D" w:rsidRPr="00B7695D">
        <w:rPr>
          <w:rFonts w:ascii="Arial" w:hAnsi="Arial" w:cs="Arial"/>
          <w:color w:val="365F91" w:themeColor="accent1" w:themeShade="BF"/>
          <w:sz w:val="24"/>
          <w:szCs w:val="24"/>
          <w:lang w:val="es-ES"/>
        </w:rPr>
        <w:t>10</w:t>
      </w:r>
      <w:r w:rsidRPr="00B7695D">
        <w:rPr>
          <w:rFonts w:ascii="Arial" w:hAnsi="Arial" w:cs="Arial"/>
          <w:color w:val="365F91" w:themeColor="accent1" w:themeShade="BF"/>
          <w:sz w:val="24"/>
          <w:szCs w:val="24"/>
          <w:lang w:val="es-ES"/>
        </w:rPr>
        <w:t xml:space="preserve"> diez días. (</w:t>
      </w:r>
      <w:r w:rsidR="00B7695D" w:rsidRPr="00B7695D">
        <w:rPr>
          <w:rFonts w:ascii="Arial" w:hAnsi="Arial" w:cs="Arial"/>
          <w:color w:val="365F91" w:themeColor="accent1" w:themeShade="BF"/>
          <w:sz w:val="24"/>
          <w:szCs w:val="24"/>
          <w:lang w:val="es-ES"/>
        </w:rPr>
        <w:t xml:space="preserve">al reverso </w:t>
      </w:r>
      <w:r w:rsidR="00B7695D" w:rsidRPr="00B7695D">
        <w:rPr>
          <w:rFonts w:ascii="Arial" w:hAnsi="Arial" w:cs="Arial"/>
          <w:color w:val="365F91" w:themeColor="accent1" w:themeShade="BF"/>
          <w:sz w:val="24"/>
          <w:szCs w:val="24"/>
          <w:lang w:val="es-ES"/>
        </w:rPr>
        <w:t xml:space="preserve"> de </w:t>
      </w:r>
      <w:r w:rsidRPr="00B7695D">
        <w:rPr>
          <w:rFonts w:ascii="Arial" w:hAnsi="Arial" w:cs="Arial"/>
          <w:color w:val="365F91" w:themeColor="accent1" w:themeShade="BF"/>
          <w:sz w:val="24"/>
          <w:szCs w:val="24"/>
          <w:lang w:val="es-ES"/>
        </w:rPr>
        <w:t xml:space="preserve">foja </w:t>
      </w:r>
      <w:r w:rsidR="00B7695D" w:rsidRPr="00B7695D">
        <w:rPr>
          <w:rFonts w:ascii="Arial" w:hAnsi="Arial" w:cs="Arial"/>
          <w:color w:val="365F91" w:themeColor="accent1" w:themeShade="BF"/>
          <w:sz w:val="24"/>
          <w:szCs w:val="24"/>
          <w:lang w:val="es-ES"/>
        </w:rPr>
        <w:t>26</w:t>
      </w:r>
      <w:r w:rsidRPr="00B7695D">
        <w:rPr>
          <w:rFonts w:ascii="Arial" w:hAnsi="Arial" w:cs="Arial"/>
          <w:color w:val="365F91" w:themeColor="accent1" w:themeShade="BF"/>
          <w:sz w:val="24"/>
          <w:szCs w:val="24"/>
          <w:lang w:val="es-ES"/>
        </w:rPr>
        <w:t xml:space="preserve"> de autos)</w:t>
      </w:r>
      <w:r w:rsidR="00B7695D" w:rsidRPr="00B7695D">
        <w:rPr>
          <w:rFonts w:ascii="Arial" w:hAnsi="Arial" w:cs="Arial"/>
          <w:color w:val="365F91" w:themeColor="accent1" w:themeShade="BF"/>
          <w:sz w:val="24"/>
          <w:szCs w:val="24"/>
          <w:lang w:val="es-ES"/>
        </w:rPr>
        <w:t>.</w:t>
      </w:r>
    </w:p>
    <w:p w14:paraId="33492EF7" w14:textId="0A8A9683" w:rsidR="00B94385" w:rsidRPr="00B7695D" w:rsidRDefault="00B94385" w:rsidP="00B94385">
      <w:pPr>
        <w:numPr>
          <w:ilvl w:val="0"/>
          <w:numId w:val="19"/>
        </w:numPr>
        <w:spacing w:after="0" w:line="360" w:lineRule="auto"/>
        <w:jc w:val="both"/>
        <w:rPr>
          <w:rFonts w:ascii="Arial" w:hAnsi="Arial" w:cs="Arial"/>
          <w:color w:val="365F91" w:themeColor="accent1" w:themeShade="BF"/>
          <w:sz w:val="24"/>
          <w:szCs w:val="24"/>
          <w:lang w:val="es-ES"/>
        </w:rPr>
      </w:pPr>
      <w:r w:rsidRPr="00B7695D">
        <w:rPr>
          <w:rFonts w:ascii="Arial" w:hAnsi="Arial" w:cs="Arial"/>
          <w:color w:val="365F91" w:themeColor="accent1" w:themeShade="BF"/>
          <w:sz w:val="24"/>
          <w:szCs w:val="24"/>
          <w:lang w:val="es-ES"/>
        </w:rPr>
        <w:t xml:space="preserve">El sujeto obligado fue notificado de la resolución el </w:t>
      </w:r>
      <w:r w:rsidR="00B7695D" w:rsidRPr="00B7695D">
        <w:rPr>
          <w:rFonts w:ascii="Arial" w:hAnsi="Arial" w:cs="Arial"/>
          <w:color w:val="365F91" w:themeColor="accent1" w:themeShade="BF"/>
          <w:sz w:val="24"/>
          <w:szCs w:val="24"/>
          <w:lang w:val="es-ES"/>
        </w:rPr>
        <w:t>08 ocho</w:t>
      </w:r>
      <w:r w:rsidRPr="00B7695D">
        <w:rPr>
          <w:rFonts w:ascii="Arial" w:hAnsi="Arial" w:cs="Arial"/>
          <w:color w:val="365F91" w:themeColor="accent1" w:themeShade="BF"/>
          <w:sz w:val="24"/>
          <w:szCs w:val="24"/>
          <w:lang w:val="es-ES"/>
        </w:rPr>
        <w:t xml:space="preserve"> de </w:t>
      </w:r>
      <w:r w:rsidR="00B7695D" w:rsidRPr="00B7695D">
        <w:rPr>
          <w:rFonts w:ascii="Arial" w:hAnsi="Arial" w:cs="Arial"/>
          <w:color w:val="365F91" w:themeColor="accent1" w:themeShade="BF"/>
          <w:sz w:val="24"/>
          <w:szCs w:val="24"/>
          <w:lang w:val="es-ES"/>
        </w:rPr>
        <w:t>noviembre</w:t>
      </w:r>
      <w:r w:rsidRPr="00B7695D">
        <w:rPr>
          <w:rFonts w:ascii="Arial" w:hAnsi="Arial" w:cs="Arial"/>
          <w:color w:val="365F91" w:themeColor="accent1" w:themeShade="BF"/>
          <w:sz w:val="24"/>
          <w:szCs w:val="24"/>
          <w:lang w:val="es-ES"/>
        </w:rPr>
        <w:t xml:space="preserve"> de 2017 dos mil diecisiete, conforme la certificación visible a foja </w:t>
      </w:r>
      <w:r w:rsidR="00B7695D" w:rsidRPr="00B7695D">
        <w:rPr>
          <w:rFonts w:ascii="Arial" w:hAnsi="Arial" w:cs="Arial"/>
          <w:color w:val="365F91" w:themeColor="accent1" w:themeShade="BF"/>
          <w:sz w:val="24"/>
          <w:szCs w:val="24"/>
          <w:lang w:val="es-ES"/>
        </w:rPr>
        <w:t>30</w:t>
      </w:r>
      <w:r w:rsidRPr="00B7695D">
        <w:rPr>
          <w:rFonts w:ascii="Arial" w:hAnsi="Arial" w:cs="Arial"/>
          <w:color w:val="365F91" w:themeColor="accent1" w:themeShade="BF"/>
          <w:sz w:val="24"/>
          <w:szCs w:val="24"/>
          <w:lang w:val="es-ES"/>
        </w:rPr>
        <w:t xml:space="preserve"> de autos.</w:t>
      </w:r>
    </w:p>
    <w:p w14:paraId="199B7A52" w14:textId="7CD3036C" w:rsidR="00B94385" w:rsidRPr="006F56CF" w:rsidRDefault="00B94385" w:rsidP="00B94385">
      <w:pPr>
        <w:numPr>
          <w:ilvl w:val="0"/>
          <w:numId w:val="19"/>
        </w:numPr>
        <w:spacing w:after="0" w:line="360" w:lineRule="auto"/>
        <w:jc w:val="both"/>
        <w:rPr>
          <w:rFonts w:ascii="Arial" w:hAnsi="Arial" w:cs="Arial"/>
          <w:color w:val="365F91" w:themeColor="accent1" w:themeShade="BF"/>
          <w:sz w:val="24"/>
          <w:szCs w:val="24"/>
          <w:lang w:val="es-ES"/>
        </w:rPr>
      </w:pPr>
      <w:r w:rsidRPr="00850953">
        <w:rPr>
          <w:rFonts w:ascii="Arial" w:hAnsi="Arial" w:cs="Arial"/>
          <w:color w:val="365F91" w:themeColor="accent1" w:themeShade="BF"/>
          <w:sz w:val="24"/>
          <w:szCs w:val="24"/>
          <w:lang w:val="es-ES"/>
        </w:rPr>
        <w:t>Mediante proveído de 2</w:t>
      </w:r>
      <w:r w:rsidR="00850953" w:rsidRPr="00850953">
        <w:rPr>
          <w:rFonts w:ascii="Arial" w:hAnsi="Arial" w:cs="Arial"/>
          <w:color w:val="365F91" w:themeColor="accent1" w:themeShade="BF"/>
          <w:sz w:val="24"/>
          <w:szCs w:val="24"/>
          <w:lang w:val="es-ES"/>
        </w:rPr>
        <w:t>9</w:t>
      </w:r>
      <w:r w:rsidRPr="00850953">
        <w:rPr>
          <w:rFonts w:ascii="Arial" w:hAnsi="Arial" w:cs="Arial"/>
          <w:color w:val="365F91" w:themeColor="accent1" w:themeShade="BF"/>
          <w:sz w:val="24"/>
          <w:szCs w:val="24"/>
          <w:lang w:val="es-ES"/>
        </w:rPr>
        <w:t xml:space="preserve"> veinti</w:t>
      </w:r>
      <w:r w:rsidR="00850953" w:rsidRPr="00850953">
        <w:rPr>
          <w:rFonts w:ascii="Arial" w:hAnsi="Arial" w:cs="Arial"/>
          <w:color w:val="365F91" w:themeColor="accent1" w:themeShade="BF"/>
          <w:sz w:val="24"/>
          <w:szCs w:val="24"/>
          <w:lang w:val="es-ES"/>
        </w:rPr>
        <w:t>nueve</w:t>
      </w:r>
      <w:r w:rsidRPr="00850953">
        <w:rPr>
          <w:rFonts w:ascii="Arial" w:hAnsi="Arial" w:cs="Arial"/>
          <w:color w:val="365F91" w:themeColor="accent1" w:themeShade="BF"/>
          <w:sz w:val="24"/>
          <w:szCs w:val="24"/>
          <w:lang w:val="es-ES"/>
        </w:rPr>
        <w:t xml:space="preserve"> de </w:t>
      </w:r>
      <w:r w:rsidR="00850953" w:rsidRPr="00850953">
        <w:rPr>
          <w:rFonts w:ascii="Arial" w:hAnsi="Arial" w:cs="Arial"/>
          <w:color w:val="365F91" w:themeColor="accent1" w:themeShade="BF"/>
          <w:sz w:val="24"/>
          <w:szCs w:val="24"/>
          <w:lang w:val="es-ES"/>
        </w:rPr>
        <w:t>noviembre</w:t>
      </w:r>
      <w:r w:rsidRPr="00850953">
        <w:rPr>
          <w:rFonts w:ascii="Arial" w:hAnsi="Arial" w:cs="Arial"/>
          <w:color w:val="365F91" w:themeColor="accent1" w:themeShade="BF"/>
          <w:sz w:val="24"/>
          <w:szCs w:val="24"/>
          <w:lang w:val="es-ES"/>
        </w:rPr>
        <w:t xml:space="preserve"> de 2017 dos mil diecisiete, se tuvo al sujeto obligado por acompañadas las constancias con las que pretendía dar cumplimiento a la resolución dictada en el presente asunto. (Visible a foja </w:t>
      </w:r>
      <w:r w:rsidR="00850953" w:rsidRPr="00850953">
        <w:rPr>
          <w:rFonts w:ascii="Arial" w:hAnsi="Arial" w:cs="Arial"/>
          <w:color w:val="365F91" w:themeColor="accent1" w:themeShade="BF"/>
          <w:sz w:val="24"/>
          <w:szCs w:val="24"/>
          <w:lang w:val="es-ES"/>
        </w:rPr>
        <w:t>31 a 35</w:t>
      </w:r>
      <w:r w:rsidRPr="00850953">
        <w:rPr>
          <w:rFonts w:ascii="Arial" w:hAnsi="Arial" w:cs="Arial"/>
          <w:color w:val="365F91" w:themeColor="accent1" w:themeShade="BF"/>
          <w:sz w:val="24"/>
          <w:szCs w:val="24"/>
          <w:lang w:val="es-ES"/>
        </w:rPr>
        <w:t xml:space="preserve"> de autos.) Asimismo, se le dio vista al recurrente para que manifestara lo que a su derecho conviniere respecto del cumplimiento dado por el </w:t>
      </w:r>
      <w:r w:rsidRPr="006F56CF">
        <w:rPr>
          <w:rFonts w:ascii="Arial" w:hAnsi="Arial" w:cs="Arial"/>
          <w:color w:val="365F91" w:themeColor="accent1" w:themeShade="BF"/>
          <w:sz w:val="24"/>
          <w:szCs w:val="24"/>
          <w:lang w:val="es-ES"/>
        </w:rPr>
        <w:t>sujeto obligado.</w:t>
      </w:r>
    </w:p>
    <w:p w14:paraId="7CB0654A" w14:textId="0A9DCC3F" w:rsidR="00B94385" w:rsidRPr="006F56CF" w:rsidRDefault="00B94385" w:rsidP="00B94385">
      <w:pPr>
        <w:numPr>
          <w:ilvl w:val="0"/>
          <w:numId w:val="19"/>
        </w:numPr>
        <w:spacing w:after="0" w:line="360" w:lineRule="auto"/>
        <w:jc w:val="both"/>
        <w:rPr>
          <w:rFonts w:ascii="Arial" w:hAnsi="Arial" w:cs="Arial"/>
          <w:color w:val="365F91" w:themeColor="accent1" w:themeShade="BF"/>
          <w:sz w:val="24"/>
          <w:szCs w:val="24"/>
          <w:lang w:val="es-ES"/>
        </w:rPr>
      </w:pPr>
      <w:r w:rsidRPr="006F56CF">
        <w:rPr>
          <w:rFonts w:ascii="Arial" w:hAnsi="Arial" w:cs="Arial"/>
          <w:color w:val="365F91" w:themeColor="accent1" w:themeShade="BF"/>
          <w:sz w:val="24"/>
          <w:szCs w:val="24"/>
          <w:lang w:val="es-ES"/>
        </w:rPr>
        <w:t xml:space="preserve">Por proveído de </w:t>
      </w:r>
      <w:r w:rsidR="00850953" w:rsidRPr="006F56CF">
        <w:rPr>
          <w:rFonts w:ascii="Arial" w:hAnsi="Arial" w:cs="Arial"/>
          <w:color w:val="365F91" w:themeColor="accent1" w:themeShade="BF"/>
          <w:sz w:val="24"/>
          <w:szCs w:val="24"/>
          <w:lang w:val="es-ES"/>
        </w:rPr>
        <w:t>06 seis de junio</w:t>
      </w:r>
      <w:r w:rsidRPr="006F56CF">
        <w:rPr>
          <w:rFonts w:ascii="Arial" w:hAnsi="Arial" w:cs="Arial"/>
          <w:color w:val="365F91" w:themeColor="accent1" w:themeShade="BF"/>
          <w:sz w:val="24"/>
          <w:szCs w:val="24"/>
          <w:lang w:val="es-ES"/>
        </w:rPr>
        <w:t xml:space="preserve"> de 201</w:t>
      </w:r>
      <w:r w:rsidR="00850953" w:rsidRPr="006F56CF">
        <w:rPr>
          <w:rFonts w:ascii="Arial" w:hAnsi="Arial" w:cs="Arial"/>
          <w:color w:val="365F91" w:themeColor="accent1" w:themeShade="BF"/>
          <w:sz w:val="24"/>
          <w:szCs w:val="24"/>
          <w:lang w:val="es-ES"/>
        </w:rPr>
        <w:t>8</w:t>
      </w:r>
      <w:r w:rsidRPr="006F56CF">
        <w:rPr>
          <w:rFonts w:ascii="Arial" w:hAnsi="Arial" w:cs="Arial"/>
          <w:color w:val="365F91" w:themeColor="accent1" w:themeShade="BF"/>
          <w:sz w:val="24"/>
          <w:szCs w:val="24"/>
          <w:lang w:val="es-ES"/>
        </w:rPr>
        <w:t xml:space="preserve"> dos mil dieci</w:t>
      </w:r>
      <w:r w:rsidR="00850953" w:rsidRPr="006F56CF">
        <w:rPr>
          <w:rFonts w:ascii="Arial" w:hAnsi="Arial" w:cs="Arial"/>
          <w:color w:val="365F91" w:themeColor="accent1" w:themeShade="BF"/>
          <w:sz w:val="24"/>
          <w:szCs w:val="24"/>
          <w:lang w:val="es-ES"/>
        </w:rPr>
        <w:t>ocho</w:t>
      </w:r>
      <w:r w:rsidRPr="006F56CF">
        <w:rPr>
          <w:rFonts w:ascii="Arial" w:hAnsi="Arial" w:cs="Arial"/>
          <w:color w:val="365F91" w:themeColor="accent1" w:themeShade="BF"/>
          <w:sz w:val="24"/>
          <w:szCs w:val="24"/>
          <w:lang w:val="es-ES"/>
        </w:rPr>
        <w:t xml:space="preserve">, se decretó el incumplimiento a la resolución de mérito, en virtud de que </w:t>
      </w:r>
      <w:r w:rsidR="00850953" w:rsidRPr="006F56CF">
        <w:rPr>
          <w:rFonts w:ascii="Arial" w:hAnsi="Arial" w:cs="Arial"/>
          <w:color w:val="365F91" w:themeColor="accent1" w:themeShade="BF"/>
          <w:sz w:val="24"/>
          <w:szCs w:val="24"/>
          <w:lang w:val="es-ES"/>
        </w:rPr>
        <w:t>omitió acompañar el soporte documental de su dicho</w:t>
      </w:r>
      <w:r w:rsidRPr="006F56CF">
        <w:rPr>
          <w:rFonts w:ascii="Arial" w:hAnsi="Arial" w:cs="Arial"/>
          <w:color w:val="365F91" w:themeColor="accent1" w:themeShade="BF"/>
          <w:sz w:val="24"/>
          <w:szCs w:val="24"/>
          <w:lang w:val="es-ES"/>
        </w:rPr>
        <w:t xml:space="preserve">. En el mismo acuerdo, se requirió al </w:t>
      </w:r>
      <w:r w:rsidR="001D1D73">
        <w:rPr>
          <w:rFonts w:ascii="Arial" w:hAnsi="Arial" w:cs="Arial"/>
          <w:color w:val="365F91" w:themeColor="accent1" w:themeShade="BF"/>
          <w:sz w:val="24"/>
          <w:szCs w:val="24"/>
          <w:lang w:val="es-ES"/>
        </w:rPr>
        <w:t>Titular de Servicios de Salud en el Estado</w:t>
      </w:r>
      <w:r w:rsidRPr="006F56CF">
        <w:rPr>
          <w:rFonts w:ascii="Arial" w:hAnsi="Arial" w:cs="Arial"/>
          <w:color w:val="365F91" w:themeColor="accent1" w:themeShade="BF"/>
          <w:sz w:val="24"/>
          <w:szCs w:val="24"/>
          <w:lang w:val="es-ES"/>
        </w:rPr>
        <w:t xml:space="preserve"> para que girara las instrucciones necesarias para asegurar el debido cumplimiento y se le apercibió conforme los artículos 190 y 197 fracción XV. El referido proveído fue notificado el </w:t>
      </w:r>
      <w:r w:rsidR="00850953" w:rsidRPr="006F56CF">
        <w:rPr>
          <w:rFonts w:ascii="Arial" w:hAnsi="Arial" w:cs="Arial"/>
          <w:color w:val="365F91" w:themeColor="accent1" w:themeShade="BF"/>
          <w:sz w:val="24"/>
          <w:szCs w:val="24"/>
          <w:lang w:val="es-ES"/>
        </w:rPr>
        <w:t>07siete</w:t>
      </w:r>
      <w:r w:rsidRPr="006F56CF">
        <w:rPr>
          <w:rFonts w:ascii="Arial" w:hAnsi="Arial" w:cs="Arial"/>
          <w:color w:val="365F91" w:themeColor="accent1" w:themeShade="BF"/>
          <w:sz w:val="24"/>
          <w:szCs w:val="24"/>
          <w:lang w:val="es-ES"/>
        </w:rPr>
        <w:t xml:space="preserve"> de </w:t>
      </w:r>
      <w:r w:rsidR="00850953" w:rsidRPr="006F56CF">
        <w:rPr>
          <w:rFonts w:ascii="Arial" w:hAnsi="Arial" w:cs="Arial"/>
          <w:color w:val="365F91" w:themeColor="accent1" w:themeShade="BF"/>
          <w:sz w:val="24"/>
          <w:szCs w:val="24"/>
          <w:lang w:val="es-ES"/>
        </w:rPr>
        <w:t>junio</w:t>
      </w:r>
      <w:r w:rsidRPr="006F56CF">
        <w:rPr>
          <w:rFonts w:ascii="Arial" w:hAnsi="Arial" w:cs="Arial"/>
          <w:color w:val="365F91" w:themeColor="accent1" w:themeShade="BF"/>
          <w:sz w:val="24"/>
          <w:szCs w:val="24"/>
          <w:lang w:val="es-ES"/>
        </w:rPr>
        <w:t xml:space="preserve"> de 201</w:t>
      </w:r>
      <w:r w:rsidR="00850953" w:rsidRPr="006F56CF">
        <w:rPr>
          <w:rFonts w:ascii="Arial" w:hAnsi="Arial" w:cs="Arial"/>
          <w:color w:val="365F91" w:themeColor="accent1" w:themeShade="BF"/>
          <w:sz w:val="24"/>
          <w:szCs w:val="24"/>
          <w:lang w:val="es-ES"/>
        </w:rPr>
        <w:t>8</w:t>
      </w:r>
      <w:r w:rsidRPr="006F56CF">
        <w:rPr>
          <w:rFonts w:ascii="Arial" w:hAnsi="Arial" w:cs="Arial"/>
          <w:color w:val="365F91" w:themeColor="accent1" w:themeShade="BF"/>
          <w:sz w:val="24"/>
          <w:szCs w:val="24"/>
          <w:lang w:val="es-ES"/>
        </w:rPr>
        <w:t xml:space="preserve"> dos mil dieci</w:t>
      </w:r>
      <w:r w:rsidR="006F56CF" w:rsidRPr="006F56CF">
        <w:rPr>
          <w:rFonts w:ascii="Arial" w:hAnsi="Arial" w:cs="Arial"/>
          <w:color w:val="365F91" w:themeColor="accent1" w:themeShade="BF"/>
          <w:sz w:val="24"/>
          <w:szCs w:val="24"/>
          <w:lang w:val="es-ES"/>
        </w:rPr>
        <w:t>ocho</w:t>
      </w:r>
      <w:r w:rsidRPr="006F56CF">
        <w:rPr>
          <w:rFonts w:ascii="Arial" w:hAnsi="Arial" w:cs="Arial"/>
          <w:color w:val="365F91" w:themeColor="accent1" w:themeShade="BF"/>
          <w:sz w:val="24"/>
          <w:szCs w:val="24"/>
          <w:lang w:val="es-ES"/>
        </w:rPr>
        <w:t xml:space="preserve">, conforme la certificación visible a foja </w:t>
      </w:r>
      <w:r w:rsidR="006F56CF" w:rsidRPr="006F56CF">
        <w:rPr>
          <w:rFonts w:ascii="Arial" w:hAnsi="Arial" w:cs="Arial"/>
          <w:color w:val="365F91" w:themeColor="accent1" w:themeShade="BF"/>
          <w:sz w:val="24"/>
          <w:szCs w:val="24"/>
          <w:lang w:val="es-ES"/>
        </w:rPr>
        <w:t>44</w:t>
      </w:r>
      <w:r w:rsidRPr="006F56CF">
        <w:rPr>
          <w:rFonts w:ascii="Arial" w:hAnsi="Arial" w:cs="Arial"/>
          <w:color w:val="365F91" w:themeColor="accent1" w:themeShade="BF"/>
          <w:sz w:val="24"/>
          <w:szCs w:val="24"/>
          <w:lang w:val="es-ES"/>
        </w:rPr>
        <w:t xml:space="preserve"> de autos.</w:t>
      </w:r>
    </w:p>
    <w:p w14:paraId="162ACF5B" w14:textId="50D65F34" w:rsidR="00B94385" w:rsidRPr="001D1D73" w:rsidRDefault="00B94385" w:rsidP="00B94385">
      <w:pPr>
        <w:numPr>
          <w:ilvl w:val="0"/>
          <w:numId w:val="19"/>
        </w:numPr>
        <w:spacing w:after="0" w:line="360" w:lineRule="auto"/>
        <w:jc w:val="both"/>
        <w:rPr>
          <w:rFonts w:ascii="Arial" w:hAnsi="Arial" w:cs="Arial"/>
          <w:color w:val="365F91" w:themeColor="accent1" w:themeShade="BF"/>
          <w:sz w:val="24"/>
          <w:szCs w:val="24"/>
          <w:lang w:val="es-ES"/>
        </w:rPr>
      </w:pPr>
      <w:r w:rsidRPr="001D1D73">
        <w:rPr>
          <w:rFonts w:ascii="Arial" w:hAnsi="Arial" w:cs="Arial"/>
          <w:color w:val="365F91" w:themeColor="accent1" w:themeShade="BF"/>
          <w:sz w:val="24"/>
          <w:szCs w:val="24"/>
          <w:lang w:val="es-ES"/>
        </w:rPr>
        <w:t xml:space="preserve">Por proveído de </w:t>
      </w:r>
      <w:r w:rsidR="001D1D73" w:rsidRPr="001D1D73">
        <w:rPr>
          <w:rFonts w:ascii="Arial" w:hAnsi="Arial" w:cs="Arial"/>
          <w:color w:val="365F91" w:themeColor="accent1" w:themeShade="BF"/>
          <w:sz w:val="24"/>
          <w:szCs w:val="24"/>
          <w:lang w:val="es-ES"/>
        </w:rPr>
        <w:t>06 seis</w:t>
      </w:r>
      <w:r w:rsidRPr="001D1D73">
        <w:rPr>
          <w:rFonts w:ascii="Arial" w:hAnsi="Arial" w:cs="Arial"/>
          <w:color w:val="365F91" w:themeColor="accent1" w:themeShade="BF"/>
          <w:sz w:val="24"/>
          <w:szCs w:val="24"/>
          <w:lang w:val="es-ES"/>
        </w:rPr>
        <w:t xml:space="preserve"> de </w:t>
      </w:r>
      <w:r w:rsidR="006F56CF" w:rsidRPr="001D1D73">
        <w:rPr>
          <w:rFonts w:ascii="Arial" w:hAnsi="Arial" w:cs="Arial"/>
          <w:color w:val="365F91" w:themeColor="accent1" w:themeShade="BF"/>
          <w:sz w:val="24"/>
          <w:szCs w:val="24"/>
          <w:lang w:val="es-ES"/>
        </w:rPr>
        <w:t>agosto</w:t>
      </w:r>
      <w:r w:rsidRPr="001D1D73">
        <w:rPr>
          <w:rFonts w:ascii="Arial" w:hAnsi="Arial" w:cs="Arial"/>
          <w:color w:val="365F91" w:themeColor="accent1" w:themeShade="BF"/>
          <w:sz w:val="24"/>
          <w:szCs w:val="24"/>
          <w:lang w:val="es-ES"/>
        </w:rPr>
        <w:t xml:space="preserve"> de 2018 dos mil dieciocho, se </w:t>
      </w:r>
      <w:bookmarkStart w:id="3" w:name="_Hlk511910681"/>
      <w:r w:rsidRPr="001D1D73">
        <w:rPr>
          <w:rFonts w:ascii="Arial" w:hAnsi="Arial" w:cs="Arial"/>
          <w:color w:val="365F91" w:themeColor="accent1" w:themeShade="BF"/>
          <w:sz w:val="24"/>
          <w:szCs w:val="24"/>
          <w:lang w:val="es-ES"/>
        </w:rPr>
        <w:t xml:space="preserve">tuvo por recibido el oficio </w:t>
      </w:r>
      <w:r w:rsidR="006F56CF" w:rsidRPr="001D1D73">
        <w:rPr>
          <w:rFonts w:ascii="Arial" w:hAnsi="Arial" w:cs="Arial"/>
          <w:color w:val="365F91" w:themeColor="accent1" w:themeShade="BF"/>
          <w:sz w:val="24"/>
          <w:szCs w:val="24"/>
          <w:lang w:val="es-ES"/>
        </w:rPr>
        <w:t>sin número</w:t>
      </w:r>
      <w:r w:rsidRPr="001D1D73">
        <w:rPr>
          <w:rFonts w:ascii="Arial" w:hAnsi="Arial" w:cs="Arial"/>
          <w:color w:val="365F91" w:themeColor="accent1" w:themeShade="BF"/>
          <w:sz w:val="24"/>
          <w:szCs w:val="24"/>
          <w:lang w:val="es-ES"/>
        </w:rPr>
        <w:t xml:space="preserve"> y se tuvo al sujeto obligado por informado sobre el cumplimiento a la resolución dictada en el presente recurso; asimismo se le dio vista al recurrente para que manifestara lo que a su derecho conviniere respecto al cumplimiento dado por el sujeto obligado a la resolución de </w:t>
      </w:r>
      <w:r w:rsidR="001D1D73" w:rsidRPr="001D1D73">
        <w:rPr>
          <w:rFonts w:ascii="Arial" w:hAnsi="Arial" w:cs="Arial"/>
          <w:color w:val="365F91" w:themeColor="accent1" w:themeShade="BF"/>
          <w:sz w:val="24"/>
          <w:szCs w:val="24"/>
          <w:lang w:val="es-ES"/>
        </w:rPr>
        <w:t>24 veinticuatro</w:t>
      </w:r>
      <w:r w:rsidRPr="001D1D73">
        <w:rPr>
          <w:rFonts w:ascii="Arial" w:hAnsi="Arial" w:cs="Arial"/>
          <w:color w:val="365F91" w:themeColor="accent1" w:themeShade="BF"/>
          <w:sz w:val="24"/>
          <w:szCs w:val="24"/>
          <w:lang w:val="es-ES"/>
        </w:rPr>
        <w:t xml:space="preserve"> de </w:t>
      </w:r>
      <w:r w:rsidR="001D1D73" w:rsidRPr="001D1D73">
        <w:rPr>
          <w:rFonts w:ascii="Arial" w:hAnsi="Arial" w:cs="Arial"/>
          <w:color w:val="365F91" w:themeColor="accent1" w:themeShade="BF"/>
          <w:sz w:val="24"/>
          <w:szCs w:val="24"/>
          <w:lang w:val="es-ES"/>
        </w:rPr>
        <w:t>octubre</w:t>
      </w:r>
      <w:r w:rsidRPr="001D1D73">
        <w:rPr>
          <w:rFonts w:ascii="Arial" w:hAnsi="Arial" w:cs="Arial"/>
          <w:color w:val="365F91" w:themeColor="accent1" w:themeShade="BF"/>
          <w:sz w:val="24"/>
          <w:szCs w:val="24"/>
          <w:lang w:val="es-ES"/>
        </w:rPr>
        <w:t xml:space="preserve"> de 2017 dos mil diecisiete.</w:t>
      </w:r>
    </w:p>
    <w:bookmarkEnd w:id="3"/>
    <w:p w14:paraId="6360B7B2" w14:textId="22C17268" w:rsidR="00B94385" w:rsidRDefault="00B94385" w:rsidP="00310A7D">
      <w:pPr>
        <w:numPr>
          <w:ilvl w:val="0"/>
          <w:numId w:val="19"/>
        </w:numPr>
        <w:spacing w:after="0" w:line="360" w:lineRule="auto"/>
        <w:jc w:val="both"/>
        <w:rPr>
          <w:rFonts w:ascii="Arial" w:hAnsi="Arial" w:cs="Arial"/>
          <w:color w:val="365F91" w:themeColor="accent1" w:themeShade="BF"/>
          <w:sz w:val="24"/>
          <w:szCs w:val="24"/>
          <w:lang w:val="es-ES"/>
        </w:rPr>
      </w:pPr>
      <w:r w:rsidRPr="00310A7D">
        <w:rPr>
          <w:rFonts w:ascii="Arial" w:hAnsi="Arial" w:cs="Arial"/>
          <w:color w:val="365F91" w:themeColor="accent1" w:themeShade="BF"/>
          <w:sz w:val="24"/>
          <w:szCs w:val="24"/>
          <w:lang w:val="es-ES"/>
        </w:rPr>
        <w:t xml:space="preserve">El </w:t>
      </w:r>
      <w:r w:rsidR="00310A7D" w:rsidRPr="00310A7D">
        <w:rPr>
          <w:rFonts w:ascii="Arial" w:hAnsi="Arial" w:cs="Arial"/>
          <w:color w:val="365F91" w:themeColor="accent1" w:themeShade="BF"/>
          <w:sz w:val="24"/>
          <w:szCs w:val="24"/>
          <w:lang w:val="es-ES"/>
        </w:rPr>
        <w:t>14 catorce de diciembre</w:t>
      </w:r>
      <w:r w:rsidRPr="00310A7D">
        <w:rPr>
          <w:rFonts w:ascii="Arial" w:hAnsi="Arial" w:cs="Arial"/>
          <w:color w:val="365F91" w:themeColor="accent1" w:themeShade="BF"/>
          <w:sz w:val="24"/>
          <w:szCs w:val="24"/>
          <w:lang w:val="es-ES"/>
        </w:rPr>
        <w:t xml:space="preserve"> de 2018 dos mil dieciocho, se decretó el incumplimiento a la resolución de mérito, en virtud de que el sujeto obligado cuando presentó ante este cuerpo colegiado las constancias con las que pretendía acreditar el cumplimiento a la resolución en comento, acompañó diversos documentos</w:t>
      </w:r>
      <w:r w:rsidR="00310A7D" w:rsidRPr="00310A7D">
        <w:rPr>
          <w:rFonts w:ascii="Arial" w:hAnsi="Arial" w:cs="Arial"/>
          <w:color w:val="365F91" w:themeColor="accent1" w:themeShade="BF"/>
          <w:sz w:val="24"/>
          <w:szCs w:val="24"/>
          <w:lang w:val="es-ES"/>
        </w:rPr>
        <w:t xml:space="preserve"> sin </w:t>
      </w:r>
      <w:r w:rsidR="00310A7D" w:rsidRPr="00310A7D">
        <w:rPr>
          <w:rFonts w:ascii="Arial" w:hAnsi="Arial" w:cs="Arial"/>
          <w:color w:val="365F91" w:themeColor="accent1" w:themeShade="BF"/>
          <w:sz w:val="24"/>
          <w:szCs w:val="24"/>
          <w:lang w:val="es-ES"/>
        </w:rPr>
        <w:lastRenderedPageBreak/>
        <w:t xml:space="preserve">soporte documental que generen una certeza de su validez; </w:t>
      </w:r>
      <w:r w:rsidRPr="00310A7D">
        <w:rPr>
          <w:rFonts w:ascii="Arial" w:hAnsi="Arial" w:cs="Arial"/>
          <w:color w:val="365F91" w:themeColor="accent1" w:themeShade="BF"/>
          <w:sz w:val="24"/>
          <w:szCs w:val="24"/>
          <w:lang w:val="es-ES"/>
        </w:rPr>
        <w:t xml:space="preserve">En consecuencia, se requirió nuevamente al </w:t>
      </w:r>
      <w:r w:rsidR="00310A7D" w:rsidRPr="00310A7D">
        <w:rPr>
          <w:rFonts w:ascii="Arial" w:hAnsi="Arial" w:cs="Arial"/>
          <w:color w:val="365F91" w:themeColor="accent1" w:themeShade="BF"/>
          <w:sz w:val="24"/>
          <w:szCs w:val="24"/>
          <w:lang w:val="es-ES"/>
        </w:rPr>
        <w:t>Titular del Sujeto Obligado</w:t>
      </w:r>
      <w:r w:rsidRPr="00310A7D">
        <w:rPr>
          <w:rFonts w:ascii="Arial" w:hAnsi="Arial" w:cs="Arial"/>
          <w:color w:val="365F91" w:themeColor="accent1" w:themeShade="BF"/>
          <w:sz w:val="24"/>
          <w:szCs w:val="24"/>
          <w:lang w:val="es-ES"/>
        </w:rPr>
        <w:t xml:space="preserve"> para que girara las instrucciones necesarias para asegurar el debido cumplimiento y se le apercibió conforme los artículos 190 y 197 fracción XV. Dicho proveído fue notificado al sujeto obligado </w:t>
      </w:r>
      <w:r w:rsidR="00310A7D" w:rsidRPr="00310A7D">
        <w:rPr>
          <w:rFonts w:ascii="Arial" w:hAnsi="Arial" w:cs="Arial"/>
          <w:color w:val="365F91" w:themeColor="accent1" w:themeShade="BF"/>
          <w:sz w:val="24"/>
          <w:szCs w:val="24"/>
          <w:lang w:val="es-ES"/>
        </w:rPr>
        <w:t>el 07 siete de enero de 2019 dos mil diecinueve.</w:t>
      </w:r>
    </w:p>
    <w:p w14:paraId="724EC2D7" w14:textId="31A99057" w:rsidR="00310A7D" w:rsidRDefault="00310A7D" w:rsidP="00310A7D">
      <w:pPr>
        <w:numPr>
          <w:ilvl w:val="0"/>
          <w:numId w:val="19"/>
        </w:numPr>
        <w:spacing w:after="0" w:line="360" w:lineRule="auto"/>
        <w:jc w:val="both"/>
        <w:rPr>
          <w:rFonts w:ascii="Arial" w:hAnsi="Arial" w:cs="Arial"/>
          <w:color w:val="365F91" w:themeColor="accent1" w:themeShade="BF"/>
          <w:sz w:val="24"/>
          <w:szCs w:val="24"/>
          <w:lang w:val="es-ES"/>
        </w:rPr>
      </w:pPr>
      <w:r w:rsidRPr="001D1D73">
        <w:rPr>
          <w:rFonts w:ascii="Arial" w:hAnsi="Arial" w:cs="Arial"/>
          <w:color w:val="365F91" w:themeColor="accent1" w:themeShade="BF"/>
          <w:sz w:val="24"/>
          <w:szCs w:val="24"/>
          <w:lang w:val="es-ES"/>
        </w:rPr>
        <w:t xml:space="preserve">Por proveído de </w:t>
      </w:r>
      <w:r>
        <w:rPr>
          <w:rFonts w:ascii="Arial" w:hAnsi="Arial" w:cs="Arial"/>
          <w:color w:val="365F91" w:themeColor="accent1" w:themeShade="BF"/>
          <w:sz w:val="24"/>
          <w:szCs w:val="24"/>
          <w:lang w:val="es-ES"/>
        </w:rPr>
        <w:t>24 veinticuatro de enero</w:t>
      </w:r>
      <w:r w:rsidRPr="001D1D73">
        <w:rPr>
          <w:rFonts w:ascii="Arial" w:hAnsi="Arial" w:cs="Arial"/>
          <w:color w:val="365F91" w:themeColor="accent1" w:themeShade="BF"/>
          <w:sz w:val="24"/>
          <w:szCs w:val="24"/>
          <w:lang w:val="es-ES"/>
        </w:rPr>
        <w:t xml:space="preserve"> de 201</w:t>
      </w:r>
      <w:r>
        <w:rPr>
          <w:rFonts w:ascii="Arial" w:hAnsi="Arial" w:cs="Arial"/>
          <w:color w:val="365F91" w:themeColor="accent1" w:themeShade="BF"/>
          <w:sz w:val="24"/>
          <w:szCs w:val="24"/>
          <w:lang w:val="es-ES"/>
        </w:rPr>
        <w:t>9</w:t>
      </w:r>
      <w:r w:rsidRPr="001D1D73">
        <w:rPr>
          <w:rFonts w:ascii="Arial" w:hAnsi="Arial" w:cs="Arial"/>
          <w:color w:val="365F91" w:themeColor="accent1" w:themeShade="BF"/>
          <w:sz w:val="24"/>
          <w:szCs w:val="24"/>
          <w:lang w:val="es-ES"/>
        </w:rPr>
        <w:t xml:space="preserve"> dos mil dieci</w:t>
      </w:r>
      <w:r>
        <w:rPr>
          <w:rFonts w:ascii="Arial" w:hAnsi="Arial" w:cs="Arial"/>
          <w:color w:val="365F91" w:themeColor="accent1" w:themeShade="BF"/>
          <w:sz w:val="24"/>
          <w:szCs w:val="24"/>
          <w:lang w:val="es-ES"/>
        </w:rPr>
        <w:t>nueve</w:t>
      </w:r>
      <w:r w:rsidRPr="001D1D73">
        <w:rPr>
          <w:rFonts w:ascii="Arial" w:hAnsi="Arial" w:cs="Arial"/>
          <w:color w:val="365F91" w:themeColor="accent1" w:themeShade="BF"/>
          <w:sz w:val="24"/>
          <w:szCs w:val="24"/>
          <w:lang w:val="es-ES"/>
        </w:rPr>
        <w:t xml:space="preserve">, se tuvo por recibido el oficio sin número y se tuvo al sujeto obligado por informado sobre el cumplimiento a la resolución dictada en el presente recurso; asimismo se le dio vista al recurrente para que manifestara lo que a su derecho conviniere respecto al cumplimiento dado por el sujeto obligado a la resolución de </w:t>
      </w:r>
      <w:r>
        <w:rPr>
          <w:rFonts w:ascii="Arial" w:hAnsi="Arial" w:cs="Arial"/>
          <w:color w:val="365F91" w:themeColor="accent1" w:themeShade="BF"/>
          <w:sz w:val="24"/>
          <w:szCs w:val="24"/>
          <w:lang w:val="es-ES"/>
        </w:rPr>
        <w:t>mérito</w:t>
      </w:r>
      <w:r w:rsidRPr="001D1D73">
        <w:rPr>
          <w:rFonts w:ascii="Arial" w:hAnsi="Arial" w:cs="Arial"/>
          <w:color w:val="365F91" w:themeColor="accent1" w:themeShade="BF"/>
          <w:sz w:val="24"/>
          <w:szCs w:val="24"/>
          <w:lang w:val="es-ES"/>
        </w:rPr>
        <w:t>.</w:t>
      </w:r>
    </w:p>
    <w:p w14:paraId="690849D1" w14:textId="5007987D" w:rsidR="00FF0B12" w:rsidRPr="00FF0B12" w:rsidRDefault="00FF0B12" w:rsidP="00FF0B12">
      <w:pPr>
        <w:numPr>
          <w:ilvl w:val="0"/>
          <w:numId w:val="19"/>
        </w:numPr>
        <w:spacing w:after="0" w:line="360" w:lineRule="auto"/>
        <w:jc w:val="both"/>
        <w:rPr>
          <w:rFonts w:ascii="Arial" w:hAnsi="Arial" w:cs="Arial"/>
          <w:color w:val="365F91" w:themeColor="accent1" w:themeShade="BF"/>
          <w:sz w:val="24"/>
          <w:szCs w:val="24"/>
          <w:lang w:val="es-ES"/>
        </w:rPr>
      </w:pPr>
      <w:r w:rsidRPr="00310A7D">
        <w:rPr>
          <w:rFonts w:ascii="Arial" w:hAnsi="Arial" w:cs="Arial"/>
          <w:color w:val="365F91" w:themeColor="accent1" w:themeShade="BF"/>
          <w:sz w:val="24"/>
          <w:szCs w:val="24"/>
          <w:lang w:val="es-ES"/>
        </w:rPr>
        <w:t>E</w:t>
      </w:r>
      <w:r>
        <w:rPr>
          <w:rFonts w:ascii="Arial" w:hAnsi="Arial" w:cs="Arial"/>
          <w:color w:val="365F91" w:themeColor="accent1" w:themeShade="BF"/>
          <w:sz w:val="24"/>
          <w:szCs w:val="24"/>
          <w:lang w:val="es-ES"/>
        </w:rPr>
        <w:t>n la presente a</w:t>
      </w:r>
      <w:r w:rsidRPr="00310A7D">
        <w:rPr>
          <w:rFonts w:ascii="Arial" w:hAnsi="Arial" w:cs="Arial"/>
          <w:color w:val="365F91" w:themeColor="accent1" w:themeShade="BF"/>
          <w:sz w:val="24"/>
          <w:szCs w:val="24"/>
          <w:lang w:val="es-ES"/>
        </w:rPr>
        <w:t xml:space="preserve"> </w:t>
      </w:r>
      <w:r>
        <w:rPr>
          <w:rFonts w:ascii="Arial" w:hAnsi="Arial" w:cs="Arial"/>
          <w:color w:val="365F91" w:themeColor="accent1" w:themeShade="BF"/>
          <w:sz w:val="24"/>
          <w:szCs w:val="24"/>
          <w:lang w:val="es-ES"/>
        </w:rPr>
        <w:t>28 veintiocho de octubre</w:t>
      </w:r>
      <w:r w:rsidRPr="00310A7D">
        <w:rPr>
          <w:rFonts w:ascii="Arial" w:hAnsi="Arial" w:cs="Arial"/>
          <w:color w:val="365F91" w:themeColor="accent1" w:themeShade="BF"/>
          <w:sz w:val="24"/>
          <w:szCs w:val="24"/>
          <w:lang w:val="es-ES"/>
        </w:rPr>
        <w:t xml:space="preserve"> de 201</w:t>
      </w:r>
      <w:r>
        <w:rPr>
          <w:rFonts w:ascii="Arial" w:hAnsi="Arial" w:cs="Arial"/>
          <w:color w:val="365F91" w:themeColor="accent1" w:themeShade="BF"/>
          <w:sz w:val="24"/>
          <w:szCs w:val="24"/>
          <w:lang w:val="es-ES"/>
        </w:rPr>
        <w:t>9</w:t>
      </w:r>
      <w:r w:rsidRPr="00310A7D">
        <w:rPr>
          <w:rFonts w:ascii="Arial" w:hAnsi="Arial" w:cs="Arial"/>
          <w:color w:val="365F91" w:themeColor="accent1" w:themeShade="BF"/>
          <w:sz w:val="24"/>
          <w:szCs w:val="24"/>
          <w:lang w:val="es-ES"/>
        </w:rPr>
        <w:t xml:space="preserve"> dos mil dieci</w:t>
      </w:r>
      <w:r>
        <w:rPr>
          <w:rFonts w:ascii="Arial" w:hAnsi="Arial" w:cs="Arial"/>
          <w:color w:val="365F91" w:themeColor="accent1" w:themeShade="BF"/>
          <w:sz w:val="24"/>
          <w:szCs w:val="24"/>
          <w:lang w:val="es-ES"/>
        </w:rPr>
        <w:t>nueve</w:t>
      </w:r>
      <w:r w:rsidRPr="00310A7D">
        <w:rPr>
          <w:rFonts w:ascii="Arial" w:hAnsi="Arial" w:cs="Arial"/>
          <w:color w:val="365F91" w:themeColor="accent1" w:themeShade="BF"/>
          <w:sz w:val="24"/>
          <w:szCs w:val="24"/>
          <w:lang w:val="es-ES"/>
        </w:rPr>
        <w:t xml:space="preserve">, se decretó el incumplimiento a la resolución de mérito, en virtud de que el sujeto obligado cuando presentó ante este cuerpo colegiado las constancias con las que pretendía acreditar el cumplimiento a la resolución en comento, </w:t>
      </w:r>
      <w:r>
        <w:rPr>
          <w:rFonts w:ascii="Arial" w:hAnsi="Arial" w:cs="Arial"/>
          <w:color w:val="365F91" w:themeColor="accent1" w:themeShade="BF"/>
          <w:sz w:val="24"/>
          <w:szCs w:val="24"/>
          <w:lang w:val="es-ES"/>
        </w:rPr>
        <w:t>declaro la inexistencia de información sin apegarse a lo establecido por la Ley de la Materia</w:t>
      </w:r>
      <w:r w:rsidRPr="00FF0B12">
        <w:rPr>
          <w:rFonts w:ascii="Arial" w:hAnsi="Arial" w:cs="Arial"/>
          <w:color w:val="365F91" w:themeColor="accent1" w:themeShade="BF"/>
          <w:sz w:val="24"/>
          <w:szCs w:val="24"/>
          <w:lang w:val="es-ES"/>
        </w:rPr>
        <w:t xml:space="preserve">; En consecuencia, se </w:t>
      </w:r>
      <w:r w:rsidRPr="00FF0B12">
        <w:rPr>
          <w:rFonts w:ascii="Arial" w:hAnsi="Arial" w:cs="Arial"/>
          <w:color w:val="365F91" w:themeColor="accent1" w:themeShade="BF"/>
          <w:sz w:val="24"/>
          <w:szCs w:val="24"/>
          <w:lang w:val="es-ES"/>
        </w:rPr>
        <w:t>requir</w:t>
      </w:r>
      <w:r>
        <w:rPr>
          <w:rFonts w:ascii="Arial" w:hAnsi="Arial" w:cs="Arial"/>
          <w:color w:val="365F91" w:themeColor="accent1" w:themeShade="BF"/>
          <w:sz w:val="24"/>
          <w:szCs w:val="24"/>
          <w:lang w:val="es-ES"/>
        </w:rPr>
        <w:t>ió</w:t>
      </w:r>
      <w:r w:rsidRPr="00FF0B12">
        <w:rPr>
          <w:rFonts w:ascii="Arial" w:hAnsi="Arial" w:cs="Arial"/>
          <w:color w:val="365F91" w:themeColor="accent1" w:themeShade="BF"/>
          <w:sz w:val="24"/>
          <w:szCs w:val="24"/>
          <w:lang w:val="es-ES"/>
        </w:rPr>
        <w:t xml:space="preserve"> nuevamente al Titular del Sujeto Obligado para que girara las instrucciones necesarias para asegurar el debido cumplimiento y se le apercibió conforme los artículos 190 y 197 fracción XV. </w:t>
      </w:r>
    </w:p>
    <w:p w14:paraId="6121E6C0" w14:textId="77777777" w:rsidR="00B94385" w:rsidRPr="008120A0" w:rsidRDefault="00B94385" w:rsidP="00B94385">
      <w:pPr>
        <w:spacing w:after="0" w:line="360" w:lineRule="auto"/>
        <w:ind w:firstLine="709"/>
        <w:jc w:val="both"/>
        <w:rPr>
          <w:rFonts w:ascii="Arial" w:hAnsi="Arial" w:cs="Arial"/>
          <w:color w:val="FF0000"/>
          <w:sz w:val="24"/>
          <w:szCs w:val="24"/>
        </w:rPr>
      </w:pPr>
    </w:p>
    <w:p w14:paraId="6C9E3CA6" w14:textId="04653972" w:rsidR="00B94385" w:rsidRPr="00F430EE" w:rsidRDefault="00B94385" w:rsidP="00F430EE">
      <w:pPr>
        <w:spacing w:after="0" w:line="360" w:lineRule="auto"/>
        <w:ind w:firstLine="709"/>
        <w:jc w:val="both"/>
        <w:rPr>
          <w:rFonts w:ascii="Arial" w:hAnsi="Arial" w:cs="Arial"/>
          <w:color w:val="365F91" w:themeColor="accent1" w:themeShade="BF"/>
          <w:sz w:val="24"/>
          <w:szCs w:val="24"/>
        </w:rPr>
      </w:pPr>
      <w:r w:rsidRPr="00F430EE">
        <w:rPr>
          <w:rFonts w:ascii="Arial" w:hAnsi="Arial" w:cs="Arial"/>
          <w:color w:val="365F91" w:themeColor="accent1" w:themeShade="BF"/>
          <w:sz w:val="24"/>
          <w:szCs w:val="24"/>
        </w:rPr>
        <w:t xml:space="preserve">De este modo, se cuentan con elementos suficientes para someter al Pleno el inicio del procedimiento para la imposición de medida de apremio correspondiente en el artículo 190, fracción II, en contra del </w:t>
      </w:r>
      <w:r w:rsidR="00F430EE" w:rsidRPr="00F430EE">
        <w:rPr>
          <w:rFonts w:ascii="Arial" w:hAnsi="Arial" w:cs="Arial"/>
          <w:color w:val="365F91" w:themeColor="accent1" w:themeShade="BF"/>
          <w:sz w:val="24"/>
          <w:szCs w:val="24"/>
        </w:rPr>
        <w:t xml:space="preserve">Titular de Servicios de Salud en el Estado y </w:t>
      </w:r>
      <w:r w:rsidRPr="00F430EE">
        <w:rPr>
          <w:rFonts w:ascii="Arial" w:hAnsi="Arial" w:cs="Arial"/>
          <w:color w:val="365F91" w:themeColor="accent1" w:themeShade="BF"/>
          <w:sz w:val="24"/>
          <w:szCs w:val="24"/>
        </w:rPr>
        <w:t>el Titular de la Unidad de Transparencia, toda vez que en el expediente obran constancias que pudieran acreditar  la omisión de dar cumplimiento a la resolución dictada en el recurso de revisión RR-</w:t>
      </w:r>
      <w:r w:rsidR="00F430EE" w:rsidRPr="00F430EE">
        <w:rPr>
          <w:rFonts w:ascii="Arial" w:hAnsi="Arial" w:cs="Arial"/>
          <w:color w:val="365F91" w:themeColor="accent1" w:themeShade="BF"/>
          <w:sz w:val="24"/>
          <w:szCs w:val="24"/>
        </w:rPr>
        <w:t>631</w:t>
      </w:r>
      <w:r w:rsidRPr="00F430EE">
        <w:rPr>
          <w:rFonts w:ascii="Arial" w:hAnsi="Arial" w:cs="Arial"/>
          <w:color w:val="365F91" w:themeColor="accent1" w:themeShade="BF"/>
          <w:sz w:val="24"/>
          <w:szCs w:val="24"/>
        </w:rPr>
        <w:t>/201</w:t>
      </w:r>
      <w:r w:rsidR="00F430EE" w:rsidRPr="00F430EE">
        <w:rPr>
          <w:rFonts w:ascii="Arial" w:hAnsi="Arial" w:cs="Arial"/>
          <w:color w:val="365F91" w:themeColor="accent1" w:themeShade="BF"/>
          <w:sz w:val="24"/>
          <w:szCs w:val="24"/>
        </w:rPr>
        <w:t>7</w:t>
      </w:r>
      <w:r w:rsidRPr="00F430EE">
        <w:rPr>
          <w:rFonts w:ascii="Arial" w:hAnsi="Arial" w:cs="Arial"/>
          <w:color w:val="365F91" w:themeColor="accent1" w:themeShade="BF"/>
          <w:sz w:val="24"/>
          <w:szCs w:val="24"/>
        </w:rPr>
        <w:t>-1, por los referidos servidores públicos.</w:t>
      </w:r>
    </w:p>
    <w:p w14:paraId="109D7EE7" w14:textId="77777777" w:rsidR="00C328DB" w:rsidRDefault="00C328DB" w:rsidP="00F430EE">
      <w:pPr>
        <w:spacing w:after="0" w:line="360" w:lineRule="auto"/>
        <w:ind w:firstLine="709"/>
        <w:jc w:val="both"/>
        <w:rPr>
          <w:rFonts w:ascii="Arial" w:hAnsi="Arial" w:cs="Arial"/>
          <w:color w:val="365F91" w:themeColor="accent1" w:themeShade="BF"/>
          <w:sz w:val="24"/>
          <w:szCs w:val="24"/>
        </w:rPr>
      </w:pPr>
    </w:p>
    <w:p w14:paraId="4744F02D" w14:textId="06875390" w:rsidR="00B94385" w:rsidRPr="00F430EE" w:rsidRDefault="00B94385" w:rsidP="00F430EE">
      <w:pPr>
        <w:spacing w:after="0" w:line="360" w:lineRule="auto"/>
        <w:ind w:firstLine="709"/>
        <w:jc w:val="both"/>
        <w:rPr>
          <w:rFonts w:ascii="Arial" w:hAnsi="Arial" w:cs="Arial"/>
          <w:color w:val="365F91" w:themeColor="accent1" w:themeShade="BF"/>
          <w:sz w:val="24"/>
          <w:szCs w:val="24"/>
        </w:rPr>
      </w:pPr>
      <w:r w:rsidRPr="00F430EE">
        <w:rPr>
          <w:rFonts w:ascii="Arial" w:hAnsi="Arial" w:cs="Arial"/>
          <w:color w:val="365F91" w:themeColor="accent1" w:themeShade="BF"/>
          <w:sz w:val="24"/>
          <w:szCs w:val="24"/>
        </w:rPr>
        <w:t xml:space="preserve">De lo expuesto, túrnese el presente expediente a la Secretaria de Pleno a efecto de que incluya en el orden del día de la sesión de pleno que corresponda, </w:t>
      </w:r>
      <w:r w:rsidRPr="00F430EE">
        <w:rPr>
          <w:rFonts w:ascii="Arial" w:hAnsi="Arial" w:cs="Arial"/>
          <w:color w:val="365F91" w:themeColor="accent1" w:themeShade="BF"/>
          <w:sz w:val="24"/>
          <w:szCs w:val="24"/>
        </w:rPr>
        <w:lastRenderedPageBreak/>
        <w:t>este asunto, bajo el análisis que aquí se formula para todos los efectos legales correspondientes</w:t>
      </w:r>
      <w:r w:rsidR="00F430EE" w:rsidRPr="00F430EE">
        <w:rPr>
          <w:rFonts w:ascii="Arial" w:hAnsi="Arial" w:cs="Arial"/>
          <w:color w:val="365F91" w:themeColor="accent1" w:themeShade="BF"/>
          <w:sz w:val="24"/>
          <w:szCs w:val="24"/>
        </w:rPr>
        <w:t xml:space="preserve">.- </w:t>
      </w:r>
      <w:r w:rsidRPr="00F430EE">
        <w:rPr>
          <w:rFonts w:ascii="Arial" w:hAnsi="Arial" w:cs="Arial"/>
          <w:b/>
          <w:color w:val="365F91" w:themeColor="accent1" w:themeShade="BF"/>
          <w:sz w:val="24"/>
          <w:szCs w:val="24"/>
        </w:rPr>
        <w:t>Notifíquese por lista y personalmente al sujeto obligado</w:t>
      </w:r>
      <w:r w:rsidRPr="00F430EE">
        <w:rPr>
          <w:rFonts w:ascii="Arial" w:hAnsi="Arial" w:cs="Arial"/>
          <w:color w:val="365F91" w:themeColor="accent1" w:themeShade="BF"/>
          <w:sz w:val="24"/>
          <w:szCs w:val="24"/>
        </w:rPr>
        <w:t>.</w:t>
      </w:r>
      <w:bookmarkEnd w:id="2"/>
    </w:p>
    <w:p w14:paraId="541499F8" w14:textId="77777777" w:rsidR="00C328DB" w:rsidRDefault="00B94385" w:rsidP="00F430EE">
      <w:pPr>
        <w:ind w:firstLine="709"/>
        <w:jc w:val="both"/>
        <w:rPr>
          <w:rFonts w:ascii="Arial" w:hAnsi="Arial" w:cs="Arial"/>
          <w:color w:val="365F91" w:themeColor="accent1" w:themeShade="BF"/>
          <w:sz w:val="24"/>
          <w:szCs w:val="24"/>
        </w:rPr>
      </w:pPr>
      <w:r w:rsidRPr="00F430EE">
        <w:rPr>
          <w:rFonts w:ascii="Arial" w:hAnsi="Arial" w:cs="Arial"/>
          <w:color w:val="365F91" w:themeColor="accent1" w:themeShade="BF"/>
          <w:sz w:val="24"/>
          <w:szCs w:val="24"/>
        </w:rPr>
        <w:t xml:space="preserve"> </w:t>
      </w:r>
    </w:p>
    <w:p w14:paraId="5590B3D1" w14:textId="051A1141" w:rsidR="00F430EE" w:rsidRPr="002B4AB8" w:rsidRDefault="00F430EE" w:rsidP="00F430EE">
      <w:pPr>
        <w:ind w:firstLine="709"/>
        <w:jc w:val="both"/>
        <w:rPr>
          <w:rFonts w:ascii="Arial" w:hAnsi="Arial" w:cs="Arial"/>
          <w:bCs/>
          <w:color w:val="365F91" w:themeColor="accent1" w:themeShade="BF"/>
          <w:sz w:val="24"/>
          <w:szCs w:val="24"/>
        </w:rPr>
      </w:pPr>
      <w:r w:rsidRPr="002B4AB8">
        <w:rPr>
          <w:rFonts w:ascii="Arial" w:hAnsi="Arial" w:cs="Arial"/>
          <w:bCs/>
          <w:color w:val="365F91" w:themeColor="accent1" w:themeShade="BF"/>
          <w:sz w:val="24"/>
          <w:szCs w:val="24"/>
        </w:rPr>
        <w:t>Así lo proveyó y firma el Comisionado Presidente de la Comisión Estatal de Garantía de Acceso a la Información Pública Alejandro Lafuente Torres, que actúa con Rosa María Motilla García, Secretaria de Pleno que da fe.</w:t>
      </w:r>
    </w:p>
    <w:bookmarkEnd w:id="0"/>
    <w:p w14:paraId="4BC92CA6" w14:textId="77777777" w:rsidR="00B94385" w:rsidRPr="008120A0" w:rsidRDefault="00B94385" w:rsidP="00B94385">
      <w:pPr>
        <w:spacing w:after="0" w:line="360" w:lineRule="auto"/>
        <w:jc w:val="both"/>
        <w:rPr>
          <w:rFonts w:ascii="Arial" w:hAnsi="Arial" w:cs="Arial"/>
          <w:b/>
          <w:color w:val="FF0000"/>
          <w:sz w:val="24"/>
          <w:szCs w:val="24"/>
        </w:rPr>
      </w:pPr>
    </w:p>
    <w:p w14:paraId="7FC2B4A4" w14:textId="77777777" w:rsidR="00B94385" w:rsidRPr="008120A0" w:rsidRDefault="00B94385" w:rsidP="00B94385">
      <w:pPr>
        <w:spacing w:after="0" w:line="360" w:lineRule="auto"/>
        <w:ind w:firstLine="709"/>
        <w:jc w:val="both"/>
        <w:rPr>
          <w:rFonts w:ascii="Arial" w:hAnsi="Arial" w:cs="Arial"/>
          <w:b/>
          <w:color w:val="FF0000"/>
          <w:sz w:val="24"/>
          <w:szCs w:val="24"/>
        </w:rPr>
      </w:pPr>
    </w:p>
    <w:p w14:paraId="6B98FDB3" w14:textId="77777777" w:rsidR="00B94385" w:rsidRPr="008120A0" w:rsidRDefault="00B94385" w:rsidP="00B94385">
      <w:pPr>
        <w:spacing w:after="0" w:line="240" w:lineRule="auto"/>
        <w:ind w:firstLine="709"/>
        <w:jc w:val="both"/>
        <w:rPr>
          <w:rFonts w:ascii="Arial" w:hAnsi="Arial" w:cs="Arial"/>
          <w:b/>
          <w:color w:val="FF0000"/>
          <w:sz w:val="24"/>
          <w:szCs w:val="24"/>
        </w:rPr>
      </w:pPr>
      <w:r w:rsidRPr="008120A0">
        <w:rPr>
          <w:rFonts w:ascii="Arial" w:hAnsi="Arial" w:cs="Arial"/>
          <w:b/>
          <w:color w:val="FF0000"/>
          <w:sz w:val="24"/>
          <w:szCs w:val="24"/>
        </w:rPr>
        <w:t xml:space="preserve">           Alejandro Lafuente Torres</w:t>
      </w:r>
      <w:r w:rsidRPr="008120A0">
        <w:rPr>
          <w:rFonts w:ascii="Arial" w:hAnsi="Arial" w:cs="Arial"/>
          <w:color w:val="FF0000"/>
          <w:sz w:val="24"/>
          <w:szCs w:val="24"/>
        </w:rPr>
        <w:t xml:space="preserve"> </w:t>
      </w:r>
      <w:r w:rsidRPr="008120A0">
        <w:rPr>
          <w:rFonts w:ascii="Arial" w:hAnsi="Arial" w:cs="Arial"/>
          <w:b/>
          <w:color w:val="FF0000"/>
          <w:sz w:val="24"/>
          <w:szCs w:val="24"/>
          <w:lang w:val="es-ES"/>
        </w:rPr>
        <w:t xml:space="preserve">          Rosa María Motilla García</w:t>
      </w:r>
      <w:r w:rsidRPr="008120A0">
        <w:rPr>
          <w:rFonts w:ascii="Arial" w:hAnsi="Arial" w:cs="Arial"/>
          <w:b/>
          <w:color w:val="FF0000"/>
          <w:sz w:val="24"/>
          <w:szCs w:val="24"/>
        </w:rPr>
        <w:t xml:space="preserve">        </w:t>
      </w:r>
    </w:p>
    <w:p w14:paraId="67499B42" w14:textId="32A8CB40" w:rsidR="00B94385" w:rsidRPr="008120A0" w:rsidRDefault="00B94385" w:rsidP="00B94385">
      <w:pPr>
        <w:spacing w:after="0" w:line="240" w:lineRule="auto"/>
        <w:ind w:firstLine="709"/>
        <w:jc w:val="both"/>
        <w:rPr>
          <w:rFonts w:ascii="Arial" w:hAnsi="Arial" w:cs="Arial"/>
          <w:b/>
          <w:color w:val="FF0000"/>
          <w:sz w:val="24"/>
          <w:szCs w:val="24"/>
        </w:rPr>
      </w:pPr>
      <w:r w:rsidRPr="008120A0">
        <w:rPr>
          <w:rFonts w:ascii="Arial" w:hAnsi="Arial" w:cs="Arial"/>
          <w:b/>
          <w:color w:val="FF0000"/>
          <w:sz w:val="24"/>
          <w:szCs w:val="24"/>
        </w:rPr>
        <w:t xml:space="preserve">           Comisionado Presidente                     </w:t>
      </w:r>
      <w:bookmarkStart w:id="4" w:name="_GoBack"/>
      <w:bookmarkEnd w:id="4"/>
      <w:r w:rsidRPr="008120A0">
        <w:rPr>
          <w:rFonts w:ascii="Arial" w:hAnsi="Arial" w:cs="Arial"/>
          <w:b/>
          <w:color w:val="FF0000"/>
          <w:sz w:val="24"/>
          <w:szCs w:val="24"/>
        </w:rPr>
        <w:t>Secretaria de Pleno</w:t>
      </w:r>
    </w:p>
    <w:p w14:paraId="6CB2C62D" w14:textId="77777777" w:rsidR="00B94385" w:rsidRPr="008120A0" w:rsidRDefault="00B94385" w:rsidP="00B94385">
      <w:pPr>
        <w:spacing w:after="0" w:line="240" w:lineRule="auto"/>
        <w:ind w:firstLine="709"/>
        <w:jc w:val="both"/>
        <w:rPr>
          <w:rFonts w:ascii="Arial" w:hAnsi="Arial" w:cs="Arial"/>
          <w:color w:val="FF0000"/>
          <w:sz w:val="24"/>
          <w:szCs w:val="24"/>
        </w:rPr>
      </w:pPr>
    </w:p>
    <w:p w14:paraId="47C3E7F2" w14:textId="77777777" w:rsidR="00C328DB" w:rsidRDefault="00C328DB" w:rsidP="00F430EE">
      <w:pPr>
        <w:spacing w:after="0" w:line="360" w:lineRule="auto"/>
        <w:jc w:val="both"/>
        <w:rPr>
          <w:rFonts w:ascii="Arial" w:hAnsi="Arial" w:cs="Arial"/>
          <w:color w:val="365F91" w:themeColor="accent1" w:themeShade="BF"/>
        </w:rPr>
      </w:pPr>
    </w:p>
    <w:p w14:paraId="7B3487EC" w14:textId="35639124" w:rsidR="00F430EE" w:rsidRPr="002B4AB8" w:rsidRDefault="00F430EE" w:rsidP="00F430EE">
      <w:pPr>
        <w:spacing w:after="0" w:line="360" w:lineRule="auto"/>
        <w:jc w:val="both"/>
        <w:rPr>
          <w:rFonts w:ascii="Arial" w:hAnsi="Arial" w:cs="Arial"/>
          <w:color w:val="365F91" w:themeColor="accent1" w:themeShade="BF"/>
        </w:rPr>
      </w:pPr>
      <w:r w:rsidRPr="002B4AB8">
        <w:rPr>
          <w:rFonts w:ascii="Arial" w:hAnsi="Arial" w:cs="Arial"/>
          <w:color w:val="365F91" w:themeColor="accent1" w:themeShade="BF"/>
        </w:rPr>
        <w:t xml:space="preserve">A las ocho horas del día ____ de ___________ de 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-DOY FE. - - - - - - - - - - - - - - - - - - - - - - - - - - - - - </w:t>
      </w:r>
    </w:p>
    <w:p w14:paraId="294F7394" w14:textId="77777777" w:rsidR="00F430EE" w:rsidRPr="002B4AB8" w:rsidRDefault="00F430EE" w:rsidP="00F430EE">
      <w:pPr>
        <w:spacing w:after="0" w:line="360" w:lineRule="auto"/>
        <w:jc w:val="both"/>
        <w:rPr>
          <w:rFonts w:ascii="Arial" w:hAnsi="Arial" w:cs="Arial"/>
          <w:color w:val="365F91" w:themeColor="accent1" w:themeShade="BF"/>
        </w:rPr>
      </w:pPr>
      <w:r w:rsidRPr="002B4AB8">
        <w:rPr>
          <w:rFonts w:ascii="Arial" w:hAnsi="Arial" w:cs="Arial"/>
          <w:color w:val="365F91" w:themeColor="accent1" w:themeShade="BF"/>
        </w:rPr>
        <w:t xml:space="preserve">   </w:t>
      </w:r>
    </w:p>
    <w:p w14:paraId="6811BE91" w14:textId="77777777" w:rsidR="00F430EE" w:rsidRPr="002B4AB8" w:rsidRDefault="00F430EE" w:rsidP="00F430EE">
      <w:pPr>
        <w:spacing w:after="0" w:line="360" w:lineRule="auto"/>
        <w:jc w:val="center"/>
        <w:rPr>
          <w:rFonts w:ascii="Arial" w:hAnsi="Arial" w:cs="Arial"/>
          <w:b/>
          <w:color w:val="365F91" w:themeColor="accent1" w:themeShade="BF"/>
        </w:rPr>
      </w:pPr>
      <w:r w:rsidRPr="002B4AB8">
        <w:rPr>
          <w:rFonts w:ascii="Arial" w:hAnsi="Arial" w:cs="Arial"/>
          <w:b/>
          <w:color w:val="365F91" w:themeColor="accent1" w:themeShade="BF"/>
        </w:rPr>
        <w:t>Javier Pérez Limón</w:t>
      </w:r>
    </w:p>
    <w:p w14:paraId="0BC8BDA9" w14:textId="77777777" w:rsidR="00F430EE" w:rsidRPr="002B4AB8" w:rsidRDefault="00F430EE" w:rsidP="00F430EE">
      <w:pPr>
        <w:spacing w:after="0" w:line="360" w:lineRule="auto"/>
        <w:jc w:val="center"/>
        <w:rPr>
          <w:rFonts w:ascii="Arial" w:hAnsi="Arial" w:cs="Arial"/>
          <w:b/>
          <w:color w:val="365F91" w:themeColor="accent1" w:themeShade="BF"/>
        </w:rPr>
      </w:pPr>
      <w:r w:rsidRPr="002B4AB8">
        <w:rPr>
          <w:rFonts w:ascii="Arial" w:hAnsi="Arial" w:cs="Arial"/>
          <w:b/>
          <w:color w:val="365F91" w:themeColor="accent1" w:themeShade="BF"/>
        </w:rPr>
        <w:t>Notificador</w:t>
      </w:r>
    </w:p>
    <w:p w14:paraId="21C47AC8" w14:textId="77777777" w:rsidR="00B94385" w:rsidRPr="008120A0" w:rsidRDefault="00B94385" w:rsidP="00B94385">
      <w:pPr>
        <w:spacing w:after="0" w:line="240" w:lineRule="auto"/>
        <w:ind w:firstLine="709"/>
        <w:jc w:val="both"/>
        <w:rPr>
          <w:rFonts w:ascii="Arial" w:hAnsi="Arial" w:cs="Arial"/>
          <w:color w:val="FF0000"/>
          <w:sz w:val="24"/>
          <w:szCs w:val="24"/>
        </w:rPr>
      </w:pPr>
    </w:p>
    <w:p w14:paraId="59880F39" w14:textId="50ABC52B" w:rsidR="00B94385" w:rsidRPr="00F430EE" w:rsidRDefault="00F430EE" w:rsidP="00B94385">
      <w:pPr>
        <w:rPr>
          <w:rFonts w:ascii="Arial" w:hAnsi="Arial" w:cs="Arial"/>
          <w:color w:val="365F91" w:themeColor="accent1" w:themeShade="BF"/>
          <w:sz w:val="18"/>
          <w:szCs w:val="18"/>
        </w:rPr>
      </w:pPr>
      <w:r w:rsidRPr="00F430EE">
        <w:rPr>
          <w:rFonts w:ascii="Arial" w:hAnsi="Arial" w:cs="Arial"/>
          <w:color w:val="365F91" w:themeColor="accent1" w:themeShade="BF"/>
          <w:sz w:val="18"/>
          <w:szCs w:val="18"/>
        </w:rPr>
        <w:t>AN</w:t>
      </w:r>
    </w:p>
    <w:p w14:paraId="01ED8F05" w14:textId="3C1DC075" w:rsidR="00976F0C" w:rsidRPr="00B94385" w:rsidRDefault="00976F0C" w:rsidP="00B94385"/>
    <w:sectPr w:rsidR="00976F0C" w:rsidRPr="00B94385" w:rsidSect="00C328DB">
      <w:headerReference w:type="default" r:id="rId9"/>
      <w:pgSz w:w="12240" w:h="20160" w:code="5"/>
      <w:pgMar w:top="3544" w:right="851" w:bottom="2268"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326F40" w14:textId="77777777" w:rsidR="00B773E9" w:rsidRDefault="00B773E9" w:rsidP="00A04BCB">
      <w:pPr>
        <w:spacing w:after="0" w:line="240" w:lineRule="auto"/>
      </w:pPr>
      <w:r>
        <w:separator/>
      </w:r>
    </w:p>
  </w:endnote>
  <w:endnote w:type="continuationSeparator" w:id="0">
    <w:p w14:paraId="041E4344" w14:textId="77777777" w:rsidR="00B773E9" w:rsidRDefault="00B773E9"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242F87" w14:textId="77777777" w:rsidR="00B773E9" w:rsidRDefault="00B773E9" w:rsidP="00A04BCB">
      <w:pPr>
        <w:spacing w:after="0" w:line="240" w:lineRule="auto"/>
      </w:pPr>
      <w:r>
        <w:separator/>
      </w:r>
    </w:p>
  </w:footnote>
  <w:footnote w:type="continuationSeparator" w:id="0">
    <w:p w14:paraId="17C09A68" w14:textId="77777777" w:rsidR="00B773E9" w:rsidRDefault="00B773E9"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C2A11" w14:textId="3B4FF422" w:rsidR="00FC738C" w:rsidRDefault="00FC738C" w:rsidP="005D7E54">
    <w:pPr>
      <w:pStyle w:val="Encabezado"/>
      <w:jc w:val="right"/>
    </w:pPr>
    <w:r>
      <w:rPr>
        <w:rFonts w:ascii="Arial" w:hAnsi="Arial" w:cs="Arial"/>
        <w:b/>
      </w:rPr>
      <w:t>RR-</w:t>
    </w:r>
    <w:r w:rsidR="00671AEB">
      <w:rPr>
        <w:rFonts w:ascii="Arial" w:hAnsi="Arial" w:cs="Arial"/>
        <w:b/>
      </w:rPr>
      <w:t>631</w:t>
    </w:r>
    <w:r>
      <w:rPr>
        <w:rFonts w:ascii="Arial" w:hAnsi="Arial" w:cs="Arial"/>
        <w:b/>
      </w:rPr>
      <w:t xml:space="preserve">/2017-1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C343B"/>
    <w:multiLevelType w:val="hybridMultilevel"/>
    <w:tmpl w:val="E9A885C6"/>
    <w:lvl w:ilvl="0" w:tplc="934C2FFC">
      <w:start w:val="1"/>
      <w:numFmt w:val="upperRoman"/>
      <w:lvlText w:val="%1."/>
      <w:lvlJc w:val="left"/>
      <w:pPr>
        <w:ind w:left="42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1" w:tplc="265CD9EE">
      <w:start w:val="1"/>
      <w:numFmt w:val="lowerLetter"/>
      <w:lvlText w:val="%2"/>
      <w:lvlJc w:val="left"/>
      <w:pPr>
        <w:ind w:left="108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2" w:tplc="1BD62E5C">
      <w:start w:val="1"/>
      <w:numFmt w:val="lowerRoman"/>
      <w:lvlText w:val="%3"/>
      <w:lvlJc w:val="left"/>
      <w:pPr>
        <w:ind w:left="180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3" w:tplc="085401A8">
      <w:start w:val="1"/>
      <w:numFmt w:val="decimal"/>
      <w:lvlText w:val="%4"/>
      <w:lvlJc w:val="left"/>
      <w:pPr>
        <w:ind w:left="252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4" w:tplc="CDF84D2A">
      <w:start w:val="1"/>
      <w:numFmt w:val="lowerLetter"/>
      <w:lvlText w:val="%5"/>
      <w:lvlJc w:val="left"/>
      <w:pPr>
        <w:ind w:left="324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5" w:tplc="D1EA81DC">
      <w:start w:val="1"/>
      <w:numFmt w:val="lowerRoman"/>
      <w:lvlText w:val="%6"/>
      <w:lvlJc w:val="left"/>
      <w:pPr>
        <w:ind w:left="396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6" w:tplc="620A8384">
      <w:start w:val="1"/>
      <w:numFmt w:val="decimal"/>
      <w:lvlText w:val="%7"/>
      <w:lvlJc w:val="left"/>
      <w:pPr>
        <w:ind w:left="468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7" w:tplc="C02C0A70">
      <w:start w:val="1"/>
      <w:numFmt w:val="lowerLetter"/>
      <w:lvlText w:val="%8"/>
      <w:lvlJc w:val="left"/>
      <w:pPr>
        <w:ind w:left="540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8" w:tplc="A46A1ED2">
      <w:start w:val="1"/>
      <w:numFmt w:val="lowerRoman"/>
      <w:lvlText w:val="%9"/>
      <w:lvlJc w:val="left"/>
      <w:pPr>
        <w:ind w:left="612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81358B"/>
    <w:multiLevelType w:val="hybridMultilevel"/>
    <w:tmpl w:val="570A912A"/>
    <w:lvl w:ilvl="0" w:tplc="080A0013">
      <w:start w:val="1"/>
      <w:numFmt w:val="upperRoman"/>
      <w:lvlText w:val="%1."/>
      <w:lvlJc w:val="right"/>
      <w:pPr>
        <w:ind w:left="1530" w:hanging="360"/>
      </w:p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6"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0"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1"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2"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5" w15:restartNumberingAfterBreak="0">
    <w:nsid w:val="5D4315C9"/>
    <w:multiLevelType w:val="hybridMultilevel"/>
    <w:tmpl w:val="E02CA180"/>
    <w:lvl w:ilvl="0" w:tplc="44500E94">
      <w:start w:val="11"/>
      <w:numFmt w:val="upperRoman"/>
      <w:lvlText w:val="%1."/>
      <w:lvlJc w:val="left"/>
      <w:pPr>
        <w:ind w:left="1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1" w:tplc="A22AC970">
      <w:start w:val="1"/>
      <w:numFmt w:val="lowerLetter"/>
      <w:lvlText w:val="%2"/>
      <w:lvlJc w:val="left"/>
      <w:pPr>
        <w:ind w:left="108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2" w:tplc="4CE0A25C">
      <w:start w:val="1"/>
      <w:numFmt w:val="lowerRoman"/>
      <w:lvlText w:val="%3"/>
      <w:lvlJc w:val="left"/>
      <w:pPr>
        <w:ind w:left="180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3" w:tplc="13FC1178">
      <w:start w:val="1"/>
      <w:numFmt w:val="decimal"/>
      <w:lvlText w:val="%4"/>
      <w:lvlJc w:val="left"/>
      <w:pPr>
        <w:ind w:left="252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4" w:tplc="A3184F0A">
      <w:start w:val="1"/>
      <w:numFmt w:val="lowerLetter"/>
      <w:lvlText w:val="%5"/>
      <w:lvlJc w:val="left"/>
      <w:pPr>
        <w:ind w:left="324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5" w:tplc="98D0DD06">
      <w:start w:val="1"/>
      <w:numFmt w:val="lowerRoman"/>
      <w:lvlText w:val="%6"/>
      <w:lvlJc w:val="left"/>
      <w:pPr>
        <w:ind w:left="396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6" w:tplc="F11413CA">
      <w:start w:val="1"/>
      <w:numFmt w:val="decimal"/>
      <w:lvlText w:val="%7"/>
      <w:lvlJc w:val="left"/>
      <w:pPr>
        <w:ind w:left="468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7" w:tplc="B4AA6F3E">
      <w:start w:val="1"/>
      <w:numFmt w:val="lowerLetter"/>
      <w:lvlText w:val="%8"/>
      <w:lvlJc w:val="left"/>
      <w:pPr>
        <w:ind w:left="540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8" w:tplc="2520A772">
      <w:start w:val="1"/>
      <w:numFmt w:val="lowerRoman"/>
      <w:lvlText w:val="%9"/>
      <w:lvlJc w:val="left"/>
      <w:pPr>
        <w:ind w:left="612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abstractNum>
  <w:abstractNum w:abstractNumId="16" w15:restartNumberingAfterBreak="0">
    <w:nsid w:val="6CD33C11"/>
    <w:multiLevelType w:val="hybridMultilevel"/>
    <w:tmpl w:val="20B29B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6DEF2D51"/>
    <w:multiLevelType w:val="hybridMultilevel"/>
    <w:tmpl w:val="881AF6E0"/>
    <w:lvl w:ilvl="0" w:tplc="A6CEBDE4">
      <w:start w:val="1"/>
      <w:numFmt w:val="lowerLetter"/>
      <w:lvlText w:val="%1)"/>
      <w:lvlJc w:val="left"/>
      <w:pPr>
        <w:ind w:left="1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1" w:tplc="654452EE">
      <w:start w:val="1"/>
      <w:numFmt w:val="lowerLetter"/>
      <w:lvlText w:val="%2"/>
      <w:lvlJc w:val="left"/>
      <w:pPr>
        <w:ind w:left="108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2" w:tplc="D47C35BC">
      <w:start w:val="1"/>
      <w:numFmt w:val="lowerRoman"/>
      <w:lvlText w:val="%3"/>
      <w:lvlJc w:val="left"/>
      <w:pPr>
        <w:ind w:left="180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3" w:tplc="B5C00252">
      <w:start w:val="1"/>
      <w:numFmt w:val="decimal"/>
      <w:lvlText w:val="%4"/>
      <w:lvlJc w:val="left"/>
      <w:pPr>
        <w:ind w:left="252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4" w:tplc="3EA80C10">
      <w:start w:val="1"/>
      <w:numFmt w:val="lowerLetter"/>
      <w:lvlText w:val="%5"/>
      <w:lvlJc w:val="left"/>
      <w:pPr>
        <w:ind w:left="324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5" w:tplc="FF309616">
      <w:start w:val="1"/>
      <w:numFmt w:val="lowerRoman"/>
      <w:lvlText w:val="%6"/>
      <w:lvlJc w:val="left"/>
      <w:pPr>
        <w:ind w:left="396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6" w:tplc="3A5C425E">
      <w:start w:val="1"/>
      <w:numFmt w:val="decimal"/>
      <w:lvlText w:val="%7"/>
      <w:lvlJc w:val="left"/>
      <w:pPr>
        <w:ind w:left="468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7" w:tplc="82EE5044">
      <w:start w:val="1"/>
      <w:numFmt w:val="lowerLetter"/>
      <w:lvlText w:val="%8"/>
      <w:lvlJc w:val="left"/>
      <w:pPr>
        <w:ind w:left="540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8" w:tplc="CB1EDB82">
      <w:start w:val="1"/>
      <w:numFmt w:val="lowerRoman"/>
      <w:lvlText w:val="%9"/>
      <w:lvlJc w:val="left"/>
      <w:pPr>
        <w:ind w:left="6120"/>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3"/>
  </w:num>
  <w:num w:numId="3">
    <w:abstractNumId w:val="7"/>
  </w:num>
  <w:num w:numId="4">
    <w:abstractNumId w:val="18"/>
  </w:num>
  <w:num w:numId="5">
    <w:abstractNumId w:val="12"/>
  </w:num>
  <w:num w:numId="6">
    <w:abstractNumId w:val="10"/>
  </w:num>
  <w:num w:numId="7">
    <w:abstractNumId w:val="2"/>
  </w:num>
  <w:num w:numId="8">
    <w:abstractNumId w:val="14"/>
  </w:num>
  <w:num w:numId="9">
    <w:abstractNumId w:val="6"/>
  </w:num>
  <w:num w:numId="10">
    <w:abstractNumId w:val="1"/>
  </w:num>
  <w:num w:numId="11">
    <w:abstractNumId w:val="9"/>
  </w:num>
  <w:num w:numId="12">
    <w:abstractNumId w:val="13"/>
  </w:num>
  <w:num w:numId="13">
    <w:abstractNumId w:val="11"/>
  </w:num>
  <w:num w:numId="14">
    <w:abstractNumId w:val="8"/>
  </w:num>
  <w:num w:numId="15">
    <w:abstractNumId w:val="0"/>
  </w:num>
  <w:num w:numId="16">
    <w:abstractNumId w:val="17"/>
  </w:num>
  <w:num w:numId="17">
    <w:abstractNumId w:val="15"/>
  </w:num>
  <w:num w:numId="18">
    <w:abstractNumId w:val="16"/>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mirrorMargins/>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BCB"/>
    <w:rsid w:val="00001AD9"/>
    <w:rsid w:val="00011E94"/>
    <w:rsid w:val="00021A59"/>
    <w:rsid w:val="00022AD6"/>
    <w:rsid w:val="000249D5"/>
    <w:rsid w:val="0003028A"/>
    <w:rsid w:val="0005564C"/>
    <w:rsid w:val="00080247"/>
    <w:rsid w:val="00080E25"/>
    <w:rsid w:val="000813AB"/>
    <w:rsid w:val="0008507C"/>
    <w:rsid w:val="00090736"/>
    <w:rsid w:val="00090FF9"/>
    <w:rsid w:val="000A4472"/>
    <w:rsid w:val="000A4C73"/>
    <w:rsid w:val="000A4F5D"/>
    <w:rsid w:val="000B4B81"/>
    <w:rsid w:val="000B62C2"/>
    <w:rsid w:val="000B7F7D"/>
    <w:rsid w:val="000C61B6"/>
    <w:rsid w:val="000D6BBE"/>
    <w:rsid w:val="000D71A1"/>
    <w:rsid w:val="000F05B6"/>
    <w:rsid w:val="000F3254"/>
    <w:rsid w:val="000F3F6E"/>
    <w:rsid w:val="000F4AAE"/>
    <w:rsid w:val="001032B9"/>
    <w:rsid w:val="00107646"/>
    <w:rsid w:val="00107F8A"/>
    <w:rsid w:val="00131EBD"/>
    <w:rsid w:val="00141F0A"/>
    <w:rsid w:val="00153C9C"/>
    <w:rsid w:val="00157759"/>
    <w:rsid w:val="0016179C"/>
    <w:rsid w:val="00162EC6"/>
    <w:rsid w:val="0018121A"/>
    <w:rsid w:val="00184E79"/>
    <w:rsid w:val="00196123"/>
    <w:rsid w:val="001A14C5"/>
    <w:rsid w:val="001A3205"/>
    <w:rsid w:val="001B2AEF"/>
    <w:rsid w:val="001C0739"/>
    <w:rsid w:val="001C5951"/>
    <w:rsid w:val="001C77AA"/>
    <w:rsid w:val="001D0198"/>
    <w:rsid w:val="001D03CA"/>
    <w:rsid w:val="001D16C6"/>
    <w:rsid w:val="001D1D73"/>
    <w:rsid w:val="001D46E8"/>
    <w:rsid w:val="001E317B"/>
    <w:rsid w:val="001E51EB"/>
    <w:rsid w:val="001E6128"/>
    <w:rsid w:val="001F0337"/>
    <w:rsid w:val="001F1B92"/>
    <w:rsid w:val="001F7935"/>
    <w:rsid w:val="002043D9"/>
    <w:rsid w:val="002048FB"/>
    <w:rsid w:val="00210A0B"/>
    <w:rsid w:val="00214DBA"/>
    <w:rsid w:val="002231D3"/>
    <w:rsid w:val="00224121"/>
    <w:rsid w:val="00226860"/>
    <w:rsid w:val="00232F24"/>
    <w:rsid w:val="00234400"/>
    <w:rsid w:val="002414D8"/>
    <w:rsid w:val="0024310C"/>
    <w:rsid w:val="002526F3"/>
    <w:rsid w:val="00256240"/>
    <w:rsid w:val="0025655D"/>
    <w:rsid w:val="00260481"/>
    <w:rsid w:val="00264CBC"/>
    <w:rsid w:val="00266ADC"/>
    <w:rsid w:val="002778EA"/>
    <w:rsid w:val="00286EF5"/>
    <w:rsid w:val="00296681"/>
    <w:rsid w:val="002A288D"/>
    <w:rsid w:val="002A6A30"/>
    <w:rsid w:val="002B0837"/>
    <w:rsid w:val="002B2BF8"/>
    <w:rsid w:val="002B40C2"/>
    <w:rsid w:val="002B546C"/>
    <w:rsid w:val="002C38D0"/>
    <w:rsid w:val="002D0070"/>
    <w:rsid w:val="002D284B"/>
    <w:rsid w:val="002D371A"/>
    <w:rsid w:val="002E4736"/>
    <w:rsid w:val="002E5C18"/>
    <w:rsid w:val="002F30EF"/>
    <w:rsid w:val="003032F5"/>
    <w:rsid w:val="003047E5"/>
    <w:rsid w:val="00310A7D"/>
    <w:rsid w:val="00327DBF"/>
    <w:rsid w:val="00331B9E"/>
    <w:rsid w:val="003332F1"/>
    <w:rsid w:val="00352A7B"/>
    <w:rsid w:val="00356C5A"/>
    <w:rsid w:val="00360ABE"/>
    <w:rsid w:val="0036214E"/>
    <w:rsid w:val="0037061E"/>
    <w:rsid w:val="00372881"/>
    <w:rsid w:val="0038176B"/>
    <w:rsid w:val="00381A32"/>
    <w:rsid w:val="0038361E"/>
    <w:rsid w:val="00383735"/>
    <w:rsid w:val="0038592D"/>
    <w:rsid w:val="00387392"/>
    <w:rsid w:val="0039642A"/>
    <w:rsid w:val="003A0A70"/>
    <w:rsid w:val="003A4363"/>
    <w:rsid w:val="003B5125"/>
    <w:rsid w:val="003E0564"/>
    <w:rsid w:val="003E3238"/>
    <w:rsid w:val="003F2888"/>
    <w:rsid w:val="00400461"/>
    <w:rsid w:val="00402BE9"/>
    <w:rsid w:val="00404705"/>
    <w:rsid w:val="0041021C"/>
    <w:rsid w:val="00420313"/>
    <w:rsid w:val="00426890"/>
    <w:rsid w:val="00427953"/>
    <w:rsid w:val="004302FC"/>
    <w:rsid w:val="00434796"/>
    <w:rsid w:val="0044226A"/>
    <w:rsid w:val="004466EB"/>
    <w:rsid w:val="004528ED"/>
    <w:rsid w:val="00453A8D"/>
    <w:rsid w:val="004645D3"/>
    <w:rsid w:val="004659BD"/>
    <w:rsid w:val="004676F8"/>
    <w:rsid w:val="00467AA8"/>
    <w:rsid w:val="004711AB"/>
    <w:rsid w:val="00471E37"/>
    <w:rsid w:val="00472502"/>
    <w:rsid w:val="0047371E"/>
    <w:rsid w:val="004739C4"/>
    <w:rsid w:val="00474979"/>
    <w:rsid w:val="00485806"/>
    <w:rsid w:val="00491923"/>
    <w:rsid w:val="004935E2"/>
    <w:rsid w:val="0049533B"/>
    <w:rsid w:val="004A35F9"/>
    <w:rsid w:val="004C415C"/>
    <w:rsid w:val="004D0F1C"/>
    <w:rsid w:val="004D511E"/>
    <w:rsid w:val="004E386C"/>
    <w:rsid w:val="004F0206"/>
    <w:rsid w:val="004F08DC"/>
    <w:rsid w:val="004F5CDC"/>
    <w:rsid w:val="00500854"/>
    <w:rsid w:val="00501E56"/>
    <w:rsid w:val="00510127"/>
    <w:rsid w:val="00515C6F"/>
    <w:rsid w:val="00523D76"/>
    <w:rsid w:val="005368E6"/>
    <w:rsid w:val="0053726B"/>
    <w:rsid w:val="0054206B"/>
    <w:rsid w:val="00552902"/>
    <w:rsid w:val="0055402B"/>
    <w:rsid w:val="00555BEA"/>
    <w:rsid w:val="00557692"/>
    <w:rsid w:val="0056284E"/>
    <w:rsid w:val="00570D95"/>
    <w:rsid w:val="00571B19"/>
    <w:rsid w:val="00580B07"/>
    <w:rsid w:val="005A2395"/>
    <w:rsid w:val="005C7BA1"/>
    <w:rsid w:val="005D2986"/>
    <w:rsid w:val="005D32BF"/>
    <w:rsid w:val="005D7E54"/>
    <w:rsid w:val="005E15B2"/>
    <w:rsid w:val="005E4368"/>
    <w:rsid w:val="00604691"/>
    <w:rsid w:val="00605A77"/>
    <w:rsid w:val="00606D6E"/>
    <w:rsid w:val="0060755C"/>
    <w:rsid w:val="00615017"/>
    <w:rsid w:val="00616C0D"/>
    <w:rsid w:val="00621AC6"/>
    <w:rsid w:val="00624699"/>
    <w:rsid w:val="00624ED9"/>
    <w:rsid w:val="00625D1B"/>
    <w:rsid w:val="006556E9"/>
    <w:rsid w:val="006569DD"/>
    <w:rsid w:val="00661411"/>
    <w:rsid w:val="006653FC"/>
    <w:rsid w:val="0066551D"/>
    <w:rsid w:val="00670277"/>
    <w:rsid w:val="00671AEB"/>
    <w:rsid w:val="00672BEE"/>
    <w:rsid w:val="0068099F"/>
    <w:rsid w:val="00695310"/>
    <w:rsid w:val="006A4610"/>
    <w:rsid w:val="006A544C"/>
    <w:rsid w:val="006B6741"/>
    <w:rsid w:val="006C77A4"/>
    <w:rsid w:val="006C78BB"/>
    <w:rsid w:val="006D050F"/>
    <w:rsid w:val="006D3BF1"/>
    <w:rsid w:val="006D4FCA"/>
    <w:rsid w:val="006E2236"/>
    <w:rsid w:val="006E478E"/>
    <w:rsid w:val="006E6735"/>
    <w:rsid w:val="006F56CF"/>
    <w:rsid w:val="006F5A3A"/>
    <w:rsid w:val="00702152"/>
    <w:rsid w:val="007121D0"/>
    <w:rsid w:val="00721663"/>
    <w:rsid w:val="00723CC6"/>
    <w:rsid w:val="00734EE5"/>
    <w:rsid w:val="00736D66"/>
    <w:rsid w:val="00744113"/>
    <w:rsid w:val="007558D7"/>
    <w:rsid w:val="00763E45"/>
    <w:rsid w:val="00771755"/>
    <w:rsid w:val="00772104"/>
    <w:rsid w:val="00774BC8"/>
    <w:rsid w:val="00780A83"/>
    <w:rsid w:val="007813FD"/>
    <w:rsid w:val="00782396"/>
    <w:rsid w:val="00785DA9"/>
    <w:rsid w:val="007A68AD"/>
    <w:rsid w:val="007A7692"/>
    <w:rsid w:val="007A777C"/>
    <w:rsid w:val="007B1813"/>
    <w:rsid w:val="007B30A9"/>
    <w:rsid w:val="007B520C"/>
    <w:rsid w:val="007C70EC"/>
    <w:rsid w:val="007E4AE1"/>
    <w:rsid w:val="007E7137"/>
    <w:rsid w:val="007E7A46"/>
    <w:rsid w:val="008024C9"/>
    <w:rsid w:val="00803BF0"/>
    <w:rsid w:val="00810456"/>
    <w:rsid w:val="00811E5C"/>
    <w:rsid w:val="008120A0"/>
    <w:rsid w:val="00813BA7"/>
    <w:rsid w:val="0082057A"/>
    <w:rsid w:val="008334F5"/>
    <w:rsid w:val="008343ED"/>
    <w:rsid w:val="00834C28"/>
    <w:rsid w:val="00836E2B"/>
    <w:rsid w:val="00845E58"/>
    <w:rsid w:val="008478C1"/>
    <w:rsid w:val="00850170"/>
    <w:rsid w:val="00850953"/>
    <w:rsid w:val="00852028"/>
    <w:rsid w:val="0085470E"/>
    <w:rsid w:val="00874C83"/>
    <w:rsid w:val="008808DF"/>
    <w:rsid w:val="0088125B"/>
    <w:rsid w:val="00891B6D"/>
    <w:rsid w:val="00896E43"/>
    <w:rsid w:val="00897B0C"/>
    <w:rsid w:val="008A6B41"/>
    <w:rsid w:val="008B15BA"/>
    <w:rsid w:val="008B4490"/>
    <w:rsid w:val="008B7BF0"/>
    <w:rsid w:val="008C1236"/>
    <w:rsid w:val="008C22E2"/>
    <w:rsid w:val="008C649D"/>
    <w:rsid w:val="008D0A3C"/>
    <w:rsid w:val="008E68F1"/>
    <w:rsid w:val="008F388A"/>
    <w:rsid w:val="008F6149"/>
    <w:rsid w:val="009039C8"/>
    <w:rsid w:val="00906B75"/>
    <w:rsid w:val="009124C4"/>
    <w:rsid w:val="00922275"/>
    <w:rsid w:val="0092572B"/>
    <w:rsid w:val="00937789"/>
    <w:rsid w:val="00941158"/>
    <w:rsid w:val="00942A7C"/>
    <w:rsid w:val="0094536F"/>
    <w:rsid w:val="00976F0C"/>
    <w:rsid w:val="0098511D"/>
    <w:rsid w:val="009B23C6"/>
    <w:rsid w:val="009B7254"/>
    <w:rsid w:val="009C2B81"/>
    <w:rsid w:val="009C4466"/>
    <w:rsid w:val="009D0019"/>
    <w:rsid w:val="009D2BB8"/>
    <w:rsid w:val="009D3602"/>
    <w:rsid w:val="009E456E"/>
    <w:rsid w:val="009F00AF"/>
    <w:rsid w:val="009F05C4"/>
    <w:rsid w:val="009F58A3"/>
    <w:rsid w:val="00A00E0A"/>
    <w:rsid w:val="00A04BCB"/>
    <w:rsid w:val="00A050F1"/>
    <w:rsid w:val="00A06A4A"/>
    <w:rsid w:val="00A24594"/>
    <w:rsid w:val="00A3076D"/>
    <w:rsid w:val="00A61517"/>
    <w:rsid w:val="00A62F8D"/>
    <w:rsid w:val="00A630A6"/>
    <w:rsid w:val="00A7066C"/>
    <w:rsid w:val="00A75DA0"/>
    <w:rsid w:val="00A8436E"/>
    <w:rsid w:val="00A94565"/>
    <w:rsid w:val="00AA3BC7"/>
    <w:rsid w:val="00AA5027"/>
    <w:rsid w:val="00AB0C8A"/>
    <w:rsid w:val="00AC1F24"/>
    <w:rsid w:val="00AC335A"/>
    <w:rsid w:val="00AD691E"/>
    <w:rsid w:val="00AE702D"/>
    <w:rsid w:val="00AF0D89"/>
    <w:rsid w:val="00B01F57"/>
    <w:rsid w:val="00B06769"/>
    <w:rsid w:val="00B10F22"/>
    <w:rsid w:val="00B11A7E"/>
    <w:rsid w:val="00B14364"/>
    <w:rsid w:val="00B27EF1"/>
    <w:rsid w:val="00B35162"/>
    <w:rsid w:val="00B4486D"/>
    <w:rsid w:val="00B4587C"/>
    <w:rsid w:val="00B52017"/>
    <w:rsid w:val="00B54825"/>
    <w:rsid w:val="00B54C34"/>
    <w:rsid w:val="00B55F7C"/>
    <w:rsid w:val="00B63E0B"/>
    <w:rsid w:val="00B71D1E"/>
    <w:rsid w:val="00B7246B"/>
    <w:rsid w:val="00B73016"/>
    <w:rsid w:val="00B7695D"/>
    <w:rsid w:val="00B773E9"/>
    <w:rsid w:val="00B84B92"/>
    <w:rsid w:val="00B94385"/>
    <w:rsid w:val="00B977AB"/>
    <w:rsid w:val="00B97928"/>
    <w:rsid w:val="00BA0F5C"/>
    <w:rsid w:val="00BA2344"/>
    <w:rsid w:val="00BA353F"/>
    <w:rsid w:val="00BA55C4"/>
    <w:rsid w:val="00BB031B"/>
    <w:rsid w:val="00BF1949"/>
    <w:rsid w:val="00C0019F"/>
    <w:rsid w:val="00C0023E"/>
    <w:rsid w:val="00C003C0"/>
    <w:rsid w:val="00C01756"/>
    <w:rsid w:val="00C0225E"/>
    <w:rsid w:val="00C02B20"/>
    <w:rsid w:val="00C07D4B"/>
    <w:rsid w:val="00C11D53"/>
    <w:rsid w:val="00C16EC4"/>
    <w:rsid w:val="00C23535"/>
    <w:rsid w:val="00C257BC"/>
    <w:rsid w:val="00C328DB"/>
    <w:rsid w:val="00C37176"/>
    <w:rsid w:val="00C42933"/>
    <w:rsid w:val="00C44F86"/>
    <w:rsid w:val="00C51C0F"/>
    <w:rsid w:val="00C60A3E"/>
    <w:rsid w:val="00C637F5"/>
    <w:rsid w:val="00C66E3D"/>
    <w:rsid w:val="00C70A3F"/>
    <w:rsid w:val="00C73D19"/>
    <w:rsid w:val="00C7664A"/>
    <w:rsid w:val="00C86357"/>
    <w:rsid w:val="00C96DC3"/>
    <w:rsid w:val="00CC57CD"/>
    <w:rsid w:val="00CD1802"/>
    <w:rsid w:val="00CE6391"/>
    <w:rsid w:val="00D05A2B"/>
    <w:rsid w:val="00D07874"/>
    <w:rsid w:val="00D078E6"/>
    <w:rsid w:val="00D11CA5"/>
    <w:rsid w:val="00D11D5E"/>
    <w:rsid w:val="00D13645"/>
    <w:rsid w:val="00D15136"/>
    <w:rsid w:val="00D21862"/>
    <w:rsid w:val="00D315CC"/>
    <w:rsid w:val="00D33BBD"/>
    <w:rsid w:val="00D42CC4"/>
    <w:rsid w:val="00D5290F"/>
    <w:rsid w:val="00D550D5"/>
    <w:rsid w:val="00D72000"/>
    <w:rsid w:val="00D7336A"/>
    <w:rsid w:val="00DB05F1"/>
    <w:rsid w:val="00DB5F2A"/>
    <w:rsid w:val="00DB65D6"/>
    <w:rsid w:val="00DC105A"/>
    <w:rsid w:val="00DC55EF"/>
    <w:rsid w:val="00DC62AD"/>
    <w:rsid w:val="00DC6698"/>
    <w:rsid w:val="00DD1315"/>
    <w:rsid w:val="00DE25E6"/>
    <w:rsid w:val="00DE6AB5"/>
    <w:rsid w:val="00DF5E66"/>
    <w:rsid w:val="00DF74E7"/>
    <w:rsid w:val="00E0126B"/>
    <w:rsid w:val="00E0173D"/>
    <w:rsid w:val="00E12808"/>
    <w:rsid w:val="00E135A8"/>
    <w:rsid w:val="00E135D9"/>
    <w:rsid w:val="00E15E88"/>
    <w:rsid w:val="00E30ECB"/>
    <w:rsid w:val="00E32AE9"/>
    <w:rsid w:val="00E43715"/>
    <w:rsid w:val="00E4433C"/>
    <w:rsid w:val="00E4590E"/>
    <w:rsid w:val="00E51C51"/>
    <w:rsid w:val="00E621C8"/>
    <w:rsid w:val="00E66DB6"/>
    <w:rsid w:val="00E7656F"/>
    <w:rsid w:val="00E8006D"/>
    <w:rsid w:val="00E828C8"/>
    <w:rsid w:val="00E83FB1"/>
    <w:rsid w:val="00E84556"/>
    <w:rsid w:val="00E91BBA"/>
    <w:rsid w:val="00E94C22"/>
    <w:rsid w:val="00E95910"/>
    <w:rsid w:val="00EA3D66"/>
    <w:rsid w:val="00EB06E0"/>
    <w:rsid w:val="00EC4BDD"/>
    <w:rsid w:val="00ED382A"/>
    <w:rsid w:val="00ED7190"/>
    <w:rsid w:val="00ED79E9"/>
    <w:rsid w:val="00EE1009"/>
    <w:rsid w:val="00EE4D47"/>
    <w:rsid w:val="00F00CA9"/>
    <w:rsid w:val="00F07080"/>
    <w:rsid w:val="00F0766A"/>
    <w:rsid w:val="00F14988"/>
    <w:rsid w:val="00F2256E"/>
    <w:rsid w:val="00F30115"/>
    <w:rsid w:val="00F31196"/>
    <w:rsid w:val="00F3148D"/>
    <w:rsid w:val="00F35188"/>
    <w:rsid w:val="00F430EE"/>
    <w:rsid w:val="00F5180A"/>
    <w:rsid w:val="00F52E5B"/>
    <w:rsid w:val="00F573CF"/>
    <w:rsid w:val="00F64485"/>
    <w:rsid w:val="00F74948"/>
    <w:rsid w:val="00F750F7"/>
    <w:rsid w:val="00F85FDA"/>
    <w:rsid w:val="00F96385"/>
    <w:rsid w:val="00F96D81"/>
    <w:rsid w:val="00F974B7"/>
    <w:rsid w:val="00FB4739"/>
    <w:rsid w:val="00FC2F02"/>
    <w:rsid w:val="00FC417C"/>
    <w:rsid w:val="00FC738C"/>
    <w:rsid w:val="00FE5A4C"/>
    <w:rsid w:val="00FF0B12"/>
    <w:rsid w:val="00FF16BB"/>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CEC55"/>
  <w15:docId w15:val="{AEC8FE78-07C3-435C-8EE8-CE9A5A779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04BCB"/>
    <w:rPr>
      <w:rFonts w:ascii="Calibri" w:eastAsia="Calibri" w:hAnsi="Calibri" w:cs="Times New Roman"/>
    </w:rPr>
  </w:style>
  <w:style w:type="paragraph" w:styleId="Ttulo2">
    <w:name w:val="heading 2"/>
    <w:basedOn w:val="Normal"/>
    <w:next w:val="Normal"/>
    <w:link w:val="Ttulo2Car"/>
    <w:uiPriority w:val="9"/>
    <w:unhideWhenUsed/>
    <w:qFormat/>
    <w:rsid w:val="0085017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val="es-ES" w:eastAsia="es-ES"/>
    </w:rPr>
  </w:style>
  <w:style w:type="character" w:customStyle="1" w:styleId="Ttulo2Car">
    <w:name w:val="Título 2 Car"/>
    <w:basedOn w:val="Fuentedeprrafopredeter"/>
    <w:link w:val="Ttulo2"/>
    <w:uiPriority w:val="9"/>
    <w:rsid w:val="00850170"/>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1463888941">
      <w:bodyDiv w:val="1"/>
      <w:marLeft w:val="0"/>
      <w:marRight w:val="0"/>
      <w:marTop w:val="0"/>
      <w:marBottom w:val="0"/>
      <w:divBdr>
        <w:top w:val="none" w:sz="0" w:space="0" w:color="auto"/>
        <w:left w:val="none" w:sz="0" w:space="0" w:color="auto"/>
        <w:bottom w:val="none" w:sz="0" w:space="0" w:color="auto"/>
        <w:right w:val="none" w:sz="0" w:space="0" w:color="auto"/>
      </w:divBdr>
    </w:div>
    <w:div w:id="2063554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D0C5D0-14F7-451E-8D23-9ECCBEF97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TotalTime>
  <Pages>10</Pages>
  <Words>2953</Words>
  <Characters>16244</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CEGAIP SLP</cp:lastModifiedBy>
  <cp:revision>32</cp:revision>
  <cp:lastPrinted>2017-12-21T17:11:00Z</cp:lastPrinted>
  <dcterms:created xsi:type="dcterms:W3CDTF">2019-09-11T14:32:00Z</dcterms:created>
  <dcterms:modified xsi:type="dcterms:W3CDTF">2019-10-28T17:10:00Z</dcterms:modified>
</cp:coreProperties>
</file>