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FF6EA4">
        <w:rPr>
          <w:rFonts w:asciiTheme="minorHAnsi" w:hAnsiTheme="minorHAnsi" w:cstheme="minorHAnsi"/>
          <w:b/>
        </w:rPr>
        <w:t xml:space="preserve">Son facultades de </w:t>
      </w:r>
      <w:proofErr w:type="spellStart"/>
      <w:r w:rsidRPr="00FF6EA4">
        <w:rPr>
          <w:rFonts w:asciiTheme="minorHAnsi" w:hAnsiTheme="minorHAnsi" w:cstheme="minorHAnsi"/>
          <w:b/>
        </w:rPr>
        <w:t>Visitaduría</w:t>
      </w:r>
      <w:proofErr w:type="spellEnd"/>
      <w:r w:rsidRPr="00FF6EA4">
        <w:rPr>
          <w:rFonts w:asciiTheme="minorHAnsi" w:hAnsiTheme="minorHAnsi" w:cstheme="minorHAnsi"/>
          <w:b/>
          <w:bCs/>
        </w:rPr>
        <w:t>:</w:t>
      </w:r>
    </w:p>
    <w:p w:rsidR="0027588F" w:rsidRPr="00FF6EA4" w:rsidRDefault="0027588F" w:rsidP="0027588F">
      <w:pPr>
        <w:pStyle w:val="Default"/>
        <w:jc w:val="both"/>
        <w:rPr>
          <w:rFonts w:asciiTheme="minorHAnsi" w:hAnsiTheme="minorHAnsi" w:cstheme="minorHAnsi"/>
          <w:bCs/>
        </w:rPr>
      </w:pP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F6EA4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50 de la Ley de la Defensoría Pública del Estado,  </w:t>
      </w:r>
      <w:r w:rsidRPr="00FF6EA4">
        <w:rPr>
          <w:rFonts w:asciiTheme="minorHAnsi" w:hAnsiTheme="minorHAnsi" w:cstheme="minorHAnsi"/>
          <w:sz w:val="24"/>
          <w:szCs w:val="24"/>
        </w:rPr>
        <w:t>la o el visitador de área quedará bajo la supervisión directa del Coordinador General, cuyas funciones le serán delegadas, atendiendo las necesidades de las áreas; teniendo para tal efecto las atribuciones siguientes:</w:t>
      </w: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Realizar visitas directas a las áreas, con el comunicado oportuno del resultado al superior inmediato; </w:t>
      </w:r>
    </w:p>
    <w:p w:rsidR="0027588F" w:rsidRPr="00FF6EA4" w:rsidRDefault="0027588F" w:rsidP="0027588F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Verificar en las distintas áreas de servicio el debido cumplimiento de las normas procedimentales relativas a la función desempeñada por el personal adscrito y demás disposiciones por el órgano directriz, comunicadas por la Coordinación General, debiendo en todo caso levantar el acta respectiva de visita; </w:t>
      </w: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Recabar del área administrativa en forma mensual los informes de actividades desarrolladas por los defensores públicos y asistentes jurídicos en las distintas áreas de servicio, los cuales serán remitidos a su vez a la Coordinación General para el concentrado estatal correspondiente, y </w:t>
      </w: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Rendir ante la Coordinación informe mensual concentrado del área de su competencia de los diversos distritos judiciales.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3EF" w:rsidRDefault="00F123EF">
      <w:pPr>
        <w:spacing w:after="0" w:line="240" w:lineRule="auto"/>
      </w:pPr>
      <w:r>
        <w:separator/>
      </w:r>
    </w:p>
  </w:endnote>
  <w:endnote w:type="continuationSeparator" w:id="0">
    <w:p w:rsidR="00F123EF" w:rsidRDefault="00F12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E395C5DD-3257-4724-BEBD-D67A22ACE98C}"/>
    <w:embedBold r:id="rId2" w:fontKey="{E12B6FA6-2A23-4CC4-A1A8-F0052F1B27BB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66917B0B-4339-4E07-81F0-E600BCAAD99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3EF" w:rsidRDefault="00F123EF">
      <w:pPr>
        <w:spacing w:after="0" w:line="240" w:lineRule="auto"/>
      </w:pPr>
      <w:r>
        <w:separator/>
      </w:r>
    </w:p>
  </w:footnote>
  <w:footnote w:type="continuationSeparator" w:id="0">
    <w:p w:rsidR="00F123EF" w:rsidRDefault="00F123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20808"/>
    <w:multiLevelType w:val="hybridMultilevel"/>
    <w:tmpl w:val="7402D736"/>
    <w:lvl w:ilvl="0" w:tplc="6816765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7588F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23E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2758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275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CE01E-5D3F-4E24-8993-07DA434EE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177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2019-03-31T21:41:00Z</dcterms:modified>
</cp:coreProperties>
</file>