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629" w:rsidRDefault="00822629" w:rsidP="008226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822629" w:rsidRDefault="00822629" w:rsidP="008226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822629" w:rsidRDefault="00822629" w:rsidP="008226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Tampamolón Corona, S.L.P., no se llevaron a cabo exención o condonación de 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créditos fiscales.</w:t>
      </w:r>
    </w:p>
    <w:p w:rsidR="00822629" w:rsidRDefault="00822629" w:rsidP="00822629">
      <w:pPr>
        <w:jc w:val="center"/>
        <w:rPr>
          <w:sz w:val="96"/>
          <w:szCs w:val="96"/>
        </w:rPr>
      </w:pPr>
    </w:p>
    <w:p w:rsidR="00F626E8" w:rsidRDefault="00F626E8"/>
    <w:sectPr w:rsidR="00F626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629"/>
    <w:rsid w:val="00822629"/>
    <w:rsid w:val="00F6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6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6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60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2019-03-06T14:51:00Z</dcterms:created>
  <dcterms:modified xsi:type="dcterms:W3CDTF">2019-03-06T14:52:00Z</dcterms:modified>
</cp:coreProperties>
</file>