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319B" w:rsidRPr="002868AD" w:rsidRDefault="0082319B" w:rsidP="00451110">
      <w:pPr>
        <w:pStyle w:val="corte1datos"/>
        <w:spacing w:line="276" w:lineRule="auto"/>
        <w:ind w:left="2832"/>
        <w:jc w:val="right"/>
        <w:rPr>
          <w:rFonts w:cs="Arial"/>
          <w:color w:val="2E74B5" w:themeColor="accent1" w:themeShade="BF"/>
          <w:sz w:val="24"/>
          <w:szCs w:val="24"/>
        </w:rPr>
      </w:pPr>
      <w:r w:rsidRPr="002868AD">
        <w:rPr>
          <w:rFonts w:cs="Arial"/>
          <w:color w:val="2E74B5" w:themeColor="accent1" w:themeShade="BF"/>
          <w:sz w:val="24"/>
          <w:szCs w:val="24"/>
        </w:rPr>
        <w:t xml:space="preserve">  </w:t>
      </w:r>
      <w:r w:rsidR="00C677C1">
        <w:rPr>
          <w:rFonts w:cs="Arial"/>
          <w:color w:val="2E74B5" w:themeColor="accent1" w:themeShade="BF"/>
          <w:sz w:val="24"/>
          <w:szCs w:val="24"/>
        </w:rPr>
        <w:t>RECURSO DE REVISIÓN 656</w:t>
      </w:r>
      <w:r w:rsidR="003D2D18">
        <w:rPr>
          <w:rFonts w:cs="Arial"/>
          <w:color w:val="2E74B5" w:themeColor="accent1" w:themeShade="BF"/>
          <w:sz w:val="24"/>
          <w:szCs w:val="24"/>
        </w:rPr>
        <w:t>/2019</w:t>
      </w:r>
      <w:r w:rsidRPr="002868AD">
        <w:rPr>
          <w:rFonts w:cs="Arial"/>
          <w:color w:val="2E74B5" w:themeColor="accent1" w:themeShade="BF"/>
          <w:sz w:val="24"/>
          <w:szCs w:val="24"/>
        </w:rPr>
        <w:t>-2.</w:t>
      </w:r>
    </w:p>
    <w:p w:rsidR="0082319B" w:rsidRPr="002868AD" w:rsidRDefault="0082319B" w:rsidP="00451110">
      <w:pPr>
        <w:pStyle w:val="corte1datos"/>
        <w:spacing w:line="276" w:lineRule="auto"/>
        <w:jc w:val="right"/>
        <w:rPr>
          <w:rFonts w:cs="Arial"/>
          <w:color w:val="2E74B5" w:themeColor="accent1" w:themeShade="BF"/>
          <w:sz w:val="24"/>
          <w:szCs w:val="24"/>
        </w:rPr>
      </w:pPr>
    </w:p>
    <w:p w:rsidR="0082319B" w:rsidRPr="002868AD" w:rsidRDefault="0082319B" w:rsidP="00451110">
      <w:pPr>
        <w:pStyle w:val="corte1datos"/>
        <w:spacing w:line="276" w:lineRule="auto"/>
        <w:jc w:val="right"/>
        <w:rPr>
          <w:rFonts w:cs="Arial"/>
          <w:color w:val="2E74B5" w:themeColor="accent1" w:themeShade="BF"/>
          <w:sz w:val="24"/>
          <w:szCs w:val="24"/>
        </w:rPr>
      </w:pPr>
    </w:p>
    <w:p w:rsidR="0082319B" w:rsidRPr="002868AD" w:rsidRDefault="0082319B" w:rsidP="00451110">
      <w:pPr>
        <w:spacing w:after="0"/>
        <w:jc w:val="right"/>
        <w:rPr>
          <w:rFonts w:ascii="Arial" w:eastAsia="Times New Roman" w:hAnsi="Arial" w:cs="Arial"/>
          <w:b/>
          <w:caps/>
          <w:color w:val="2E74B5" w:themeColor="accent1" w:themeShade="BF"/>
          <w:sz w:val="24"/>
          <w:szCs w:val="24"/>
          <w:lang w:eastAsia="es-MX"/>
        </w:rPr>
      </w:pPr>
      <w:r w:rsidRPr="002868AD">
        <w:rPr>
          <w:rFonts w:ascii="Arial" w:eastAsia="Times New Roman" w:hAnsi="Arial" w:cs="Arial"/>
          <w:b/>
          <w:caps/>
          <w:color w:val="2E74B5" w:themeColor="accent1" w:themeShade="BF"/>
          <w:sz w:val="24"/>
          <w:szCs w:val="24"/>
          <w:lang w:eastAsia="es-MX"/>
        </w:rPr>
        <w:t xml:space="preserve">COMISIONADO PONENTE: </w:t>
      </w:r>
    </w:p>
    <w:p w:rsidR="0082319B" w:rsidRPr="002868AD" w:rsidRDefault="0082319B" w:rsidP="00451110">
      <w:pPr>
        <w:spacing w:after="0"/>
        <w:jc w:val="right"/>
        <w:rPr>
          <w:rFonts w:ascii="Arial" w:eastAsia="Times New Roman" w:hAnsi="Arial" w:cs="Arial"/>
          <w:b/>
          <w:caps/>
          <w:color w:val="2E74B5" w:themeColor="accent1" w:themeShade="BF"/>
          <w:sz w:val="24"/>
          <w:szCs w:val="24"/>
          <w:lang w:eastAsia="es-MX"/>
        </w:rPr>
      </w:pPr>
      <w:r w:rsidRPr="002868AD">
        <w:rPr>
          <w:rFonts w:ascii="Arial" w:eastAsia="Times New Roman" w:hAnsi="Arial" w:cs="Arial"/>
          <w:b/>
          <w:caps/>
          <w:color w:val="2E74B5" w:themeColor="accent1" w:themeShade="BF"/>
          <w:sz w:val="24"/>
          <w:szCs w:val="24"/>
          <w:lang w:eastAsia="es-MX"/>
        </w:rPr>
        <w:t xml:space="preserve">Paulina Sánchez PÉREZ DEL POZO </w:t>
      </w:r>
    </w:p>
    <w:p w:rsidR="0082319B" w:rsidRPr="002868AD" w:rsidRDefault="0082319B" w:rsidP="00C67322">
      <w:pPr>
        <w:pStyle w:val="corte2ponente"/>
        <w:tabs>
          <w:tab w:val="left" w:pos="1488"/>
        </w:tabs>
        <w:spacing w:line="276" w:lineRule="auto"/>
        <w:rPr>
          <w:rFonts w:cs="Arial"/>
          <w:color w:val="2E74B5" w:themeColor="accent1" w:themeShade="BF"/>
          <w:sz w:val="24"/>
          <w:szCs w:val="24"/>
        </w:rPr>
      </w:pPr>
      <w:r w:rsidRPr="002868AD">
        <w:rPr>
          <w:rFonts w:cs="Arial"/>
          <w:color w:val="2E74B5" w:themeColor="accent1" w:themeShade="BF"/>
          <w:sz w:val="24"/>
          <w:szCs w:val="24"/>
        </w:rPr>
        <w:tab/>
      </w:r>
    </w:p>
    <w:p w:rsidR="0082319B" w:rsidRPr="002868AD" w:rsidRDefault="0082319B" w:rsidP="00451110">
      <w:pPr>
        <w:pStyle w:val="corte2ponente"/>
        <w:spacing w:line="276" w:lineRule="auto"/>
        <w:jc w:val="right"/>
        <w:rPr>
          <w:rFonts w:cs="Arial"/>
          <w:color w:val="2E74B5" w:themeColor="accent1" w:themeShade="BF"/>
          <w:sz w:val="24"/>
          <w:szCs w:val="24"/>
        </w:rPr>
      </w:pPr>
      <w:r w:rsidRPr="002868AD">
        <w:rPr>
          <w:rFonts w:cs="Arial"/>
          <w:color w:val="2E74B5" w:themeColor="accent1" w:themeShade="BF"/>
          <w:sz w:val="24"/>
          <w:szCs w:val="24"/>
        </w:rPr>
        <w:t>sujeto OBLIGADO:</w:t>
      </w:r>
    </w:p>
    <w:p w:rsidR="0082319B" w:rsidRPr="001B3F59" w:rsidRDefault="003D2D18" w:rsidP="00451110">
      <w:pPr>
        <w:pStyle w:val="corte2ponente"/>
        <w:spacing w:line="276" w:lineRule="auto"/>
        <w:jc w:val="right"/>
        <w:rPr>
          <w:rFonts w:cs="Arial"/>
          <w:color w:val="2E74B5" w:themeColor="accent1" w:themeShade="BF"/>
          <w:sz w:val="24"/>
          <w:szCs w:val="24"/>
        </w:rPr>
      </w:pPr>
      <w:r w:rsidRPr="001B3F59">
        <w:rPr>
          <w:rFonts w:cs="Arial"/>
          <w:caps w:val="0"/>
          <w:color w:val="2E74B5" w:themeColor="accent1" w:themeShade="BF"/>
          <w:sz w:val="24"/>
          <w:szCs w:val="24"/>
        </w:rPr>
        <w:t>H. AYUNTAMIENTO DE SAN LUIS POTOSÍ</w:t>
      </w:r>
      <w:r w:rsidR="0082319B" w:rsidRPr="001B3F59">
        <w:rPr>
          <w:rFonts w:cs="Arial"/>
          <w:color w:val="2E74B5" w:themeColor="accent1" w:themeShade="BF"/>
          <w:sz w:val="24"/>
          <w:szCs w:val="24"/>
        </w:rPr>
        <w:t>.</w:t>
      </w:r>
    </w:p>
    <w:p w:rsidR="0082319B" w:rsidRPr="001B3F59" w:rsidRDefault="0082319B" w:rsidP="00451110">
      <w:pPr>
        <w:pStyle w:val="corte2ponente"/>
        <w:spacing w:line="276" w:lineRule="auto"/>
        <w:jc w:val="both"/>
        <w:rPr>
          <w:rFonts w:cs="Arial"/>
          <w:color w:val="2E74B5" w:themeColor="accent1" w:themeShade="BF"/>
          <w:sz w:val="24"/>
          <w:szCs w:val="24"/>
        </w:rPr>
      </w:pPr>
    </w:p>
    <w:p w:rsidR="0082319B" w:rsidRPr="001B3F59" w:rsidRDefault="0082319B" w:rsidP="00451110">
      <w:pPr>
        <w:pStyle w:val="corte2ponente"/>
        <w:spacing w:line="276" w:lineRule="auto"/>
        <w:jc w:val="both"/>
        <w:rPr>
          <w:rFonts w:cs="Arial"/>
          <w:color w:val="2E74B5" w:themeColor="accent1" w:themeShade="BF"/>
          <w:sz w:val="24"/>
          <w:szCs w:val="24"/>
        </w:rPr>
      </w:pPr>
    </w:p>
    <w:p w:rsidR="0082319B" w:rsidRPr="002868AD" w:rsidRDefault="0082319B" w:rsidP="00451110">
      <w:pPr>
        <w:pStyle w:val="corte4fondo"/>
        <w:spacing w:line="276" w:lineRule="auto"/>
        <w:ind w:firstLine="0"/>
        <w:rPr>
          <w:rFonts w:cs="Arial"/>
          <w:b/>
          <w:color w:val="2E74B5" w:themeColor="accent1" w:themeShade="BF"/>
          <w:sz w:val="24"/>
          <w:szCs w:val="24"/>
          <w:vertAlign w:val="subscript"/>
        </w:rPr>
      </w:pPr>
      <w:r w:rsidRPr="001B3F59">
        <w:rPr>
          <w:rFonts w:cs="Arial"/>
          <w:color w:val="2E74B5" w:themeColor="accent1" w:themeShade="BF"/>
          <w:sz w:val="24"/>
          <w:szCs w:val="24"/>
        </w:rPr>
        <w:tab/>
        <w:t xml:space="preserve">San Luis Potosí, San Luis Potosí. Acuerdo del Pleno de la Comisión Estatal de Garantía de Acceso a la Información Pública, correspondiente a la sesión </w:t>
      </w:r>
      <w:r w:rsidR="00A15E1C">
        <w:rPr>
          <w:rFonts w:cs="Arial"/>
          <w:color w:val="2E74B5" w:themeColor="accent1" w:themeShade="BF"/>
          <w:sz w:val="24"/>
          <w:szCs w:val="24"/>
        </w:rPr>
        <w:t xml:space="preserve">Extraordinaria </w:t>
      </w:r>
      <w:r w:rsidRPr="001B3F59">
        <w:rPr>
          <w:rFonts w:cs="Arial"/>
          <w:color w:val="2E74B5" w:themeColor="accent1" w:themeShade="BF"/>
          <w:sz w:val="24"/>
          <w:szCs w:val="24"/>
        </w:rPr>
        <w:t>de</w:t>
      </w:r>
      <w:r w:rsidR="00A25A43">
        <w:rPr>
          <w:rFonts w:cs="Arial"/>
          <w:color w:val="2E74B5" w:themeColor="accent1" w:themeShade="BF"/>
          <w:sz w:val="24"/>
          <w:szCs w:val="24"/>
        </w:rPr>
        <w:t xml:space="preserve"> </w:t>
      </w:r>
      <w:r w:rsidR="003D2D18" w:rsidRPr="001B3F59">
        <w:rPr>
          <w:rFonts w:cs="Arial"/>
          <w:color w:val="2E74B5" w:themeColor="accent1" w:themeShade="BF"/>
          <w:sz w:val="24"/>
          <w:szCs w:val="24"/>
        </w:rPr>
        <w:t>15 quince de agosto de 2019 dos mil diecinueve</w:t>
      </w:r>
      <w:r w:rsidRPr="001B3F59">
        <w:rPr>
          <w:rFonts w:cs="Arial"/>
          <w:color w:val="2E74B5" w:themeColor="accent1" w:themeShade="BF"/>
          <w:sz w:val="24"/>
          <w:szCs w:val="24"/>
        </w:rPr>
        <w:t>.</w:t>
      </w:r>
      <w:r w:rsidRPr="002868AD">
        <w:rPr>
          <w:rFonts w:cs="Arial"/>
          <w:b/>
          <w:color w:val="2E74B5" w:themeColor="accent1" w:themeShade="BF"/>
          <w:sz w:val="24"/>
          <w:szCs w:val="24"/>
          <w:vertAlign w:val="subscript"/>
        </w:rPr>
        <w:t xml:space="preserve"> </w:t>
      </w:r>
    </w:p>
    <w:p w:rsidR="0082319B" w:rsidRPr="002868AD" w:rsidRDefault="0082319B" w:rsidP="00451110">
      <w:pPr>
        <w:pStyle w:val="corte4fondo"/>
        <w:spacing w:line="276" w:lineRule="auto"/>
        <w:ind w:firstLine="0"/>
        <w:rPr>
          <w:rFonts w:cs="Arial"/>
          <w:b/>
          <w:color w:val="2E74B5" w:themeColor="accent1" w:themeShade="BF"/>
          <w:sz w:val="24"/>
          <w:szCs w:val="24"/>
        </w:rPr>
      </w:pPr>
    </w:p>
    <w:p w:rsidR="0082319B" w:rsidRPr="002868AD" w:rsidRDefault="0082319B" w:rsidP="00451110">
      <w:pPr>
        <w:pStyle w:val="corte4fondo"/>
        <w:spacing w:line="276" w:lineRule="auto"/>
        <w:rPr>
          <w:rFonts w:cs="Arial"/>
          <w:color w:val="2E74B5" w:themeColor="accent1" w:themeShade="BF"/>
          <w:sz w:val="24"/>
          <w:szCs w:val="24"/>
        </w:rPr>
      </w:pPr>
      <w:r w:rsidRPr="002868AD">
        <w:rPr>
          <w:rFonts w:cs="Arial"/>
          <w:b/>
          <w:color w:val="2E74B5" w:themeColor="accent1" w:themeShade="BF"/>
          <w:sz w:val="24"/>
          <w:szCs w:val="24"/>
        </w:rPr>
        <w:t>VISTOS</w:t>
      </w:r>
      <w:r w:rsidRPr="002868AD">
        <w:rPr>
          <w:rFonts w:cs="Arial"/>
          <w:color w:val="2E74B5" w:themeColor="accent1" w:themeShade="BF"/>
          <w:sz w:val="24"/>
          <w:szCs w:val="24"/>
        </w:rPr>
        <w:t>, para resolver, los autos del recurso de revisión identificado al rubro; y</w:t>
      </w:r>
    </w:p>
    <w:p w:rsidR="0082319B" w:rsidRPr="002868AD" w:rsidRDefault="0082319B" w:rsidP="00451110">
      <w:pPr>
        <w:pStyle w:val="corte4fondo"/>
        <w:spacing w:line="276" w:lineRule="auto"/>
        <w:jc w:val="center"/>
        <w:rPr>
          <w:rFonts w:cs="Arial"/>
          <w:color w:val="2E74B5" w:themeColor="accent1" w:themeShade="BF"/>
          <w:sz w:val="24"/>
          <w:szCs w:val="24"/>
        </w:rPr>
      </w:pPr>
      <w:r w:rsidRPr="002868AD">
        <w:rPr>
          <w:rFonts w:cs="Arial"/>
          <w:b/>
          <w:color w:val="2E74B5" w:themeColor="accent1" w:themeShade="BF"/>
          <w:sz w:val="24"/>
          <w:szCs w:val="24"/>
        </w:rPr>
        <w:t>RESULTANDO</w:t>
      </w:r>
      <w:r w:rsidRPr="002868AD">
        <w:rPr>
          <w:rFonts w:cs="Arial"/>
          <w:color w:val="2E74B5" w:themeColor="accent1" w:themeShade="BF"/>
          <w:sz w:val="24"/>
          <w:szCs w:val="24"/>
        </w:rPr>
        <w:t>:</w:t>
      </w:r>
    </w:p>
    <w:p w:rsidR="0082319B" w:rsidRPr="002868AD" w:rsidRDefault="0082319B" w:rsidP="00451110">
      <w:pPr>
        <w:pStyle w:val="corte4fondo"/>
        <w:spacing w:line="276" w:lineRule="auto"/>
        <w:rPr>
          <w:rFonts w:cs="Arial"/>
          <w:color w:val="2E74B5" w:themeColor="accent1" w:themeShade="BF"/>
          <w:sz w:val="24"/>
          <w:szCs w:val="24"/>
        </w:rPr>
      </w:pPr>
    </w:p>
    <w:p w:rsidR="00762C73" w:rsidRPr="00762C73" w:rsidRDefault="002F3421" w:rsidP="00762C73">
      <w:pPr>
        <w:pStyle w:val="corte4fondo"/>
        <w:spacing w:line="276" w:lineRule="auto"/>
        <w:ind w:firstLine="708"/>
        <w:rPr>
          <w:color w:val="2E74B5" w:themeColor="accent1" w:themeShade="BF"/>
          <w:sz w:val="24"/>
          <w:szCs w:val="24"/>
        </w:rPr>
      </w:pPr>
      <w:r w:rsidRPr="002868AD">
        <w:rPr>
          <w:rFonts w:cs="Arial"/>
          <w:b/>
          <w:color w:val="2E74B5" w:themeColor="accent1" w:themeShade="BF"/>
          <w:sz w:val="24"/>
          <w:szCs w:val="24"/>
        </w:rPr>
        <w:t xml:space="preserve">PRIMERO. </w:t>
      </w:r>
      <w:r w:rsidRPr="00762C73">
        <w:rPr>
          <w:rFonts w:cs="Arial"/>
          <w:b/>
          <w:color w:val="2E74B5" w:themeColor="accent1" w:themeShade="BF"/>
          <w:sz w:val="24"/>
          <w:szCs w:val="24"/>
        </w:rPr>
        <w:t xml:space="preserve">Solicitud de acceso a la información pública. </w:t>
      </w:r>
      <w:r w:rsidR="00762C73" w:rsidRPr="00A15E1C">
        <w:rPr>
          <w:color w:val="2E74B5" w:themeColor="accent1" w:themeShade="BF"/>
          <w:sz w:val="24"/>
          <w:szCs w:val="24"/>
        </w:rPr>
        <w:t xml:space="preserve">Según consta en la Plataforma Nacional de Transparencia en el folio 00270719 cero, cero doscientos setenta mil setecientos diecinueve, el 01 uno de marzo de 2019 dos mil diecinueve el </w:t>
      </w:r>
      <w:r w:rsidR="00762C73" w:rsidRPr="00A15E1C">
        <w:rPr>
          <w:b/>
          <w:color w:val="2E74B5" w:themeColor="accent1" w:themeShade="BF"/>
          <w:sz w:val="24"/>
          <w:szCs w:val="24"/>
        </w:rPr>
        <w:t xml:space="preserve">Municipio </w:t>
      </w:r>
      <w:r w:rsidR="00762C73" w:rsidRPr="00A15E1C">
        <w:rPr>
          <w:rFonts w:cs="Arial"/>
          <w:b/>
          <w:color w:val="2E74B5" w:themeColor="accent1" w:themeShade="BF"/>
          <w:sz w:val="24"/>
          <w:szCs w:val="24"/>
        </w:rPr>
        <w:t>de San Luis Potosí</w:t>
      </w:r>
      <w:r w:rsidR="00762C73" w:rsidRPr="00A15E1C">
        <w:rPr>
          <w:color w:val="2E74B5" w:themeColor="accent1" w:themeShade="BF"/>
          <w:sz w:val="24"/>
          <w:szCs w:val="24"/>
        </w:rPr>
        <w:t xml:space="preserve"> recibió una solicitud de acceso a la información pública en donde se le pidió la información siguiente</w:t>
      </w:r>
      <w:r w:rsidR="00B3221C">
        <w:rPr>
          <w:rStyle w:val="Refdenotaalpie"/>
          <w:color w:val="2E74B5" w:themeColor="accent1" w:themeShade="BF"/>
          <w:sz w:val="24"/>
          <w:szCs w:val="24"/>
        </w:rPr>
        <w:footnoteReference w:id="1"/>
      </w:r>
      <w:r w:rsidR="00762C73" w:rsidRPr="00A15E1C">
        <w:rPr>
          <w:color w:val="2E74B5" w:themeColor="accent1" w:themeShade="BF"/>
          <w:sz w:val="24"/>
          <w:szCs w:val="24"/>
        </w:rPr>
        <w:t>:</w:t>
      </w:r>
    </w:p>
    <w:p w:rsidR="002F3421" w:rsidRPr="002868AD" w:rsidRDefault="002F3421" w:rsidP="00451110">
      <w:pPr>
        <w:pStyle w:val="corte4fondo"/>
        <w:spacing w:line="276" w:lineRule="auto"/>
        <w:rPr>
          <w:rFonts w:cs="Arial"/>
          <w:color w:val="2E74B5" w:themeColor="accent1" w:themeShade="BF"/>
          <w:sz w:val="24"/>
          <w:szCs w:val="24"/>
        </w:rPr>
      </w:pPr>
    </w:p>
    <w:p w:rsidR="002F3421" w:rsidRDefault="00DD605A" w:rsidP="00451110">
      <w:pPr>
        <w:pStyle w:val="corte4fondo"/>
        <w:spacing w:line="276" w:lineRule="auto"/>
        <w:ind w:firstLine="0"/>
        <w:rPr>
          <w:rFonts w:cs="Arial"/>
          <w:b/>
          <w:color w:val="2E74B5" w:themeColor="accent1" w:themeShade="BF"/>
          <w:sz w:val="24"/>
          <w:szCs w:val="24"/>
        </w:rPr>
      </w:pPr>
      <w:r>
        <w:rPr>
          <w:rFonts w:cs="Arial"/>
          <w:b/>
          <w:noProof/>
          <w:color w:val="2E74B5" w:themeColor="accent1" w:themeShade="BF"/>
          <w:sz w:val="24"/>
          <w:szCs w:val="24"/>
        </w:rPr>
        <w:drawing>
          <wp:inline distT="0" distB="0" distL="0" distR="0">
            <wp:extent cx="5027734" cy="1767256"/>
            <wp:effectExtent l="19050" t="0" r="1466" b="0"/>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5029269" cy="1767795"/>
                    </a:xfrm>
                    <a:prstGeom prst="rect">
                      <a:avLst/>
                    </a:prstGeom>
                    <a:noFill/>
                    <a:ln w="9525">
                      <a:noFill/>
                      <a:miter lim="800000"/>
                      <a:headEnd/>
                      <a:tailEnd/>
                    </a:ln>
                  </pic:spPr>
                </pic:pic>
              </a:graphicData>
            </a:graphic>
          </wp:inline>
        </w:drawing>
      </w:r>
    </w:p>
    <w:p w:rsidR="00762C73" w:rsidRDefault="00762C73" w:rsidP="00451110">
      <w:pPr>
        <w:pStyle w:val="corte4fondo"/>
        <w:spacing w:line="276" w:lineRule="auto"/>
        <w:ind w:firstLine="0"/>
        <w:rPr>
          <w:rFonts w:cs="Arial"/>
          <w:b/>
          <w:i/>
          <w:noProof/>
          <w:color w:val="2E74B5" w:themeColor="accent1" w:themeShade="BF"/>
          <w:sz w:val="20"/>
        </w:rPr>
      </w:pPr>
    </w:p>
    <w:p w:rsidR="00762C73" w:rsidRPr="00762C73" w:rsidRDefault="00762C73" w:rsidP="00762C73">
      <w:pPr>
        <w:pStyle w:val="corte4fondo"/>
        <w:spacing w:line="276" w:lineRule="auto"/>
        <w:ind w:firstLine="708"/>
        <w:rPr>
          <w:rFonts w:cs="Arial"/>
          <w:i/>
          <w:noProof/>
          <w:color w:val="2E74B5" w:themeColor="accent1" w:themeShade="BF"/>
          <w:sz w:val="20"/>
        </w:rPr>
      </w:pPr>
      <w:r w:rsidRPr="00762C73">
        <w:rPr>
          <w:rFonts w:cs="Arial"/>
          <w:i/>
          <w:noProof/>
          <w:color w:val="2E74B5" w:themeColor="accent1" w:themeShade="BF"/>
          <w:sz w:val="20"/>
        </w:rPr>
        <w:t xml:space="preserve">“…SOLICITO SABRE SI SE DESEMPEÑA COMO TRABAJADOR, CUAL ES O FUE LA DIRECCION DE ADSCRIPCION, HASTA CUANDO LABORO Y CUAL FUE EL MOTIVO DE LA TERMINACIÓN LABORAL DE C. </w:t>
      </w:r>
      <w:r w:rsidRPr="0052220E">
        <w:rPr>
          <w:rFonts w:cs="Arial"/>
          <w:b/>
          <w:i/>
          <w:noProof/>
          <w:color w:val="2E74B5" w:themeColor="accent1" w:themeShade="BF"/>
          <w:sz w:val="20"/>
        </w:rPr>
        <w:t>MAYRA YUDITH GALLEGOS GALAVIZ</w:t>
      </w:r>
      <w:r w:rsidRPr="00762C73">
        <w:rPr>
          <w:rFonts w:cs="Arial"/>
          <w:i/>
          <w:noProof/>
          <w:color w:val="2E74B5" w:themeColor="accent1" w:themeShade="BF"/>
          <w:sz w:val="20"/>
        </w:rPr>
        <w:t>...”</w:t>
      </w:r>
    </w:p>
    <w:p w:rsidR="00D35065" w:rsidRPr="002868AD" w:rsidRDefault="002634A9" w:rsidP="00451110">
      <w:pPr>
        <w:pStyle w:val="corte4fondo"/>
        <w:spacing w:line="276" w:lineRule="auto"/>
        <w:ind w:firstLine="0"/>
        <w:rPr>
          <w:rFonts w:cs="Arial"/>
          <w:b/>
          <w:i/>
          <w:color w:val="2E74B5" w:themeColor="accent1" w:themeShade="BF"/>
          <w:sz w:val="20"/>
        </w:rPr>
      </w:pPr>
      <w:r>
        <w:rPr>
          <w:rFonts w:cs="Arial"/>
          <w:b/>
          <w:i/>
          <w:noProof/>
          <w:color w:val="2E74B5" w:themeColor="accent1" w:themeShade="BF"/>
          <w:sz w:val="20"/>
        </w:rPr>
        <w:t xml:space="preserve">          </w:t>
      </w:r>
    </w:p>
    <w:p w:rsidR="00D30CE5" w:rsidRPr="002868AD" w:rsidRDefault="00BD42AD" w:rsidP="00451110">
      <w:pPr>
        <w:pStyle w:val="corte4fondo"/>
        <w:spacing w:line="276" w:lineRule="auto"/>
        <w:ind w:left="1" w:firstLine="0"/>
        <w:rPr>
          <w:rFonts w:cs="Arial"/>
          <w:color w:val="2E74B5" w:themeColor="accent1" w:themeShade="BF"/>
          <w:sz w:val="24"/>
          <w:szCs w:val="24"/>
        </w:rPr>
      </w:pPr>
      <w:r w:rsidRPr="002868AD">
        <w:rPr>
          <w:rFonts w:cs="Arial"/>
          <w:b/>
          <w:color w:val="2E74B5" w:themeColor="accent1" w:themeShade="BF"/>
          <w:sz w:val="24"/>
          <w:szCs w:val="24"/>
        </w:rPr>
        <w:t xml:space="preserve">    </w:t>
      </w:r>
      <w:r w:rsidR="0082319B" w:rsidRPr="002868AD">
        <w:rPr>
          <w:rFonts w:cs="Arial"/>
          <w:b/>
          <w:color w:val="2E74B5" w:themeColor="accent1" w:themeShade="BF"/>
          <w:sz w:val="24"/>
          <w:szCs w:val="24"/>
        </w:rPr>
        <w:t xml:space="preserve">SEGUNDO. Respuesta a la solicitud de acceso a la información pública. </w:t>
      </w:r>
      <w:r w:rsidR="00826230" w:rsidRPr="00AE1B49">
        <w:rPr>
          <w:rFonts w:cs="Arial"/>
          <w:color w:val="2E74B5" w:themeColor="accent1" w:themeShade="BF"/>
          <w:sz w:val="24"/>
        </w:rPr>
        <w:t xml:space="preserve">Según consta registrado en la Plataforma Nacional de Transparencia, el sujeto obligado emitió contestación por medio del oficio </w:t>
      </w:r>
      <w:r w:rsidR="00826230" w:rsidRPr="0052220E">
        <w:rPr>
          <w:rFonts w:cs="Arial"/>
          <w:color w:val="2E74B5" w:themeColor="accent1" w:themeShade="BF"/>
          <w:sz w:val="24"/>
        </w:rPr>
        <w:t>U.T 1158/19</w:t>
      </w:r>
      <w:r w:rsidR="00826230" w:rsidRPr="00AE1B49">
        <w:rPr>
          <w:rFonts w:cs="Arial"/>
          <w:color w:val="2E74B5" w:themeColor="accent1" w:themeShade="BF"/>
          <w:sz w:val="24"/>
        </w:rPr>
        <w:t xml:space="preserve">, el cual fue </w:t>
      </w:r>
      <w:r w:rsidR="00826230" w:rsidRPr="0052220E">
        <w:rPr>
          <w:rFonts w:cs="Arial"/>
          <w:color w:val="2E74B5" w:themeColor="accent1" w:themeShade="BF"/>
          <w:sz w:val="24"/>
        </w:rPr>
        <w:t xml:space="preserve">notificado </w:t>
      </w:r>
      <w:r w:rsidR="0052220E">
        <w:rPr>
          <w:rFonts w:cs="Arial"/>
          <w:color w:val="2E74B5" w:themeColor="accent1" w:themeShade="BF"/>
          <w:sz w:val="24"/>
        </w:rPr>
        <w:t xml:space="preserve">vía plataforma y </w:t>
      </w:r>
      <w:r w:rsidR="00826230" w:rsidRPr="0052220E">
        <w:rPr>
          <w:rFonts w:cs="Arial"/>
          <w:color w:val="2E74B5" w:themeColor="accent1" w:themeShade="BF"/>
          <w:sz w:val="24"/>
        </w:rPr>
        <w:t>personal</w:t>
      </w:r>
      <w:r w:rsidR="0052220E">
        <w:rPr>
          <w:rFonts w:cs="Arial"/>
          <w:color w:val="2E74B5" w:themeColor="accent1" w:themeShade="BF"/>
          <w:sz w:val="24"/>
        </w:rPr>
        <w:t xml:space="preserve"> </w:t>
      </w:r>
      <w:r w:rsidR="00826230" w:rsidRPr="00AE1B49">
        <w:rPr>
          <w:rFonts w:cs="Arial"/>
          <w:color w:val="2E74B5" w:themeColor="accent1" w:themeShade="BF"/>
          <w:sz w:val="24"/>
        </w:rPr>
        <w:t>al recurrente el 15 quince de marzo de 2019 dos mil diecinueve, en los siguientes términos</w:t>
      </w:r>
      <w:r w:rsidR="0082319B" w:rsidRPr="002868AD">
        <w:rPr>
          <w:rStyle w:val="Refdenotaalpie"/>
          <w:rFonts w:eastAsia="Calibri" w:cs="Arial"/>
          <w:color w:val="2E74B5" w:themeColor="accent1" w:themeShade="BF"/>
          <w:sz w:val="24"/>
          <w:szCs w:val="24"/>
        </w:rPr>
        <w:footnoteReference w:id="2"/>
      </w:r>
      <w:r w:rsidR="0082319B" w:rsidRPr="002868AD">
        <w:rPr>
          <w:rFonts w:cs="Arial"/>
          <w:color w:val="2E74B5" w:themeColor="accent1" w:themeShade="BF"/>
          <w:sz w:val="24"/>
          <w:szCs w:val="24"/>
        </w:rPr>
        <w:t>:</w:t>
      </w:r>
    </w:p>
    <w:p w:rsidR="00BD42AD" w:rsidRDefault="00D94B70" w:rsidP="00451110">
      <w:pPr>
        <w:pStyle w:val="corte4fondo"/>
        <w:spacing w:line="276" w:lineRule="auto"/>
        <w:ind w:left="1" w:firstLine="0"/>
        <w:rPr>
          <w:rFonts w:cs="Arial"/>
          <w:color w:val="2E74B5" w:themeColor="accent1" w:themeShade="BF"/>
          <w:sz w:val="24"/>
          <w:szCs w:val="24"/>
        </w:rPr>
      </w:pPr>
      <w:r>
        <w:rPr>
          <w:rFonts w:cs="Arial"/>
          <w:color w:val="2E74B5" w:themeColor="accent1" w:themeShade="BF"/>
          <w:sz w:val="24"/>
          <w:szCs w:val="24"/>
        </w:rPr>
        <w:t xml:space="preserve"> </w:t>
      </w:r>
    </w:p>
    <w:p w:rsidR="00826230" w:rsidRPr="00B3221C" w:rsidRDefault="00826230" w:rsidP="00B3221C">
      <w:pPr>
        <w:ind w:firstLine="708"/>
        <w:jc w:val="both"/>
        <w:rPr>
          <w:rFonts w:ascii="Arial" w:hAnsi="Arial" w:cs="Arial"/>
          <w:b/>
          <w:i/>
          <w:color w:val="2E74B5" w:themeColor="accent1" w:themeShade="BF"/>
          <w:sz w:val="20"/>
          <w:shd w:val="clear" w:color="auto" w:fill="FFFFFF"/>
        </w:rPr>
      </w:pPr>
      <w:r>
        <w:rPr>
          <w:rFonts w:ascii="Arial" w:hAnsi="Arial" w:cs="Arial"/>
          <w:i/>
          <w:color w:val="2E74B5" w:themeColor="accent1" w:themeShade="BF"/>
          <w:sz w:val="20"/>
        </w:rPr>
        <w:lastRenderedPageBreak/>
        <w:t>“</w:t>
      </w:r>
      <w:r w:rsidRPr="00826230">
        <w:rPr>
          <w:rFonts w:ascii="Arial" w:hAnsi="Arial" w:cs="Arial"/>
          <w:i/>
          <w:color w:val="2E74B5" w:themeColor="accent1" w:themeShade="BF"/>
          <w:sz w:val="20"/>
        </w:rPr>
        <w:t xml:space="preserve">En contestación a su solicitud de información con número de folio </w:t>
      </w:r>
      <w:r w:rsidRPr="00826230">
        <w:rPr>
          <w:rStyle w:val="apple-style-span"/>
          <w:rFonts w:ascii="Arial" w:hAnsi="Arial" w:cs="Arial"/>
          <w:b/>
          <w:i/>
          <w:color w:val="2E74B5" w:themeColor="accent1" w:themeShade="BF"/>
          <w:sz w:val="20"/>
          <w:shd w:val="clear" w:color="auto" w:fill="FFFFFF"/>
        </w:rPr>
        <w:t>UT-SI-399/2019-00270719</w:t>
      </w:r>
      <w:r w:rsidRPr="00826230">
        <w:rPr>
          <w:rFonts w:ascii="Arial" w:hAnsi="Arial" w:cs="Arial"/>
          <w:i/>
          <w:color w:val="2E74B5" w:themeColor="accent1" w:themeShade="BF"/>
          <w:sz w:val="20"/>
        </w:rPr>
        <w:t>; al respecto me permito hacer de su conocimiento, que luego de las gestiones realizadas por la Unidad de Transparencia del estado de S.L.P., y con fundamento en lo dispuesto por el artículo 54 fracciones  II y IV y el artículo 153 de la Ley de Transparencia y Acceso a la Información Pública del Estado de San Luis Potosí</w:t>
      </w:r>
      <w:r w:rsidRPr="00826230">
        <w:rPr>
          <w:rFonts w:ascii="Arial" w:hAnsi="Arial" w:cs="Arial"/>
          <w:b/>
          <w:i/>
          <w:color w:val="2E74B5" w:themeColor="accent1" w:themeShade="BF"/>
          <w:sz w:val="20"/>
        </w:rPr>
        <w:t xml:space="preserve">, </w:t>
      </w:r>
      <w:r w:rsidRPr="00826230">
        <w:rPr>
          <w:rFonts w:ascii="Arial" w:hAnsi="Arial" w:cs="Arial"/>
          <w:i/>
          <w:color w:val="2E74B5" w:themeColor="accent1" w:themeShade="BF"/>
          <w:sz w:val="20"/>
        </w:rPr>
        <w:t>ésta fue turnada para su atención al Área de Gobierno Municipal competente siendo en este caso:</w:t>
      </w:r>
    </w:p>
    <w:p w:rsidR="00826230" w:rsidRPr="00B3221C" w:rsidRDefault="00826230" w:rsidP="00826230">
      <w:pPr>
        <w:numPr>
          <w:ilvl w:val="0"/>
          <w:numId w:val="21"/>
        </w:numPr>
        <w:spacing w:after="0"/>
        <w:ind w:left="1068"/>
        <w:jc w:val="both"/>
        <w:rPr>
          <w:rFonts w:ascii="Arial" w:hAnsi="Arial" w:cs="Arial"/>
          <w:i/>
          <w:color w:val="2E74B5" w:themeColor="accent1" w:themeShade="BF"/>
          <w:sz w:val="20"/>
        </w:rPr>
      </w:pPr>
      <w:r w:rsidRPr="00826230">
        <w:rPr>
          <w:rFonts w:ascii="Arial" w:hAnsi="Arial" w:cs="Arial"/>
          <w:b/>
          <w:i/>
          <w:color w:val="2E74B5" w:themeColor="accent1" w:themeShade="BF"/>
          <w:sz w:val="20"/>
        </w:rPr>
        <w:t>Dirección de Recursos Humano</w:t>
      </w:r>
    </w:p>
    <w:p w:rsidR="00826230" w:rsidRPr="00826230" w:rsidRDefault="00826230" w:rsidP="00826230">
      <w:pPr>
        <w:jc w:val="both"/>
        <w:rPr>
          <w:rFonts w:ascii="Arial" w:hAnsi="Arial" w:cs="Arial"/>
          <w:i/>
          <w:color w:val="2E74B5" w:themeColor="accent1" w:themeShade="BF"/>
          <w:sz w:val="20"/>
        </w:rPr>
      </w:pPr>
      <w:r w:rsidRPr="00826230">
        <w:rPr>
          <w:rFonts w:ascii="Arial" w:hAnsi="Arial" w:cs="Arial"/>
          <w:i/>
          <w:color w:val="2E74B5" w:themeColor="accent1" w:themeShade="BF"/>
          <w:sz w:val="20"/>
        </w:rPr>
        <w:t>Lo anterior mediante Oficios:</w:t>
      </w:r>
    </w:p>
    <w:p w:rsidR="00826230" w:rsidRPr="00826230" w:rsidRDefault="00826230" w:rsidP="00826230">
      <w:pPr>
        <w:pStyle w:val="Prrafodelista"/>
        <w:numPr>
          <w:ilvl w:val="0"/>
          <w:numId w:val="22"/>
        </w:numPr>
        <w:spacing w:after="0"/>
        <w:jc w:val="both"/>
        <w:rPr>
          <w:rFonts w:cs="Tahoma"/>
          <w:b/>
        </w:rPr>
      </w:pPr>
      <w:r w:rsidRPr="00826230">
        <w:rPr>
          <w:rFonts w:ascii="Arial" w:hAnsi="Arial" w:cs="Arial"/>
          <w:b/>
          <w:i/>
          <w:color w:val="2E74B5" w:themeColor="accent1" w:themeShade="BF"/>
          <w:sz w:val="20"/>
        </w:rPr>
        <w:t>DRH/434/2019</w:t>
      </w:r>
      <w:r w:rsidRPr="00826230">
        <w:rPr>
          <w:rFonts w:ascii="Arial" w:hAnsi="Arial" w:cs="Arial"/>
          <w:i/>
          <w:color w:val="2E74B5" w:themeColor="accent1" w:themeShade="BF"/>
          <w:sz w:val="20"/>
        </w:rPr>
        <w:t>, recibido en fecha 13 (trece) de marzo del presente año,  suscrito por la Lic. Claudia Fitch Watkins, Directora De Recursos Humanos, en respuesta a su solicitud de información, mismos que se adjuntan en archivo digital, que constan de 01 (una) foja útil</w:t>
      </w:r>
      <w:r w:rsidRPr="00826230">
        <w:rPr>
          <w:rFonts w:cs="Tahoma"/>
          <w:color w:val="2E74B5" w:themeColor="accent1" w:themeShade="BF"/>
        </w:rPr>
        <w:t>.”</w:t>
      </w:r>
    </w:p>
    <w:p w:rsidR="00D30CE5" w:rsidRDefault="00D30CE5" w:rsidP="00B3221C">
      <w:pPr>
        <w:pStyle w:val="corte4fondo"/>
        <w:tabs>
          <w:tab w:val="left" w:pos="3433"/>
        </w:tabs>
        <w:spacing w:line="276" w:lineRule="auto"/>
        <w:ind w:firstLine="0"/>
        <w:rPr>
          <w:rFonts w:cs="Arial"/>
          <w:color w:val="2E74B5" w:themeColor="accent1" w:themeShade="BF"/>
          <w:sz w:val="24"/>
          <w:szCs w:val="24"/>
        </w:rPr>
      </w:pPr>
    </w:p>
    <w:p w:rsidR="0052220E" w:rsidRDefault="0052220E" w:rsidP="0052220E">
      <w:pPr>
        <w:pStyle w:val="corte4fondo"/>
        <w:tabs>
          <w:tab w:val="left" w:pos="3433"/>
        </w:tabs>
        <w:spacing w:line="276" w:lineRule="auto"/>
        <w:ind w:firstLine="0"/>
        <w:jc w:val="center"/>
        <w:rPr>
          <w:rFonts w:cs="Arial"/>
          <w:color w:val="2E74B5" w:themeColor="accent1" w:themeShade="BF"/>
          <w:sz w:val="24"/>
          <w:szCs w:val="24"/>
        </w:rPr>
      </w:pPr>
      <w:r>
        <w:rPr>
          <w:rFonts w:cs="Arial"/>
          <w:noProof/>
          <w:color w:val="2E74B5" w:themeColor="accent1" w:themeShade="BF"/>
          <w:sz w:val="24"/>
          <w:szCs w:val="24"/>
        </w:rPr>
        <w:drawing>
          <wp:inline distT="0" distB="0" distL="0" distR="0">
            <wp:extent cx="3247033" cy="4155830"/>
            <wp:effectExtent l="1905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3248110" cy="4157209"/>
                    </a:xfrm>
                    <a:prstGeom prst="rect">
                      <a:avLst/>
                    </a:prstGeom>
                    <a:noFill/>
                    <a:ln w="9525">
                      <a:noFill/>
                      <a:miter lim="800000"/>
                      <a:headEnd/>
                      <a:tailEnd/>
                    </a:ln>
                  </pic:spPr>
                </pic:pic>
              </a:graphicData>
            </a:graphic>
          </wp:inline>
        </w:drawing>
      </w:r>
    </w:p>
    <w:p w:rsidR="0052220E" w:rsidRDefault="0052220E" w:rsidP="00B3221C">
      <w:pPr>
        <w:pStyle w:val="corte4fondo"/>
        <w:tabs>
          <w:tab w:val="left" w:pos="3433"/>
        </w:tabs>
        <w:spacing w:line="276" w:lineRule="auto"/>
        <w:ind w:firstLine="0"/>
        <w:rPr>
          <w:rFonts w:cs="Arial"/>
          <w:color w:val="2E74B5" w:themeColor="accent1" w:themeShade="BF"/>
          <w:sz w:val="24"/>
          <w:szCs w:val="24"/>
        </w:rPr>
      </w:pPr>
    </w:p>
    <w:p w:rsidR="0052220E" w:rsidRPr="002868AD" w:rsidRDefault="0052220E" w:rsidP="00B3221C">
      <w:pPr>
        <w:pStyle w:val="corte4fondo"/>
        <w:tabs>
          <w:tab w:val="left" w:pos="3433"/>
        </w:tabs>
        <w:spacing w:line="276" w:lineRule="auto"/>
        <w:ind w:firstLine="0"/>
        <w:rPr>
          <w:rFonts w:cs="Arial"/>
          <w:color w:val="2E74B5" w:themeColor="accent1" w:themeShade="BF"/>
          <w:sz w:val="24"/>
          <w:szCs w:val="24"/>
        </w:rPr>
      </w:pPr>
    </w:p>
    <w:p w:rsidR="0082319B" w:rsidRDefault="0082319B" w:rsidP="00451110">
      <w:pPr>
        <w:pStyle w:val="corte4fondo"/>
        <w:spacing w:line="276" w:lineRule="auto"/>
        <w:rPr>
          <w:rFonts w:cs="Arial"/>
          <w:color w:val="2E74B5" w:themeColor="accent1" w:themeShade="BF"/>
          <w:sz w:val="24"/>
          <w:szCs w:val="24"/>
        </w:rPr>
      </w:pPr>
      <w:r w:rsidRPr="002868AD">
        <w:rPr>
          <w:rFonts w:cs="Arial"/>
          <w:b/>
          <w:color w:val="2E74B5" w:themeColor="accent1" w:themeShade="BF"/>
          <w:sz w:val="24"/>
          <w:szCs w:val="24"/>
        </w:rPr>
        <w:t xml:space="preserve">TERCERO. Interposición del recurso. </w:t>
      </w:r>
      <w:r w:rsidRPr="00826230">
        <w:rPr>
          <w:rFonts w:cs="Arial"/>
          <w:color w:val="2E74B5" w:themeColor="accent1" w:themeShade="BF"/>
          <w:sz w:val="24"/>
          <w:szCs w:val="24"/>
        </w:rPr>
        <w:t xml:space="preserve">El </w:t>
      </w:r>
      <w:r w:rsidR="00144B4A" w:rsidRPr="00826230">
        <w:rPr>
          <w:rFonts w:cs="Arial"/>
          <w:color w:val="2E74B5" w:themeColor="accent1" w:themeShade="BF"/>
          <w:sz w:val="24"/>
          <w:szCs w:val="24"/>
        </w:rPr>
        <w:t xml:space="preserve">08 ocho de abril </w:t>
      </w:r>
      <w:r w:rsidR="00D94B70" w:rsidRPr="00826230">
        <w:rPr>
          <w:rFonts w:cs="Arial"/>
          <w:color w:val="2E74B5" w:themeColor="accent1" w:themeShade="BF"/>
          <w:sz w:val="24"/>
          <w:szCs w:val="24"/>
        </w:rPr>
        <w:t>del 2019 dos mil diecinueve,</w:t>
      </w:r>
      <w:r w:rsidR="00144B4A" w:rsidRPr="00826230">
        <w:rPr>
          <w:rFonts w:cs="Arial"/>
          <w:color w:val="2E74B5" w:themeColor="accent1" w:themeShade="BF"/>
          <w:sz w:val="24"/>
          <w:szCs w:val="24"/>
        </w:rPr>
        <w:t xml:space="preserve"> el solicitante de la información interpuso el recurso de revisión por estar inconforme con la respuesta proporcionada por el sujeto obligado a su escrito de solicitud de información mencionada en el punto anterior.</w:t>
      </w:r>
      <w:r w:rsidR="00144B4A" w:rsidRPr="00144B4A">
        <w:rPr>
          <w:rFonts w:cs="Arial"/>
          <w:color w:val="2E74B5" w:themeColor="accent1" w:themeShade="BF"/>
          <w:sz w:val="24"/>
          <w:szCs w:val="24"/>
        </w:rPr>
        <w:t xml:space="preserve"> </w:t>
      </w:r>
      <w:r w:rsidR="00D94B70" w:rsidRPr="00144B4A">
        <w:rPr>
          <w:rFonts w:cs="Arial"/>
          <w:color w:val="2E74B5" w:themeColor="accent1" w:themeShade="BF"/>
          <w:sz w:val="24"/>
          <w:szCs w:val="24"/>
        </w:rPr>
        <w:t xml:space="preserve"> </w:t>
      </w:r>
    </w:p>
    <w:p w:rsidR="00144B4A" w:rsidRPr="002868AD" w:rsidRDefault="00144B4A" w:rsidP="00451110">
      <w:pPr>
        <w:pStyle w:val="corte4fondo"/>
        <w:spacing w:line="276" w:lineRule="auto"/>
        <w:rPr>
          <w:rFonts w:cs="Arial"/>
          <w:color w:val="2E74B5" w:themeColor="accent1" w:themeShade="BF"/>
          <w:sz w:val="24"/>
          <w:szCs w:val="24"/>
        </w:rPr>
      </w:pPr>
    </w:p>
    <w:p w:rsidR="0082319B" w:rsidRPr="002868AD" w:rsidRDefault="0082319B" w:rsidP="00451110">
      <w:pPr>
        <w:pStyle w:val="corte4fondo"/>
        <w:spacing w:line="276" w:lineRule="auto"/>
        <w:rPr>
          <w:rFonts w:cs="Arial"/>
          <w:color w:val="2E74B5" w:themeColor="accent1" w:themeShade="BF"/>
          <w:sz w:val="24"/>
          <w:szCs w:val="24"/>
        </w:rPr>
      </w:pPr>
      <w:r w:rsidRPr="002868AD">
        <w:rPr>
          <w:rFonts w:cs="Arial"/>
          <w:b/>
          <w:color w:val="2E74B5" w:themeColor="accent1" w:themeShade="BF"/>
          <w:sz w:val="24"/>
          <w:szCs w:val="24"/>
        </w:rPr>
        <w:t xml:space="preserve">CUARTO. Trámite del recurso de revisión ante esta Comisión Estatal de Garantía de Acceso a la Información Pública. </w:t>
      </w:r>
      <w:r w:rsidRPr="002868AD">
        <w:rPr>
          <w:rFonts w:cs="Arial"/>
          <w:color w:val="2E74B5" w:themeColor="accent1" w:themeShade="BF"/>
          <w:sz w:val="24"/>
          <w:szCs w:val="24"/>
        </w:rPr>
        <w:t>Mediante auto de</w:t>
      </w:r>
      <w:r w:rsidR="00C677C1">
        <w:rPr>
          <w:rFonts w:cs="Arial"/>
          <w:color w:val="2E74B5" w:themeColor="accent1" w:themeShade="BF"/>
          <w:sz w:val="24"/>
          <w:szCs w:val="24"/>
        </w:rPr>
        <w:t xml:space="preserve"> 11 once de abril de 2019 dos mil diecinueve</w:t>
      </w:r>
      <w:r w:rsidRPr="002868AD">
        <w:rPr>
          <w:rFonts w:cs="Arial"/>
          <w:color w:val="2E74B5" w:themeColor="accent1" w:themeShade="BF"/>
          <w:sz w:val="24"/>
          <w:szCs w:val="24"/>
        </w:rPr>
        <w:t xml:space="preserve"> la presidencia de esta Comisión de Transparencia tuvo por recibido el recurso de revisión, por lo que, por razón de turno, tocó conocer a la ponencia de la Licenciada Paulina Sánchez Pérez del Pozo por lo que se le turnó dicho expediente para que procediera, previo su análisis, a su admisión o desecamiento según fuera el caso.</w:t>
      </w:r>
    </w:p>
    <w:p w:rsidR="0082319B" w:rsidRPr="002868AD" w:rsidRDefault="0082319B" w:rsidP="00451110">
      <w:pPr>
        <w:pStyle w:val="corte4fondo"/>
        <w:spacing w:line="276" w:lineRule="auto"/>
        <w:rPr>
          <w:rFonts w:cs="Arial"/>
          <w:color w:val="2E74B5" w:themeColor="accent1" w:themeShade="BF"/>
          <w:sz w:val="24"/>
          <w:szCs w:val="24"/>
        </w:rPr>
      </w:pPr>
    </w:p>
    <w:p w:rsidR="0082319B" w:rsidRPr="002868AD" w:rsidRDefault="0082319B" w:rsidP="00451110">
      <w:pPr>
        <w:pStyle w:val="corte4fondo"/>
        <w:spacing w:line="276" w:lineRule="auto"/>
        <w:rPr>
          <w:rFonts w:cs="Arial"/>
          <w:color w:val="2E74B5" w:themeColor="accent1" w:themeShade="BF"/>
          <w:sz w:val="24"/>
          <w:szCs w:val="24"/>
        </w:rPr>
      </w:pPr>
      <w:r w:rsidRPr="002868AD">
        <w:rPr>
          <w:rFonts w:cs="Arial"/>
          <w:b/>
          <w:color w:val="2E74B5" w:themeColor="accent1" w:themeShade="BF"/>
          <w:sz w:val="24"/>
          <w:szCs w:val="24"/>
        </w:rPr>
        <w:t xml:space="preserve">QUINTO. Auto de admisión y trámite. </w:t>
      </w:r>
      <w:r w:rsidRPr="002868AD">
        <w:rPr>
          <w:rFonts w:cs="Arial"/>
          <w:color w:val="2E74B5" w:themeColor="accent1" w:themeShade="BF"/>
          <w:sz w:val="24"/>
          <w:szCs w:val="24"/>
        </w:rPr>
        <w:t>Por proveído del</w:t>
      </w:r>
      <w:r w:rsidR="00C677C1">
        <w:rPr>
          <w:rFonts w:cs="Arial"/>
          <w:color w:val="2E74B5" w:themeColor="accent1" w:themeShade="BF"/>
          <w:sz w:val="24"/>
          <w:szCs w:val="24"/>
        </w:rPr>
        <w:t xml:space="preserve"> 03 tres de junio</w:t>
      </w:r>
      <w:r w:rsidR="00C677C1" w:rsidRPr="002868AD">
        <w:rPr>
          <w:rFonts w:cs="Arial"/>
          <w:color w:val="2E74B5" w:themeColor="accent1" w:themeShade="BF"/>
          <w:sz w:val="24"/>
          <w:szCs w:val="24"/>
        </w:rPr>
        <w:t xml:space="preserve"> </w:t>
      </w:r>
      <w:r w:rsidR="00C677C1">
        <w:rPr>
          <w:rFonts w:cs="Arial"/>
          <w:color w:val="2E74B5" w:themeColor="accent1" w:themeShade="BF"/>
          <w:sz w:val="24"/>
          <w:szCs w:val="24"/>
        </w:rPr>
        <w:t>de 2019 dos mil diecinueve</w:t>
      </w:r>
      <w:r w:rsidR="00671594" w:rsidRPr="002868AD">
        <w:rPr>
          <w:rFonts w:cs="Arial"/>
          <w:color w:val="2E74B5" w:themeColor="accent1" w:themeShade="BF"/>
          <w:sz w:val="24"/>
          <w:szCs w:val="24"/>
        </w:rPr>
        <w:t xml:space="preserve">, </w:t>
      </w:r>
      <w:r w:rsidRPr="002868AD">
        <w:rPr>
          <w:rFonts w:cs="Arial"/>
          <w:color w:val="2E74B5" w:themeColor="accent1" w:themeShade="BF"/>
          <w:sz w:val="24"/>
          <w:szCs w:val="24"/>
        </w:rPr>
        <w:t>la Comisionado Ponente</w:t>
      </w:r>
      <w:r w:rsidR="00671594" w:rsidRPr="002868AD">
        <w:rPr>
          <w:rFonts w:cs="Arial"/>
          <w:color w:val="2E74B5" w:themeColor="accent1" w:themeShade="BF"/>
          <w:sz w:val="24"/>
          <w:szCs w:val="24"/>
        </w:rPr>
        <w:t xml:space="preserve"> acordó la admisión del recurso de revisión por actualizarse </w:t>
      </w:r>
      <w:r w:rsidR="00671594" w:rsidRPr="00826230">
        <w:rPr>
          <w:rFonts w:cs="Arial"/>
          <w:color w:val="2E74B5" w:themeColor="accent1" w:themeShade="BF"/>
          <w:sz w:val="24"/>
          <w:szCs w:val="24"/>
        </w:rPr>
        <w:t>la hipótesis establecida en la</w:t>
      </w:r>
      <w:r w:rsidR="00864845" w:rsidRPr="00826230">
        <w:rPr>
          <w:rFonts w:cs="Arial"/>
          <w:color w:val="2E74B5" w:themeColor="accent1" w:themeShade="BF"/>
          <w:sz w:val="24"/>
          <w:szCs w:val="24"/>
        </w:rPr>
        <w:t xml:space="preserve"> </w:t>
      </w:r>
      <w:r w:rsidR="00215D65" w:rsidRPr="00826230">
        <w:rPr>
          <w:rFonts w:cs="Arial"/>
          <w:color w:val="2E74B5" w:themeColor="accent1" w:themeShade="BF"/>
          <w:sz w:val="24"/>
          <w:szCs w:val="24"/>
        </w:rPr>
        <w:t>fracción</w:t>
      </w:r>
      <w:r w:rsidR="00671594" w:rsidRPr="00826230">
        <w:rPr>
          <w:rFonts w:cs="Arial"/>
          <w:color w:val="2E74B5" w:themeColor="accent1" w:themeShade="BF"/>
          <w:sz w:val="24"/>
          <w:szCs w:val="24"/>
        </w:rPr>
        <w:t xml:space="preserve"> </w:t>
      </w:r>
      <w:r w:rsidR="005A0C2A" w:rsidRPr="00826230">
        <w:rPr>
          <w:rFonts w:cs="Arial"/>
          <w:color w:val="2E74B5" w:themeColor="accent1" w:themeShade="BF"/>
          <w:sz w:val="24"/>
          <w:szCs w:val="24"/>
        </w:rPr>
        <w:t>I</w:t>
      </w:r>
      <w:r w:rsidR="00671594" w:rsidRPr="00826230">
        <w:rPr>
          <w:rFonts w:cs="Arial"/>
          <w:color w:val="2E74B5" w:themeColor="accent1" w:themeShade="BF"/>
          <w:sz w:val="24"/>
          <w:szCs w:val="24"/>
        </w:rPr>
        <w:t xml:space="preserve"> del artículo 167</w:t>
      </w:r>
      <w:r w:rsidR="00671594" w:rsidRPr="002868AD">
        <w:rPr>
          <w:rFonts w:cs="Arial"/>
          <w:color w:val="2E74B5" w:themeColor="accent1" w:themeShade="BF"/>
          <w:sz w:val="24"/>
          <w:szCs w:val="24"/>
        </w:rPr>
        <w:t xml:space="preserve"> de la Ley de Transparencia y Acceso a la Información Pública del Estado, de la misma manera</w:t>
      </w:r>
      <w:r w:rsidRPr="002868AD">
        <w:rPr>
          <w:rFonts w:cs="Arial"/>
          <w:color w:val="2E74B5" w:themeColor="accent1" w:themeShade="BF"/>
          <w:sz w:val="24"/>
          <w:szCs w:val="24"/>
        </w:rPr>
        <w:t>:</w:t>
      </w:r>
    </w:p>
    <w:p w:rsidR="0082319B" w:rsidRPr="002868AD" w:rsidRDefault="0082319B" w:rsidP="00451110">
      <w:pPr>
        <w:pStyle w:val="corte4fondo"/>
        <w:tabs>
          <w:tab w:val="left" w:pos="3451"/>
        </w:tabs>
        <w:spacing w:line="276" w:lineRule="auto"/>
        <w:rPr>
          <w:rFonts w:cs="Arial"/>
          <w:color w:val="2E74B5" w:themeColor="accent1" w:themeShade="BF"/>
          <w:sz w:val="24"/>
          <w:szCs w:val="24"/>
        </w:rPr>
      </w:pPr>
    </w:p>
    <w:p w:rsidR="0082319B" w:rsidRPr="00826230" w:rsidRDefault="0082319B" w:rsidP="00451110">
      <w:pPr>
        <w:pStyle w:val="corte4fondo"/>
        <w:numPr>
          <w:ilvl w:val="0"/>
          <w:numId w:val="2"/>
        </w:numPr>
        <w:spacing w:line="276" w:lineRule="auto"/>
        <w:rPr>
          <w:rFonts w:cs="Arial"/>
          <w:color w:val="2E74B5" w:themeColor="accent1" w:themeShade="BF"/>
          <w:sz w:val="24"/>
          <w:szCs w:val="24"/>
        </w:rPr>
      </w:pPr>
      <w:r w:rsidRPr="00826230">
        <w:rPr>
          <w:rFonts w:cs="Arial"/>
          <w:color w:val="2E74B5" w:themeColor="accent1" w:themeShade="BF"/>
          <w:sz w:val="24"/>
          <w:szCs w:val="24"/>
        </w:rPr>
        <w:t>Tuvo por recibido en tiempo y forma el medio de impugnación.</w:t>
      </w:r>
    </w:p>
    <w:p w:rsidR="0082319B" w:rsidRPr="00826230" w:rsidRDefault="0082319B" w:rsidP="00451110">
      <w:pPr>
        <w:pStyle w:val="corte4fondo"/>
        <w:numPr>
          <w:ilvl w:val="0"/>
          <w:numId w:val="2"/>
        </w:numPr>
        <w:spacing w:line="276" w:lineRule="auto"/>
        <w:rPr>
          <w:rFonts w:cs="Arial"/>
          <w:color w:val="2E74B5" w:themeColor="accent1" w:themeShade="BF"/>
          <w:sz w:val="24"/>
          <w:szCs w:val="24"/>
        </w:rPr>
      </w:pPr>
      <w:r w:rsidRPr="00826230">
        <w:rPr>
          <w:rFonts w:cs="Arial"/>
          <w:color w:val="2E74B5" w:themeColor="accent1" w:themeShade="BF"/>
          <w:sz w:val="24"/>
          <w:szCs w:val="24"/>
        </w:rPr>
        <w:t xml:space="preserve">Lo registró en el Libro de Gobierno </w:t>
      </w:r>
      <w:r w:rsidR="00B25C3D" w:rsidRPr="00826230">
        <w:rPr>
          <w:rFonts w:cs="Arial"/>
          <w:color w:val="2E74B5" w:themeColor="accent1" w:themeShade="BF"/>
          <w:sz w:val="24"/>
          <w:szCs w:val="24"/>
        </w:rPr>
        <w:t>el presente expediente como RR-656/2019</w:t>
      </w:r>
      <w:r w:rsidRPr="00826230">
        <w:rPr>
          <w:rFonts w:cs="Arial"/>
          <w:color w:val="2E74B5" w:themeColor="accent1" w:themeShade="BF"/>
          <w:sz w:val="24"/>
          <w:szCs w:val="24"/>
        </w:rPr>
        <w:t>-2.</w:t>
      </w:r>
    </w:p>
    <w:p w:rsidR="0082319B" w:rsidRPr="00826230" w:rsidRDefault="0082319B" w:rsidP="00451110">
      <w:pPr>
        <w:pStyle w:val="corte4fondo"/>
        <w:numPr>
          <w:ilvl w:val="0"/>
          <w:numId w:val="2"/>
        </w:numPr>
        <w:spacing w:line="276" w:lineRule="auto"/>
        <w:rPr>
          <w:rFonts w:cs="Arial"/>
          <w:color w:val="2E74B5" w:themeColor="accent1" w:themeShade="BF"/>
          <w:sz w:val="24"/>
          <w:szCs w:val="24"/>
        </w:rPr>
      </w:pPr>
      <w:r w:rsidRPr="00826230">
        <w:rPr>
          <w:rFonts w:cs="Arial"/>
          <w:color w:val="2E74B5" w:themeColor="accent1" w:themeShade="BF"/>
          <w:sz w:val="24"/>
          <w:szCs w:val="24"/>
        </w:rPr>
        <w:t xml:space="preserve">Tuvo como sujeto obligado al </w:t>
      </w:r>
      <w:r w:rsidR="00C677C1" w:rsidRPr="00826230">
        <w:rPr>
          <w:rFonts w:cs="Arial"/>
          <w:b/>
          <w:color w:val="2E74B5" w:themeColor="accent1" w:themeShade="BF"/>
          <w:sz w:val="24"/>
          <w:szCs w:val="24"/>
        </w:rPr>
        <w:t xml:space="preserve">H. AYUNTAMIENTO DE SAN LUIS POTOSÍ, POR CONDUCTO </w:t>
      </w:r>
      <w:r w:rsidR="000D6AA0" w:rsidRPr="00826230">
        <w:rPr>
          <w:rFonts w:cs="Arial"/>
          <w:b/>
          <w:color w:val="2E74B5" w:themeColor="accent1" w:themeShade="BF"/>
          <w:sz w:val="24"/>
          <w:szCs w:val="24"/>
        </w:rPr>
        <w:t>DE SU PRESIDENTE MUNICIPAL, A TRAVÉS DEL TITULAR DE LA UNIDAD DE TRANSPARENCIA.</w:t>
      </w:r>
    </w:p>
    <w:p w:rsidR="0082319B" w:rsidRPr="00826230" w:rsidRDefault="0082319B" w:rsidP="00451110">
      <w:pPr>
        <w:pStyle w:val="corte4fondo"/>
        <w:numPr>
          <w:ilvl w:val="0"/>
          <w:numId w:val="2"/>
        </w:numPr>
        <w:spacing w:line="276" w:lineRule="auto"/>
        <w:rPr>
          <w:rFonts w:cs="Arial"/>
          <w:color w:val="2E74B5" w:themeColor="accent1" w:themeShade="BF"/>
          <w:sz w:val="24"/>
          <w:szCs w:val="24"/>
        </w:rPr>
      </w:pPr>
      <w:r w:rsidRPr="00826230">
        <w:rPr>
          <w:rFonts w:cs="Arial"/>
          <w:color w:val="2E74B5" w:themeColor="accent1" w:themeShade="BF"/>
          <w:sz w:val="24"/>
          <w:szCs w:val="24"/>
        </w:rPr>
        <w:t>Tuvo al recurrente por ofrecida</w:t>
      </w:r>
      <w:r w:rsidR="000D6AA0" w:rsidRPr="00826230">
        <w:rPr>
          <w:rFonts w:cs="Arial"/>
          <w:color w:val="2E74B5" w:themeColor="accent1" w:themeShade="BF"/>
          <w:sz w:val="24"/>
          <w:szCs w:val="24"/>
        </w:rPr>
        <w:t>s las documentales</w:t>
      </w:r>
      <w:r w:rsidRPr="00826230">
        <w:rPr>
          <w:rFonts w:cs="Arial"/>
          <w:color w:val="2E74B5" w:themeColor="accent1" w:themeShade="BF"/>
          <w:sz w:val="24"/>
          <w:szCs w:val="24"/>
        </w:rPr>
        <w:t xml:space="preserve"> que adjuntó en su recurso de revisión –mismas que se admitieron y se desahogaron dada su especial naturaleza–.</w:t>
      </w:r>
    </w:p>
    <w:p w:rsidR="0082319B" w:rsidRPr="002868AD" w:rsidRDefault="0082319B" w:rsidP="00451110">
      <w:pPr>
        <w:pStyle w:val="corte4fondo"/>
        <w:numPr>
          <w:ilvl w:val="0"/>
          <w:numId w:val="2"/>
        </w:numPr>
        <w:spacing w:line="276" w:lineRule="auto"/>
        <w:rPr>
          <w:rFonts w:cs="Arial"/>
          <w:color w:val="2E74B5" w:themeColor="accent1" w:themeShade="BF"/>
          <w:sz w:val="24"/>
          <w:szCs w:val="24"/>
        </w:rPr>
      </w:pPr>
      <w:r w:rsidRPr="002868AD">
        <w:rPr>
          <w:rFonts w:cs="Arial"/>
          <w:color w:val="2E74B5" w:themeColor="accent1" w:themeShade="BF"/>
          <w:sz w:val="24"/>
          <w:szCs w:val="24"/>
        </w:rPr>
        <w:t>Se le tuvo al recurrente por señalado domicilio para oír notificaciones.</w:t>
      </w:r>
    </w:p>
    <w:p w:rsidR="0082319B" w:rsidRPr="002868AD" w:rsidRDefault="0082319B" w:rsidP="00451110">
      <w:pPr>
        <w:pStyle w:val="corte4fondo"/>
        <w:numPr>
          <w:ilvl w:val="0"/>
          <w:numId w:val="2"/>
        </w:numPr>
        <w:spacing w:line="276" w:lineRule="auto"/>
        <w:rPr>
          <w:rFonts w:cs="Arial"/>
          <w:color w:val="2E74B5" w:themeColor="accent1" w:themeShade="BF"/>
          <w:sz w:val="24"/>
          <w:szCs w:val="24"/>
        </w:rPr>
      </w:pPr>
      <w:r w:rsidRPr="002868AD">
        <w:rPr>
          <w:rFonts w:cs="Arial"/>
          <w:color w:val="2E74B5" w:themeColor="accent1" w:themeShade="BF"/>
          <w:sz w:val="24"/>
          <w:szCs w:val="24"/>
        </w:rPr>
        <w:t xml:space="preserve">Se puso a disposición de las partes el expediente para que en un plazo máximo de 7 siete días manifestaran lo que a su derecho conviniera –ofrecer pruebas y alegar–.  </w:t>
      </w:r>
    </w:p>
    <w:p w:rsidR="0082319B" w:rsidRPr="002868AD" w:rsidRDefault="0082319B" w:rsidP="00451110">
      <w:pPr>
        <w:pStyle w:val="corte4fondo"/>
        <w:spacing w:line="276" w:lineRule="auto"/>
        <w:rPr>
          <w:rFonts w:cs="Arial"/>
          <w:color w:val="2E74B5" w:themeColor="accent1" w:themeShade="BF"/>
          <w:sz w:val="24"/>
          <w:szCs w:val="24"/>
        </w:rPr>
      </w:pPr>
    </w:p>
    <w:p w:rsidR="0082319B" w:rsidRPr="002868AD" w:rsidRDefault="0082319B" w:rsidP="00451110">
      <w:pPr>
        <w:pStyle w:val="corte4fondo"/>
        <w:spacing w:line="276" w:lineRule="auto"/>
        <w:rPr>
          <w:rFonts w:cs="Arial"/>
          <w:color w:val="2E74B5" w:themeColor="accent1" w:themeShade="BF"/>
          <w:sz w:val="24"/>
          <w:szCs w:val="24"/>
        </w:rPr>
      </w:pPr>
      <w:r w:rsidRPr="002868AD">
        <w:rPr>
          <w:rFonts w:cs="Arial"/>
          <w:color w:val="2E74B5" w:themeColor="accent1" w:themeShade="BF"/>
          <w:sz w:val="24"/>
          <w:szCs w:val="24"/>
        </w:rPr>
        <w:t>Asimismo, en ese auto se expresó que el sujeto obligado debería informar a esta Comisión de Transparencia si la información que le fue solicitada:</w:t>
      </w:r>
    </w:p>
    <w:p w:rsidR="0082319B" w:rsidRPr="002868AD" w:rsidRDefault="0082319B" w:rsidP="00451110">
      <w:pPr>
        <w:pStyle w:val="corte4fondo"/>
        <w:spacing w:line="276" w:lineRule="auto"/>
        <w:rPr>
          <w:rFonts w:cs="Arial"/>
          <w:color w:val="2E74B5" w:themeColor="accent1" w:themeShade="BF"/>
          <w:sz w:val="24"/>
          <w:szCs w:val="24"/>
        </w:rPr>
      </w:pPr>
    </w:p>
    <w:p w:rsidR="0082319B" w:rsidRPr="002868AD" w:rsidRDefault="0082319B" w:rsidP="00451110">
      <w:pPr>
        <w:pStyle w:val="corte4fondo"/>
        <w:numPr>
          <w:ilvl w:val="0"/>
          <w:numId w:val="1"/>
        </w:numPr>
        <w:spacing w:line="276" w:lineRule="auto"/>
        <w:rPr>
          <w:rFonts w:cs="Arial"/>
          <w:color w:val="2E74B5" w:themeColor="accent1" w:themeShade="BF"/>
          <w:sz w:val="24"/>
          <w:szCs w:val="24"/>
        </w:rPr>
      </w:pPr>
      <w:r w:rsidRPr="002868AD">
        <w:rPr>
          <w:rFonts w:cs="Arial"/>
          <w:color w:val="2E74B5" w:themeColor="accent1" w:themeShade="BF"/>
          <w:sz w:val="24"/>
          <w:szCs w:val="24"/>
        </w:rPr>
        <w:t>Se encontraba en sus archivos.</w:t>
      </w:r>
    </w:p>
    <w:p w:rsidR="0082319B" w:rsidRPr="002868AD" w:rsidRDefault="0082319B" w:rsidP="00451110">
      <w:pPr>
        <w:pStyle w:val="corte4fondo"/>
        <w:numPr>
          <w:ilvl w:val="0"/>
          <w:numId w:val="1"/>
        </w:numPr>
        <w:spacing w:line="276" w:lineRule="auto"/>
        <w:rPr>
          <w:rFonts w:cs="Arial"/>
          <w:color w:val="2E74B5" w:themeColor="accent1" w:themeShade="BF"/>
          <w:sz w:val="24"/>
          <w:szCs w:val="24"/>
        </w:rPr>
      </w:pPr>
      <w:r w:rsidRPr="002868AD">
        <w:rPr>
          <w:rFonts w:cs="Arial"/>
          <w:color w:val="2E74B5" w:themeColor="accent1" w:themeShade="BF"/>
          <w:sz w:val="24"/>
          <w:szCs w:val="24"/>
        </w:rPr>
        <w:t>Si estaba obligado a documentar esa información de acuerdo a sus facultades, competencias o funciones en el formato que el solicitante pidió –conforme a las características físicas de la información o del lugar en donde se encuentre y si la información se encuentra en una base de datos–.</w:t>
      </w:r>
    </w:p>
    <w:p w:rsidR="0082319B" w:rsidRPr="002868AD" w:rsidRDefault="0082319B" w:rsidP="00451110">
      <w:pPr>
        <w:pStyle w:val="corte4fondo"/>
        <w:numPr>
          <w:ilvl w:val="0"/>
          <w:numId w:val="1"/>
        </w:numPr>
        <w:spacing w:line="276" w:lineRule="auto"/>
        <w:rPr>
          <w:rFonts w:cs="Arial"/>
          <w:color w:val="2E74B5" w:themeColor="accent1" w:themeShade="BF"/>
          <w:sz w:val="24"/>
          <w:szCs w:val="24"/>
        </w:rPr>
      </w:pPr>
      <w:r w:rsidRPr="002868AD">
        <w:rPr>
          <w:rFonts w:cs="Arial"/>
          <w:color w:val="2E74B5" w:themeColor="accent1" w:themeShade="BF"/>
          <w:sz w:val="24"/>
          <w:szCs w:val="24"/>
        </w:rPr>
        <w:t>Se encuentra en una de las excepciones del derecho de acceso a la información.</w:t>
      </w:r>
    </w:p>
    <w:p w:rsidR="0082319B" w:rsidRPr="002868AD" w:rsidRDefault="0082319B" w:rsidP="00451110">
      <w:pPr>
        <w:pStyle w:val="corte4fondo"/>
        <w:numPr>
          <w:ilvl w:val="0"/>
          <w:numId w:val="1"/>
        </w:numPr>
        <w:spacing w:line="276" w:lineRule="auto"/>
        <w:rPr>
          <w:rFonts w:cs="Arial"/>
          <w:color w:val="2E74B5" w:themeColor="accent1" w:themeShade="BF"/>
          <w:sz w:val="24"/>
          <w:szCs w:val="24"/>
        </w:rPr>
      </w:pPr>
      <w:r w:rsidRPr="002868AD">
        <w:rPr>
          <w:rFonts w:cs="Arial"/>
          <w:color w:val="2E74B5" w:themeColor="accent1" w:themeShade="BF"/>
          <w:sz w:val="24"/>
          <w:szCs w:val="24"/>
        </w:rPr>
        <w:t xml:space="preserve">Si existe impedimento legal para su entrega –cuando se trate de información reservada o confidencial–. </w:t>
      </w:r>
    </w:p>
    <w:p w:rsidR="0082319B" w:rsidRPr="002868AD" w:rsidRDefault="0082319B" w:rsidP="00451110">
      <w:pPr>
        <w:pStyle w:val="corte4fondo"/>
        <w:spacing w:line="276" w:lineRule="auto"/>
        <w:ind w:left="1429" w:firstLine="0"/>
        <w:rPr>
          <w:rFonts w:cs="Arial"/>
          <w:color w:val="2E74B5" w:themeColor="accent1" w:themeShade="BF"/>
          <w:sz w:val="24"/>
          <w:szCs w:val="24"/>
        </w:rPr>
      </w:pPr>
    </w:p>
    <w:p w:rsidR="0082319B" w:rsidRPr="002868AD" w:rsidRDefault="0082319B" w:rsidP="00451110">
      <w:pPr>
        <w:pStyle w:val="corte4fondo"/>
        <w:spacing w:line="276" w:lineRule="auto"/>
        <w:ind w:firstLine="0"/>
        <w:rPr>
          <w:rFonts w:cs="Arial"/>
          <w:color w:val="2E74B5" w:themeColor="accent1" w:themeShade="BF"/>
          <w:sz w:val="24"/>
          <w:szCs w:val="24"/>
        </w:rPr>
      </w:pPr>
      <w:r w:rsidRPr="002868AD">
        <w:rPr>
          <w:rFonts w:cs="Arial"/>
          <w:color w:val="2E74B5" w:themeColor="accent1" w:themeShade="BF"/>
          <w:sz w:val="24"/>
          <w:szCs w:val="24"/>
        </w:rPr>
        <w:tab/>
        <w:t>Por otra parte, la ponente ordenó el traslado a las autoridades con la copia simple del recurso de revisión; se les requirió a éstas para remitieran copia certificada del nombramiento que los acreditara como tales; para que señalaran personas y domicilio para oír y recibir notificaciones en esta ciudad; que una vez, que sea decretado el cierre de instrucción no se atendería la información que fuese enviada.</w:t>
      </w:r>
    </w:p>
    <w:p w:rsidR="0082319B" w:rsidRPr="002868AD" w:rsidRDefault="0082319B" w:rsidP="00451110">
      <w:pPr>
        <w:pStyle w:val="corte4fondo"/>
        <w:spacing w:line="276" w:lineRule="auto"/>
        <w:ind w:firstLine="0"/>
        <w:rPr>
          <w:rFonts w:cs="Arial"/>
          <w:color w:val="2E74B5" w:themeColor="accent1" w:themeShade="BF"/>
          <w:sz w:val="24"/>
          <w:szCs w:val="24"/>
        </w:rPr>
      </w:pPr>
    </w:p>
    <w:p w:rsidR="0082319B" w:rsidRPr="002868AD" w:rsidRDefault="0082319B" w:rsidP="00451110">
      <w:pPr>
        <w:pStyle w:val="corte4fondo"/>
        <w:spacing w:line="276" w:lineRule="auto"/>
        <w:rPr>
          <w:rFonts w:cs="Arial"/>
          <w:b/>
          <w:color w:val="2E74B5" w:themeColor="accent1" w:themeShade="BF"/>
          <w:sz w:val="24"/>
          <w:szCs w:val="24"/>
        </w:rPr>
      </w:pPr>
      <w:r w:rsidRPr="002868AD">
        <w:rPr>
          <w:rFonts w:cs="Arial"/>
          <w:b/>
          <w:color w:val="2E74B5" w:themeColor="accent1" w:themeShade="BF"/>
          <w:sz w:val="24"/>
          <w:szCs w:val="24"/>
        </w:rPr>
        <w:t>SEXTO. Rendición de</w:t>
      </w:r>
      <w:r w:rsidR="009322B4" w:rsidRPr="002868AD">
        <w:rPr>
          <w:rFonts w:cs="Arial"/>
          <w:b/>
          <w:color w:val="2E74B5" w:themeColor="accent1" w:themeShade="BF"/>
          <w:sz w:val="24"/>
          <w:szCs w:val="24"/>
        </w:rPr>
        <w:t>l</w:t>
      </w:r>
      <w:r w:rsidRPr="002868AD">
        <w:rPr>
          <w:rFonts w:cs="Arial"/>
          <w:b/>
          <w:color w:val="2E74B5" w:themeColor="accent1" w:themeShade="BF"/>
          <w:sz w:val="24"/>
          <w:szCs w:val="24"/>
        </w:rPr>
        <w:t xml:space="preserve"> informe de</w:t>
      </w:r>
      <w:r w:rsidR="009322B4" w:rsidRPr="002868AD">
        <w:rPr>
          <w:rFonts w:cs="Arial"/>
          <w:b/>
          <w:color w:val="2E74B5" w:themeColor="accent1" w:themeShade="BF"/>
          <w:sz w:val="24"/>
          <w:szCs w:val="24"/>
        </w:rPr>
        <w:t>l</w:t>
      </w:r>
      <w:r w:rsidRPr="002868AD">
        <w:rPr>
          <w:rFonts w:cs="Arial"/>
          <w:b/>
          <w:color w:val="2E74B5" w:themeColor="accent1" w:themeShade="BF"/>
          <w:sz w:val="24"/>
          <w:szCs w:val="24"/>
        </w:rPr>
        <w:t xml:space="preserve"> sujeto</w:t>
      </w:r>
      <w:r w:rsidR="009322B4" w:rsidRPr="002868AD">
        <w:rPr>
          <w:rFonts w:cs="Arial"/>
          <w:b/>
          <w:color w:val="2E74B5" w:themeColor="accent1" w:themeShade="BF"/>
          <w:sz w:val="24"/>
          <w:szCs w:val="24"/>
        </w:rPr>
        <w:t xml:space="preserve"> obligado</w:t>
      </w:r>
      <w:r w:rsidRPr="002868AD">
        <w:rPr>
          <w:rFonts w:cs="Arial"/>
          <w:color w:val="2E74B5" w:themeColor="accent1" w:themeShade="BF"/>
          <w:sz w:val="24"/>
          <w:szCs w:val="24"/>
        </w:rPr>
        <w:t>. Por proveído del</w:t>
      </w:r>
      <w:r w:rsidR="00B25C3D">
        <w:rPr>
          <w:rFonts w:cs="Arial"/>
          <w:color w:val="2E74B5" w:themeColor="accent1" w:themeShade="BF"/>
          <w:sz w:val="24"/>
          <w:szCs w:val="24"/>
        </w:rPr>
        <w:t xml:space="preserve"> </w:t>
      </w:r>
      <w:r w:rsidR="00B25C3D" w:rsidRPr="00826230">
        <w:rPr>
          <w:rFonts w:cs="Arial"/>
          <w:color w:val="2E74B5" w:themeColor="accent1" w:themeShade="BF"/>
          <w:sz w:val="24"/>
          <w:szCs w:val="24"/>
        </w:rPr>
        <w:t>24 veinticuatro de</w:t>
      </w:r>
      <w:r w:rsidR="000D6AA0" w:rsidRPr="00826230">
        <w:rPr>
          <w:rFonts w:cs="Arial"/>
          <w:color w:val="2E74B5" w:themeColor="accent1" w:themeShade="BF"/>
          <w:sz w:val="24"/>
          <w:szCs w:val="24"/>
        </w:rPr>
        <w:t xml:space="preserve"> </w:t>
      </w:r>
      <w:r w:rsidR="00B25C3D" w:rsidRPr="00826230">
        <w:rPr>
          <w:rFonts w:cs="Arial"/>
          <w:color w:val="2E74B5" w:themeColor="accent1" w:themeShade="BF"/>
          <w:sz w:val="24"/>
          <w:szCs w:val="24"/>
        </w:rPr>
        <w:t>junio</w:t>
      </w:r>
      <w:r w:rsidR="000D6AA0">
        <w:rPr>
          <w:rFonts w:cs="Arial"/>
          <w:color w:val="2E74B5" w:themeColor="accent1" w:themeShade="BF"/>
          <w:sz w:val="24"/>
          <w:szCs w:val="24"/>
        </w:rPr>
        <w:t xml:space="preserve"> de 2019 dos mil diecinueve</w:t>
      </w:r>
      <w:r w:rsidRPr="002868AD">
        <w:rPr>
          <w:rFonts w:cs="Arial"/>
          <w:color w:val="2E74B5" w:themeColor="accent1" w:themeShade="BF"/>
          <w:sz w:val="24"/>
          <w:szCs w:val="24"/>
        </w:rPr>
        <w:t xml:space="preserve"> la ponente del presente asunto:</w:t>
      </w:r>
    </w:p>
    <w:p w:rsidR="0082319B" w:rsidRPr="002868AD" w:rsidRDefault="0082319B" w:rsidP="00451110">
      <w:pPr>
        <w:pStyle w:val="corte4fondo"/>
        <w:spacing w:line="276" w:lineRule="auto"/>
        <w:rPr>
          <w:rFonts w:cs="Arial"/>
          <w:color w:val="2E74B5" w:themeColor="accent1" w:themeShade="BF"/>
          <w:sz w:val="24"/>
          <w:szCs w:val="24"/>
        </w:rPr>
      </w:pPr>
    </w:p>
    <w:p w:rsidR="00B25C3D" w:rsidRPr="00687888" w:rsidRDefault="003E6385" w:rsidP="00B25C3D">
      <w:pPr>
        <w:pStyle w:val="corte4fondo"/>
        <w:numPr>
          <w:ilvl w:val="0"/>
          <w:numId w:val="3"/>
        </w:numPr>
        <w:spacing w:line="276" w:lineRule="auto"/>
        <w:rPr>
          <w:rFonts w:cs="Arial"/>
          <w:color w:val="2E74B5" w:themeColor="accent1" w:themeShade="BF"/>
          <w:sz w:val="24"/>
          <w:szCs w:val="24"/>
        </w:rPr>
      </w:pPr>
      <w:r w:rsidRPr="002868AD">
        <w:rPr>
          <w:rFonts w:cs="Arial"/>
          <w:color w:val="2E74B5" w:themeColor="accent1" w:themeShade="BF"/>
          <w:sz w:val="24"/>
          <w:szCs w:val="24"/>
        </w:rPr>
        <w:lastRenderedPageBreak/>
        <w:t xml:space="preserve">Tuvo por recibido </w:t>
      </w:r>
      <w:r w:rsidR="00B25C3D" w:rsidRPr="00826230">
        <w:rPr>
          <w:rFonts w:cs="Arial"/>
          <w:color w:val="2E74B5" w:themeColor="accent1" w:themeShade="BF"/>
          <w:sz w:val="24"/>
          <w:szCs w:val="24"/>
        </w:rPr>
        <w:t xml:space="preserve">01 un </w:t>
      </w:r>
      <w:r w:rsidRPr="00826230">
        <w:rPr>
          <w:rFonts w:cs="Arial"/>
          <w:color w:val="2E74B5" w:themeColor="accent1" w:themeShade="BF"/>
          <w:sz w:val="24"/>
          <w:szCs w:val="24"/>
        </w:rPr>
        <w:t xml:space="preserve">oficio </w:t>
      </w:r>
      <w:r w:rsidR="00B25C3D" w:rsidRPr="00826230">
        <w:rPr>
          <w:rFonts w:cs="Arial"/>
          <w:color w:val="2E74B5" w:themeColor="accent1" w:themeShade="BF"/>
          <w:sz w:val="24"/>
          <w:szCs w:val="24"/>
        </w:rPr>
        <w:t>UT.2487/19</w:t>
      </w:r>
      <w:r w:rsidR="000D6AA0" w:rsidRPr="00826230">
        <w:rPr>
          <w:rFonts w:cs="Arial"/>
          <w:color w:val="2E74B5" w:themeColor="accent1" w:themeShade="BF"/>
          <w:sz w:val="24"/>
          <w:szCs w:val="24"/>
        </w:rPr>
        <w:t>, signado</w:t>
      </w:r>
      <w:r w:rsidR="000D6AA0">
        <w:rPr>
          <w:rFonts w:cs="Arial"/>
          <w:color w:val="2E74B5" w:themeColor="accent1" w:themeShade="BF"/>
          <w:sz w:val="24"/>
          <w:szCs w:val="24"/>
        </w:rPr>
        <w:t xml:space="preserve"> por la </w:t>
      </w:r>
      <w:r w:rsidR="00826230">
        <w:rPr>
          <w:rFonts w:cs="Arial"/>
          <w:b/>
          <w:color w:val="2E74B5" w:themeColor="accent1" w:themeShade="BF"/>
          <w:sz w:val="24"/>
          <w:szCs w:val="24"/>
        </w:rPr>
        <w:t>TITULAR</w:t>
      </w:r>
      <w:r w:rsidRPr="002868AD">
        <w:rPr>
          <w:rFonts w:cs="Arial"/>
          <w:color w:val="2E74B5" w:themeColor="accent1" w:themeShade="BF"/>
          <w:sz w:val="24"/>
          <w:szCs w:val="24"/>
        </w:rPr>
        <w:t xml:space="preserve"> </w:t>
      </w:r>
      <w:r w:rsidRPr="002868AD">
        <w:rPr>
          <w:rFonts w:cs="Arial"/>
          <w:b/>
          <w:color w:val="2E74B5" w:themeColor="accent1" w:themeShade="BF"/>
          <w:sz w:val="24"/>
          <w:szCs w:val="24"/>
        </w:rPr>
        <w:t>DE LA UNIDAD DE TRANSPARENCIA DEL</w:t>
      </w:r>
      <w:r w:rsidR="000D6AA0">
        <w:rPr>
          <w:rFonts w:cs="Arial"/>
          <w:b/>
          <w:color w:val="2E74B5" w:themeColor="accent1" w:themeShade="BF"/>
          <w:sz w:val="24"/>
          <w:szCs w:val="24"/>
        </w:rPr>
        <w:t xml:space="preserve"> H. AYUNTAMIENTI DE SAN LUIS POTOSÍ</w:t>
      </w:r>
      <w:r w:rsidR="00B25C3D">
        <w:rPr>
          <w:rFonts w:cs="Arial"/>
          <w:b/>
          <w:color w:val="2E74B5" w:themeColor="accent1" w:themeShade="BF"/>
          <w:sz w:val="24"/>
          <w:szCs w:val="24"/>
        </w:rPr>
        <w:t xml:space="preserve">, </w:t>
      </w:r>
      <w:r w:rsidR="00B25C3D" w:rsidRPr="00687888">
        <w:rPr>
          <w:rFonts w:cs="Arial"/>
          <w:color w:val="2E74B5" w:themeColor="accent1" w:themeShade="BF"/>
          <w:sz w:val="24"/>
          <w:szCs w:val="24"/>
        </w:rPr>
        <w:t>junto con anexos.</w:t>
      </w:r>
      <w:r w:rsidR="00B25C3D" w:rsidRPr="00687888">
        <w:rPr>
          <w:rFonts w:cs="Arial"/>
          <w:b/>
          <w:color w:val="2E74B5" w:themeColor="accent1" w:themeShade="BF"/>
          <w:sz w:val="24"/>
          <w:szCs w:val="24"/>
        </w:rPr>
        <w:t xml:space="preserve"> </w:t>
      </w:r>
    </w:p>
    <w:p w:rsidR="00B25C3D" w:rsidRPr="00687888" w:rsidRDefault="00B25C3D" w:rsidP="00B25C3D">
      <w:pPr>
        <w:pStyle w:val="corte4fondo"/>
        <w:numPr>
          <w:ilvl w:val="0"/>
          <w:numId w:val="3"/>
        </w:numPr>
        <w:spacing w:line="276" w:lineRule="auto"/>
        <w:rPr>
          <w:rFonts w:cs="Arial"/>
          <w:color w:val="2E74B5" w:themeColor="accent1" w:themeShade="BF"/>
          <w:sz w:val="24"/>
          <w:szCs w:val="24"/>
        </w:rPr>
      </w:pPr>
      <w:r w:rsidRPr="00687888">
        <w:rPr>
          <w:rFonts w:cs="Arial"/>
          <w:color w:val="2E74B5" w:themeColor="accent1" w:themeShade="BF"/>
          <w:sz w:val="24"/>
          <w:szCs w:val="24"/>
        </w:rPr>
        <w:t xml:space="preserve">Por reconocida su personalidad. </w:t>
      </w:r>
    </w:p>
    <w:p w:rsidR="00B25C3D" w:rsidRPr="00687888" w:rsidRDefault="00B25C3D" w:rsidP="00B25C3D">
      <w:pPr>
        <w:pStyle w:val="corte4fondo"/>
        <w:numPr>
          <w:ilvl w:val="0"/>
          <w:numId w:val="3"/>
        </w:numPr>
        <w:spacing w:line="276" w:lineRule="auto"/>
        <w:rPr>
          <w:rFonts w:cs="Arial"/>
          <w:color w:val="2E74B5" w:themeColor="accent1" w:themeShade="BF"/>
          <w:sz w:val="24"/>
          <w:szCs w:val="24"/>
        </w:rPr>
      </w:pPr>
      <w:r w:rsidRPr="00687888">
        <w:rPr>
          <w:rFonts w:cs="Arial"/>
          <w:color w:val="2E74B5" w:themeColor="accent1" w:themeShade="BF"/>
          <w:sz w:val="24"/>
          <w:szCs w:val="24"/>
        </w:rPr>
        <w:t>Por expresados los argumentos relacionados con el presente asunto.</w:t>
      </w:r>
    </w:p>
    <w:p w:rsidR="00B25C3D" w:rsidRPr="00687888" w:rsidRDefault="00B25C3D" w:rsidP="00B25C3D">
      <w:pPr>
        <w:pStyle w:val="corte4fondo"/>
        <w:numPr>
          <w:ilvl w:val="0"/>
          <w:numId w:val="3"/>
        </w:numPr>
        <w:spacing w:line="276" w:lineRule="auto"/>
        <w:rPr>
          <w:rFonts w:cs="Arial"/>
          <w:color w:val="2E74B5" w:themeColor="accent1" w:themeShade="BF"/>
          <w:sz w:val="24"/>
          <w:szCs w:val="24"/>
        </w:rPr>
      </w:pPr>
      <w:r w:rsidRPr="00687888">
        <w:rPr>
          <w:rFonts w:cs="Arial"/>
          <w:color w:val="2E74B5" w:themeColor="accent1" w:themeShade="BF"/>
          <w:sz w:val="24"/>
          <w:szCs w:val="24"/>
        </w:rPr>
        <w:t>Por ofrecidas las pruebas documentales que adjuntó al oficio de cuenta.</w:t>
      </w:r>
    </w:p>
    <w:p w:rsidR="00B25C3D" w:rsidRPr="00687888" w:rsidRDefault="00B25C3D" w:rsidP="00B25C3D">
      <w:pPr>
        <w:pStyle w:val="corte4fondo"/>
        <w:numPr>
          <w:ilvl w:val="0"/>
          <w:numId w:val="3"/>
        </w:numPr>
        <w:spacing w:line="276" w:lineRule="auto"/>
        <w:rPr>
          <w:rFonts w:cs="Arial"/>
          <w:color w:val="2E74B5" w:themeColor="accent1" w:themeShade="BF"/>
          <w:sz w:val="24"/>
          <w:szCs w:val="24"/>
        </w:rPr>
      </w:pPr>
      <w:r w:rsidRPr="00687888">
        <w:rPr>
          <w:rFonts w:cs="Arial"/>
          <w:color w:val="2E74B5" w:themeColor="accent1" w:themeShade="BF"/>
          <w:sz w:val="24"/>
          <w:szCs w:val="24"/>
        </w:rPr>
        <w:t>Por señalando domicilio para oír y recibir notificaciones.</w:t>
      </w:r>
    </w:p>
    <w:p w:rsidR="0082319B" w:rsidRPr="002868AD" w:rsidRDefault="0082319B" w:rsidP="00451110">
      <w:pPr>
        <w:pStyle w:val="corte4fondo"/>
        <w:spacing w:line="276" w:lineRule="auto"/>
        <w:ind w:left="1510" w:firstLine="0"/>
        <w:rPr>
          <w:rFonts w:cs="Arial"/>
          <w:color w:val="2E74B5" w:themeColor="accent1" w:themeShade="BF"/>
          <w:sz w:val="24"/>
          <w:szCs w:val="24"/>
        </w:rPr>
      </w:pPr>
    </w:p>
    <w:p w:rsidR="0082319B" w:rsidRPr="002868AD" w:rsidRDefault="0082319B" w:rsidP="00451110">
      <w:pPr>
        <w:pStyle w:val="corte4fondo"/>
        <w:tabs>
          <w:tab w:val="left" w:pos="0"/>
        </w:tabs>
        <w:spacing w:line="276" w:lineRule="auto"/>
        <w:ind w:firstLine="0"/>
        <w:rPr>
          <w:rFonts w:cs="Arial"/>
          <w:color w:val="2E74B5" w:themeColor="accent1" w:themeShade="BF"/>
          <w:sz w:val="24"/>
          <w:szCs w:val="24"/>
        </w:rPr>
      </w:pPr>
      <w:r w:rsidRPr="002868AD">
        <w:rPr>
          <w:rFonts w:cs="Arial"/>
          <w:color w:val="2E74B5" w:themeColor="accent1" w:themeShade="BF"/>
          <w:sz w:val="24"/>
          <w:szCs w:val="24"/>
        </w:rPr>
        <w:tab/>
      </w:r>
      <w:r w:rsidRPr="00B25C3D">
        <w:rPr>
          <w:rFonts w:cs="Arial"/>
          <w:color w:val="2E74B5" w:themeColor="accent1" w:themeShade="BF"/>
          <w:sz w:val="24"/>
          <w:szCs w:val="24"/>
        </w:rPr>
        <w:t>Respecto de la parte recurrente, se advirtió que no compareció a realizar las manifestaciones que a su derecho conviniera – ofrecer pruebas y alegar.</w:t>
      </w:r>
    </w:p>
    <w:p w:rsidR="003C19F3" w:rsidRPr="002868AD" w:rsidRDefault="003C19F3" w:rsidP="00451110">
      <w:pPr>
        <w:pStyle w:val="corte4fondo"/>
        <w:spacing w:line="276" w:lineRule="auto"/>
        <w:ind w:firstLine="708"/>
        <w:rPr>
          <w:rFonts w:cs="Arial"/>
          <w:b/>
          <w:color w:val="2E74B5" w:themeColor="accent1" w:themeShade="BF"/>
          <w:sz w:val="24"/>
          <w:szCs w:val="24"/>
        </w:rPr>
      </w:pPr>
    </w:p>
    <w:p w:rsidR="003C19F3" w:rsidRPr="002868AD" w:rsidRDefault="003C19F3" w:rsidP="00451110">
      <w:pPr>
        <w:pStyle w:val="corte4fondo"/>
        <w:spacing w:line="276" w:lineRule="auto"/>
        <w:ind w:firstLine="708"/>
        <w:rPr>
          <w:rFonts w:cs="Arial"/>
          <w:color w:val="2E74B5" w:themeColor="accent1" w:themeShade="BF"/>
          <w:sz w:val="24"/>
          <w:szCs w:val="24"/>
          <w:lang w:val="es-ES"/>
        </w:rPr>
      </w:pPr>
      <w:r w:rsidRPr="002868AD">
        <w:rPr>
          <w:rFonts w:cs="Arial"/>
          <w:b/>
          <w:color w:val="2E74B5" w:themeColor="accent1" w:themeShade="BF"/>
          <w:sz w:val="24"/>
          <w:szCs w:val="24"/>
        </w:rPr>
        <w:t>SÉPTIMO. Ampliación del plazo para resolver.</w:t>
      </w:r>
      <w:r w:rsidR="005378BD">
        <w:rPr>
          <w:rFonts w:cs="Arial"/>
          <w:color w:val="2E74B5" w:themeColor="accent1" w:themeShade="BF"/>
          <w:sz w:val="24"/>
          <w:szCs w:val="24"/>
        </w:rPr>
        <w:t xml:space="preserve"> Por auto de 0</w:t>
      </w:r>
      <w:r w:rsidRPr="002868AD">
        <w:rPr>
          <w:rFonts w:cs="Arial"/>
          <w:color w:val="2E74B5" w:themeColor="accent1" w:themeShade="BF"/>
          <w:sz w:val="24"/>
          <w:szCs w:val="24"/>
        </w:rPr>
        <w:t xml:space="preserve">9 </w:t>
      </w:r>
      <w:r w:rsidR="005378BD">
        <w:rPr>
          <w:rFonts w:cs="Arial"/>
          <w:color w:val="2E74B5" w:themeColor="accent1" w:themeShade="BF"/>
          <w:sz w:val="24"/>
          <w:szCs w:val="24"/>
        </w:rPr>
        <w:t>nueve de julio de 2019 dos mil diecinueve</w:t>
      </w:r>
      <w:r w:rsidRPr="002868AD">
        <w:rPr>
          <w:rFonts w:cs="Arial"/>
          <w:color w:val="2E74B5" w:themeColor="accent1" w:themeShade="BF"/>
          <w:sz w:val="24"/>
          <w:szCs w:val="24"/>
        </w:rPr>
        <w:t>, la ponente decretó la ampliación del plazo para resolver el presente asunto, ello de conformidad con el Lineamiento Décimo Noveno de los Lineamientos para la Recepción, Sustanciación, Resolución</w:t>
      </w:r>
      <w:r w:rsidRPr="002868AD">
        <w:rPr>
          <w:rFonts w:cs="Arial"/>
          <w:color w:val="2E74B5" w:themeColor="accent1" w:themeShade="BF"/>
          <w:spacing w:val="2"/>
          <w:sz w:val="24"/>
          <w:szCs w:val="24"/>
        </w:rPr>
        <w:t xml:space="preserve"> y Cumplimiento de los Recursos de Revisión promovidos ante la CEGAIP, emitidos en la Sesión de Pleno Ordinaria de Consejo celebrada el 07 siete de noviembre de 2017 dos mil diecisiete, y publicados en el Periódico Oficial del Gobierno del Estado el 15 de febrero de 2018 dos mil dieciocho</w:t>
      </w:r>
      <w:r w:rsidRPr="002868AD">
        <w:rPr>
          <w:rFonts w:cs="Arial"/>
          <w:color w:val="2E74B5" w:themeColor="accent1" w:themeShade="BF"/>
          <w:sz w:val="24"/>
          <w:szCs w:val="24"/>
          <w:lang w:val="es-ES"/>
        </w:rPr>
        <w:t>.</w:t>
      </w:r>
    </w:p>
    <w:p w:rsidR="003C19F3" w:rsidRPr="002868AD" w:rsidRDefault="003C19F3" w:rsidP="00451110">
      <w:pPr>
        <w:pStyle w:val="corte4fondo"/>
        <w:spacing w:line="276" w:lineRule="auto"/>
        <w:rPr>
          <w:rFonts w:cs="Arial"/>
          <w:color w:val="2E74B5" w:themeColor="accent1" w:themeShade="BF"/>
          <w:sz w:val="24"/>
          <w:szCs w:val="24"/>
        </w:rPr>
      </w:pPr>
    </w:p>
    <w:p w:rsidR="0082319B" w:rsidRPr="002868AD" w:rsidRDefault="0082319B" w:rsidP="00451110">
      <w:pPr>
        <w:pStyle w:val="corte4fondo"/>
        <w:spacing w:line="276" w:lineRule="auto"/>
        <w:rPr>
          <w:rFonts w:cs="Arial"/>
          <w:color w:val="2E74B5" w:themeColor="accent1" w:themeShade="BF"/>
          <w:sz w:val="24"/>
          <w:szCs w:val="24"/>
        </w:rPr>
      </w:pPr>
      <w:r w:rsidRPr="002868AD">
        <w:rPr>
          <w:rFonts w:cs="Arial"/>
          <w:color w:val="2E74B5" w:themeColor="accent1" w:themeShade="BF"/>
          <w:sz w:val="24"/>
          <w:szCs w:val="24"/>
        </w:rPr>
        <w:t>Para concluir, la ponente declaró cerrado el periodo de instrucción y procedió a elaborar el proyecto de resolución respectivo.</w:t>
      </w:r>
    </w:p>
    <w:p w:rsidR="0082319B" w:rsidRPr="002868AD" w:rsidRDefault="0082319B" w:rsidP="00451110">
      <w:pPr>
        <w:pStyle w:val="corte4fondo"/>
        <w:spacing w:line="276" w:lineRule="auto"/>
        <w:rPr>
          <w:rFonts w:cs="Arial"/>
          <w:color w:val="2E74B5" w:themeColor="accent1" w:themeShade="BF"/>
          <w:sz w:val="24"/>
          <w:szCs w:val="24"/>
        </w:rPr>
      </w:pPr>
    </w:p>
    <w:p w:rsidR="0082319B" w:rsidRPr="002868AD" w:rsidRDefault="0082319B" w:rsidP="00451110">
      <w:pPr>
        <w:pStyle w:val="corte4fondo"/>
        <w:spacing w:line="276" w:lineRule="auto"/>
        <w:jc w:val="center"/>
        <w:rPr>
          <w:rFonts w:cs="Arial"/>
          <w:b/>
          <w:color w:val="2E74B5" w:themeColor="accent1" w:themeShade="BF"/>
          <w:sz w:val="24"/>
          <w:szCs w:val="24"/>
        </w:rPr>
      </w:pPr>
      <w:r w:rsidRPr="002868AD">
        <w:rPr>
          <w:rFonts w:cs="Arial"/>
          <w:b/>
          <w:color w:val="2E74B5" w:themeColor="accent1" w:themeShade="BF"/>
          <w:sz w:val="24"/>
          <w:szCs w:val="24"/>
        </w:rPr>
        <w:t>CONSIDERANDO</w:t>
      </w:r>
    </w:p>
    <w:p w:rsidR="0082319B" w:rsidRPr="002868AD" w:rsidRDefault="0082319B" w:rsidP="00451110">
      <w:pPr>
        <w:pStyle w:val="corte4fondo"/>
        <w:spacing w:line="276" w:lineRule="auto"/>
        <w:rPr>
          <w:rFonts w:cs="Arial"/>
          <w:b/>
          <w:color w:val="2E74B5" w:themeColor="accent1" w:themeShade="BF"/>
          <w:sz w:val="24"/>
          <w:szCs w:val="24"/>
        </w:rPr>
      </w:pPr>
    </w:p>
    <w:p w:rsidR="0082319B" w:rsidRPr="002868AD" w:rsidRDefault="0082319B" w:rsidP="00451110">
      <w:pPr>
        <w:pStyle w:val="corte4fondo"/>
        <w:spacing w:line="276" w:lineRule="auto"/>
        <w:rPr>
          <w:rFonts w:cs="Arial"/>
          <w:color w:val="2E74B5" w:themeColor="accent1" w:themeShade="BF"/>
          <w:sz w:val="24"/>
          <w:szCs w:val="24"/>
        </w:rPr>
      </w:pPr>
      <w:r w:rsidRPr="002868AD">
        <w:rPr>
          <w:rFonts w:cs="Arial"/>
          <w:b/>
          <w:color w:val="2E74B5" w:themeColor="accent1" w:themeShade="BF"/>
          <w:sz w:val="24"/>
          <w:szCs w:val="24"/>
        </w:rPr>
        <w:t xml:space="preserve">PRIMERO. Competencia. </w:t>
      </w:r>
      <w:r w:rsidRPr="002868AD">
        <w:rPr>
          <w:rFonts w:cs="Arial"/>
          <w:color w:val="2E74B5" w:themeColor="accent1" w:themeShade="BF"/>
          <w:sz w:val="24"/>
          <w:szCs w:val="24"/>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82319B" w:rsidRPr="002868AD" w:rsidRDefault="0082319B" w:rsidP="00451110">
      <w:pPr>
        <w:pStyle w:val="corte4fondo"/>
        <w:spacing w:line="276" w:lineRule="auto"/>
        <w:rPr>
          <w:rFonts w:cs="Arial"/>
          <w:color w:val="2E74B5" w:themeColor="accent1" w:themeShade="BF"/>
          <w:sz w:val="24"/>
          <w:szCs w:val="24"/>
        </w:rPr>
      </w:pPr>
    </w:p>
    <w:p w:rsidR="0082319B" w:rsidRPr="002868AD" w:rsidRDefault="0082319B" w:rsidP="00451110">
      <w:pPr>
        <w:pStyle w:val="corte4fondo"/>
        <w:spacing w:line="276" w:lineRule="auto"/>
        <w:rPr>
          <w:rFonts w:cs="Arial"/>
          <w:color w:val="2E74B5" w:themeColor="accent1" w:themeShade="BF"/>
          <w:sz w:val="24"/>
          <w:szCs w:val="24"/>
        </w:rPr>
      </w:pPr>
      <w:r w:rsidRPr="002868AD">
        <w:rPr>
          <w:rFonts w:cs="Arial"/>
          <w:b/>
          <w:color w:val="2E74B5" w:themeColor="accent1" w:themeShade="BF"/>
          <w:sz w:val="24"/>
          <w:szCs w:val="24"/>
        </w:rPr>
        <w:t xml:space="preserve">SEGUNDO. Procedencia. </w:t>
      </w:r>
      <w:r w:rsidRPr="002868AD">
        <w:rPr>
          <w:rFonts w:cs="Arial"/>
          <w:color w:val="2E74B5" w:themeColor="accent1" w:themeShade="BF"/>
          <w:sz w:val="24"/>
          <w:szCs w:val="24"/>
        </w:rPr>
        <w:t xml:space="preserve">El presente recurso de revisión es procedente en términos del artículo 166 de la Ley de Transparencia y Acceso a la Información Pública del Estado ya que el recurrente se inconforma por la respuesta a su solicitud de acceso a la información pública. </w:t>
      </w:r>
    </w:p>
    <w:p w:rsidR="0082319B" w:rsidRPr="002868AD" w:rsidRDefault="0082319B" w:rsidP="00451110">
      <w:pPr>
        <w:pStyle w:val="corte4fondo"/>
        <w:spacing w:line="276" w:lineRule="auto"/>
        <w:rPr>
          <w:rFonts w:cs="Arial"/>
          <w:color w:val="2E74B5" w:themeColor="accent1" w:themeShade="BF"/>
          <w:sz w:val="24"/>
          <w:szCs w:val="24"/>
        </w:rPr>
      </w:pPr>
    </w:p>
    <w:p w:rsidR="0082319B" w:rsidRPr="002868AD" w:rsidRDefault="0082319B" w:rsidP="00451110">
      <w:pPr>
        <w:pStyle w:val="corte4fondo"/>
        <w:spacing w:line="276" w:lineRule="auto"/>
        <w:rPr>
          <w:rFonts w:cs="Arial"/>
          <w:color w:val="2E74B5" w:themeColor="accent1" w:themeShade="BF"/>
          <w:sz w:val="24"/>
          <w:szCs w:val="24"/>
        </w:rPr>
      </w:pPr>
      <w:r w:rsidRPr="002868AD">
        <w:rPr>
          <w:rFonts w:cs="Arial"/>
          <w:b/>
          <w:color w:val="2E74B5" w:themeColor="accent1" w:themeShade="BF"/>
          <w:sz w:val="24"/>
          <w:szCs w:val="24"/>
        </w:rPr>
        <w:t>TERCERO. Oportunidad del recurso</w:t>
      </w:r>
      <w:r w:rsidRPr="002868AD">
        <w:rPr>
          <w:rFonts w:cs="Arial"/>
          <w:color w:val="2E74B5" w:themeColor="accent1" w:themeShade="BF"/>
          <w:sz w:val="24"/>
          <w:szCs w:val="24"/>
        </w:rPr>
        <w:t>.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82319B" w:rsidRPr="002868AD" w:rsidRDefault="0082319B" w:rsidP="00451110">
      <w:pPr>
        <w:pStyle w:val="corte4fondo"/>
        <w:spacing w:line="276" w:lineRule="auto"/>
        <w:rPr>
          <w:rFonts w:cs="Arial"/>
          <w:color w:val="2E74B5" w:themeColor="accent1" w:themeShade="BF"/>
          <w:sz w:val="24"/>
          <w:szCs w:val="24"/>
        </w:rPr>
      </w:pPr>
    </w:p>
    <w:p w:rsidR="0082319B" w:rsidRPr="00826230" w:rsidRDefault="0082319B" w:rsidP="00451110">
      <w:pPr>
        <w:pStyle w:val="corte4fondo"/>
        <w:numPr>
          <w:ilvl w:val="0"/>
          <w:numId w:val="4"/>
        </w:numPr>
        <w:spacing w:line="276" w:lineRule="auto"/>
        <w:rPr>
          <w:rFonts w:cs="Arial"/>
          <w:color w:val="2E74B5" w:themeColor="accent1" w:themeShade="BF"/>
          <w:sz w:val="24"/>
          <w:szCs w:val="24"/>
        </w:rPr>
      </w:pPr>
      <w:r w:rsidRPr="00826230">
        <w:rPr>
          <w:rFonts w:cs="Arial"/>
          <w:color w:val="2E74B5" w:themeColor="accent1" w:themeShade="BF"/>
          <w:sz w:val="24"/>
          <w:szCs w:val="24"/>
        </w:rPr>
        <w:t xml:space="preserve">El </w:t>
      </w:r>
      <w:r w:rsidR="00B25C3D" w:rsidRPr="00826230">
        <w:rPr>
          <w:rFonts w:cs="Arial"/>
          <w:color w:val="2E74B5" w:themeColor="accent1" w:themeShade="BF"/>
          <w:sz w:val="24"/>
          <w:szCs w:val="24"/>
        </w:rPr>
        <w:t xml:space="preserve">15 quince de marzo </w:t>
      </w:r>
      <w:r w:rsidR="001B3F59" w:rsidRPr="00826230">
        <w:rPr>
          <w:rFonts w:cs="Arial"/>
          <w:color w:val="2E74B5" w:themeColor="accent1" w:themeShade="BF"/>
          <w:sz w:val="24"/>
          <w:szCs w:val="24"/>
        </w:rPr>
        <w:t>de 2019 dos mil diecinueve</w:t>
      </w:r>
      <w:r w:rsidRPr="00826230">
        <w:rPr>
          <w:rFonts w:cs="Arial"/>
          <w:color w:val="2E74B5" w:themeColor="accent1" w:themeShade="BF"/>
          <w:sz w:val="24"/>
          <w:szCs w:val="24"/>
        </w:rPr>
        <w:t xml:space="preserve"> el solicitante de la información fue notificado de la respuesta a su solicitud.</w:t>
      </w:r>
    </w:p>
    <w:p w:rsidR="0082319B" w:rsidRPr="00826230" w:rsidRDefault="0082319B" w:rsidP="00451110">
      <w:pPr>
        <w:pStyle w:val="corte4fondo"/>
        <w:numPr>
          <w:ilvl w:val="0"/>
          <w:numId w:val="4"/>
        </w:numPr>
        <w:spacing w:line="276" w:lineRule="auto"/>
        <w:rPr>
          <w:rFonts w:cs="Arial"/>
          <w:color w:val="2E74B5" w:themeColor="accent1" w:themeShade="BF"/>
          <w:sz w:val="24"/>
          <w:szCs w:val="24"/>
        </w:rPr>
      </w:pPr>
      <w:r w:rsidRPr="00826230">
        <w:rPr>
          <w:rFonts w:cs="Arial"/>
          <w:color w:val="2E74B5" w:themeColor="accent1" w:themeShade="BF"/>
          <w:sz w:val="24"/>
          <w:szCs w:val="24"/>
        </w:rPr>
        <w:lastRenderedPageBreak/>
        <w:t xml:space="preserve">Por lo tanto, el plazo de los quince días hábiles para interponer el recurso de revisión transcurrió del día </w:t>
      </w:r>
      <w:r w:rsidR="001B3F59" w:rsidRPr="00826230">
        <w:rPr>
          <w:rFonts w:cs="Arial"/>
          <w:color w:val="2E74B5" w:themeColor="accent1" w:themeShade="BF"/>
          <w:sz w:val="24"/>
          <w:szCs w:val="24"/>
        </w:rPr>
        <w:t>19 diecinueve</w:t>
      </w:r>
      <w:r w:rsidR="00294961" w:rsidRPr="00826230">
        <w:rPr>
          <w:rFonts w:cs="Arial"/>
          <w:color w:val="2E74B5" w:themeColor="accent1" w:themeShade="BF"/>
          <w:sz w:val="24"/>
          <w:szCs w:val="24"/>
        </w:rPr>
        <w:t xml:space="preserve"> </w:t>
      </w:r>
      <w:r w:rsidR="001B3F59" w:rsidRPr="00826230">
        <w:rPr>
          <w:rFonts w:cs="Arial"/>
          <w:color w:val="2E74B5" w:themeColor="accent1" w:themeShade="BF"/>
          <w:sz w:val="24"/>
          <w:szCs w:val="24"/>
        </w:rPr>
        <w:t xml:space="preserve">de </w:t>
      </w:r>
      <w:r w:rsidR="00B25C3D" w:rsidRPr="00826230">
        <w:rPr>
          <w:rFonts w:cs="Arial"/>
          <w:color w:val="2E74B5" w:themeColor="accent1" w:themeShade="BF"/>
          <w:sz w:val="24"/>
          <w:szCs w:val="24"/>
        </w:rPr>
        <w:t>marzo</w:t>
      </w:r>
      <w:r w:rsidR="001B3F59" w:rsidRPr="00826230">
        <w:rPr>
          <w:rFonts w:cs="Arial"/>
          <w:color w:val="2E74B5" w:themeColor="accent1" w:themeShade="BF"/>
          <w:sz w:val="24"/>
          <w:szCs w:val="24"/>
        </w:rPr>
        <w:t xml:space="preserve"> </w:t>
      </w:r>
      <w:r w:rsidRPr="00826230">
        <w:rPr>
          <w:rFonts w:cs="Arial"/>
          <w:color w:val="2E74B5" w:themeColor="accent1" w:themeShade="BF"/>
          <w:sz w:val="24"/>
          <w:szCs w:val="24"/>
        </w:rPr>
        <w:t xml:space="preserve">al </w:t>
      </w:r>
      <w:r w:rsidR="00B25C3D" w:rsidRPr="00826230">
        <w:rPr>
          <w:rFonts w:cs="Arial"/>
          <w:color w:val="2E74B5" w:themeColor="accent1" w:themeShade="BF"/>
          <w:sz w:val="24"/>
          <w:szCs w:val="24"/>
        </w:rPr>
        <w:t xml:space="preserve">08 ocho de abril </w:t>
      </w:r>
      <w:r w:rsidR="001B3F59" w:rsidRPr="00826230">
        <w:rPr>
          <w:rFonts w:cs="Arial"/>
          <w:color w:val="2E74B5" w:themeColor="accent1" w:themeShade="BF"/>
          <w:sz w:val="24"/>
          <w:szCs w:val="24"/>
        </w:rPr>
        <w:t>de 2019 dos mil diecinueve</w:t>
      </w:r>
      <w:r w:rsidRPr="00826230">
        <w:rPr>
          <w:rFonts w:cs="Arial"/>
          <w:color w:val="2E74B5" w:themeColor="accent1" w:themeShade="BF"/>
          <w:sz w:val="24"/>
          <w:szCs w:val="24"/>
        </w:rPr>
        <w:t xml:space="preserve">. </w:t>
      </w:r>
    </w:p>
    <w:p w:rsidR="0082319B" w:rsidRPr="00826230" w:rsidRDefault="0082319B" w:rsidP="00451110">
      <w:pPr>
        <w:pStyle w:val="corte4fondo"/>
        <w:numPr>
          <w:ilvl w:val="0"/>
          <w:numId w:val="4"/>
        </w:numPr>
        <w:spacing w:line="276" w:lineRule="auto"/>
        <w:rPr>
          <w:rFonts w:cs="Arial"/>
          <w:color w:val="2E74B5" w:themeColor="accent1" w:themeShade="BF"/>
          <w:sz w:val="24"/>
          <w:szCs w:val="24"/>
        </w:rPr>
      </w:pPr>
      <w:r w:rsidRPr="00826230">
        <w:rPr>
          <w:rFonts w:cs="Arial"/>
          <w:color w:val="2E74B5" w:themeColor="accent1" w:themeShade="BF"/>
          <w:sz w:val="24"/>
          <w:szCs w:val="24"/>
        </w:rPr>
        <w:t>Se deben de descontar de dicho cómputo por ser inhábiles los días</w:t>
      </w:r>
      <w:r w:rsidR="00D3573E" w:rsidRPr="00826230">
        <w:rPr>
          <w:rFonts w:cs="Arial"/>
          <w:color w:val="2E74B5" w:themeColor="accent1" w:themeShade="BF"/>
          <w:sz w:val="24"/>
          <w:szCs w:val="24"/>
        </w:rPr>
        <w:t xml:space="preserve">  23 veintitrés, 24 veinticuatro, 30 treinta y 31 treinta y uno de marzo, 06 seis y 07 siete de abril </w:t>
      </w:r>
      <w:r w:rsidR="001F035C" w:rsidRPr="00826230">
        <w:rPr>
          <w:rFonts w:cs="Arial"/>
          <w:color w:val="2E74B5" w:themeColor="accent1" w:themeShade="BF"/>
          <w:sz w:val="24"/>
          <w:szCs w:val="24"/>
        </w:rPr>
        <w:t>del referido año</w:t>
      </w:r>
      <w:r w:rsidRPr="00826230">
        <w:rPr>
          <w:rFonts w:cs="Arial"/>
          <w:color w:val="2E74B5" w:themeColor="accent1" w:themeShade="BF"/>
          <w:sz w:val="24"/>
          <w:szCs w:val="24"/>
        </w:rPr>
        <w:t>.</w:t>
      </w:r>
    </w:p>
    <w:p w:rsidR="0082319B" w:rsidRPr="00826230" w:rsidRDefault="0082319B" w:rsidP="00451110">
      <w:pPr>
        <w:pStyle w:val="corte4fondo"/>
        <w:numPr>
          <w:ilvl w:val="0"/>
          <w:numId w:val="4"/>
        </w:numPr>
        <w:spacing w:line="276" w:lineRule="auto"/>
        <w:rPr>
          <w:rFonts w:cs="Arial"/>
          <w:color w:val="2E74B5" w:themeColor="accent1" w:themeShade="BF"/>
          <w:sz w:val="24"/>
          <w:szCs w:val="24"/>
        </w:rPr>
      </w:pPr>
      <w:r w:rsidRPr="00826230">
        <w:rPr>
          <w:rFonts w:cs="Arial"/>
          <w:color w:val="2E74B5" w:themeColor="accent1" w:themeShade="BF"/>
          <w:sz w:val="24"/>
          <w:szCs w:val="24"/>
        </w:rPr>
        <w:t xml:space="preserve">Consecuentemente si el </w:t>
      </w:r>
      <w:r w:rsidR="00D3573E" w:rsidRPr="00826230">
        <w:rPr>
          <w:rFonts w:cs="Arial"/>
          <w:color w:val="2E74B5" w:themeColor="accent1" w:themeShade="BF"/>
          <w:sz w:val="24"/>
          <w:szCs w:val="24"/>
        </w:rPr>
        <w:t xml:space="preserve">08 ocho de abril de 2019 dos mil diecinueve </w:t>
      </w:r>
      <w:r w:rsidRPr="00826230">
        <w:rPr>
          <w:rFonts w:cs="Arial"/>
          <w:color w:val="2E74B5" w:themeColor="accent1" w:themeShade="BF"/>
          <w:sz w:val="24"/>
          <w:szCs w:val="24"/>
        </w:rPr>
        <w:t xml:space="preserve">el recurrente interpuso el citado medio de impugnación ante esta Comisión de Transparencia, resulta claro que es oportuna su </w:t>
      </w:r>
      <w:bookmarkStart w:id="0" w:name="_GoBack"/>
      <w:bookmarkEnd w:id="0"/>
      <w:r w:rsidRPr="00826230">
        <w:rPr>
          <w:rFonts w:cs="Arial"/>
          <w:color w:val="2E74B5" w:themeColor="accent1" w:themeShade="BF"/>
          <w:sz w:val="24"/>
          <w:szCs w:val="24"/>
        </w:rPr>
        <w:t xml:space="preserve">presentación.   </w:t>
      </w:r>
      <w:r w:rsidR="00220BB0" w:rsidRPr="00826230">
        <w:rPr>
          <w:rFonts w:cs="Arial"/>
          <w:color w:val="2E74B5" w:themeColor="accent1" w:themeShade="BF"/>
          <w:sz w:val="24"/>
          <w:szCs w:val="24"/>
        </w:rPr>
        <w:t xml:space="preserve">  </w:t>
      </w:r>
    </w:p>
    <w:p w:rsidR="0082319B" w:rsidRPr="002868AD" w:rsidRDefault="0082319B" w:rsidP="00451110">
      <w:pPr>
        <w:pStyle w:val="corte4fondo"/>
        <w:spacing w:line="276" w:lineRule="auto"/>
        <w:ind w:left="1429" w:firstLine="0"/>
        <w:rPr>
          <w:rFonts w:cs="Arial"/>
          <w:color w:val="2E74B5" w:themeColor="accent1" w:themeShade="BF"/>
          <w:sz w:val="24"/>
          <w:szCs w:val="24"/>
        </w:rPr>
      </w:pPr>
    </w:p>
    <w:p w:rsidR="0082319B" w:rsidRPr="002868AD" w:rsidRDefault="0082319B" w:rsidP="00451110">
      <w:pPr>
        <w:pStyle w:val="corte4fondo"/>
        <w:spacing w:line="276" w:lineRule="auto"/>
        <w:ind w:firstLine="708"/>
        <w:rPr>
          <w:rFonts w:cs="Arial"/>
          <w:color w:val="2E74B5" w:themeColor="accent1" w:themeShade="BF"/>
          <w:sz w:val="24"/>
          <w:szCs w:val="24"/>
        </w:rPr>
      </w:pPr>
      <w:r w:rsidRPr="002868AD">
        <w:rPr>
          <w:rFonts w:cs="Arial"/>
          <w:b/>
          <w:color w:val="2E74B5" w:themeColor="accent1" w:themeShade="BF"/>
          <w:sz w:val="24"/>
          <w:szCs w:val="24"/>
        </w:rPr>
        <w:t>CUARTO. Certeza del acto reclamado</w:t>
      </w:r>
      <w:r w:rsidRPr="002868AD">
        <w:rPr>
          <w:rFonts w:cs="Arial"/>
          <w:color w:val="2E74B5" w:themeColor="accent1" w:themeShade="BF"/>
          <w:sz w:val="24"/>
          <w:szCs w:val="24"/>
        </w:rPr>
        <w:t xml:space="preserve">. Son ciertos los actos reclamados </w:t>
      </w:r>
      <w:r w:rsidR="005860EA" w:rsidRPr="002868AD">
        <w:rPr>
          <w:rFonts w:cs="Arial"/>
          <w:color w:val="2E74B5" w:themeColor="accent1" w:themeShade="BF"/>
          <w:sz w:val="24"/>
          <w:szCs w:val="24"/>
        </w:rPr>
        <w:t>atribuidos a</w:t>
      </w:r>
      <w:r w:rsidR="00220BB0" w:rsidRPr="002868AD">
        <w:rPr>
          <w:rFonts w:cs="Arial"/>
          <w:color w:val="2E74B5" w:themeColor="accent1" w:themeShade="BF"/>
          <w:sz w:val="24"/>
          <w:szCs w:val="24"/>
        </w:rPr>
        <w:t xml:space="preserve"> </w:t>
      </w:r>
      <w:r w:rsidR="005860EA" w:rsidRPr="002868AD">
        <w:rPr>
          <w:rFonts w:cs="Arial"/>
          <w:color w:val="2E74B5" w:themeColor="accent1" w:themeShade="BF"/>
          <w:sz w:val="24"/>
          <w:szCs w:val="24"/>
        </w:rPr>
        <w:t>l</w:t>
      </w:r>
      <w:r w:rsidR="00220BB0" w:rsidRPr="002868AD">
        <w:rPr>
          <w:rFonts w:cs="Arial"/>
          <w:color w:val="2E74B5" w:themeColor="accent1" w:themeShade="BF"/>
          <w:sz w:val="24"/>
          <w:szCs w:val="24"/>
        </w:rPr>
        <w:t>os</w:t>
      </w:r>
      <w:r w:rsidRPr="002868AD">
        <w:rPr>
          <w:rFonts w:cs="Arial"/>
          <w:color w:val="2E74B5" w:themeColor="accent1" w:themeShade="BF"/>
          <w:sz w:val="24"/>
          <w:szCs w:val="24"/>
        </w:rPr>
        <w:t xml:space="preserve"> sujeto</w:t>
      </w:r>
      <w:r w:rsidR="00220BB0" w:rsidRPr="002868AD">
        <w:rPr>
          <w:rFonts w:cs="Arial"/>
          <w:color w:val="2E74B5" w:themeColor="accent1" w:themeShade="BF"/>
          <w:sz w:val="24"/>
          <w:szCs w:val="24"/>
        </w:rPr>
        <w:t>s</w:t>
      </w:r>
      <w:r w:rsidRPr="002868AD">
        <w:rPr>
          <w:rFonts w:cs="Arial"/>
          <w:color w:val="2E74B5" w:themeColor="accent1" w:themeShade="BF"/>
          <w:sz w:val="24"/>
          <w:szCs w:val="24"/>
        </w:rPr>
        <w:t xml:space="preserve"> obligado</w:t>
      </w:r>
      <w:r w:rsidR="00220BB0" w:rsidRPr="002868AD">
        <w:rPr>
          <w:rFonts w:cs="Arial"/>
          <w:color w:val="2E74B5" w:themeColor="accent1" w:themeShade="BF"/>
          <w:sz w:val="24"/>
          <w:szCs w:val="24"/>
        </w:rPr>
        <w:t>s</w:t>
      </w:r>
      <w:r w:rsidRPr="002868AD">
        <w:rPr>
          <w:rFonts w:cs="Arial"/>
          <w:color w:val="2E74B5" w:themeColor="accent1" w:themeShade="BF"/>
          <w:sz w:val="24"/>
          <w:szCs w:val="24"/>
        </w:rPr>
        <w:t>, puesto que así lo reconoci</w:t>
      </w:r>
      <w:r w:rsidR="00220BB0" w:rsidRPr="002868AD">
        <w:rPr>
          <w:rFonts w:cs="Arial"/>
          <w:color w:val="2E74B5" w:themeColor="accent1" w:themeShade="BF"/>
          <w:sz w:val="24"/>
          <w:szCs w:val="24"/>
        </w:rPr>
        <w:t>eron</w:t>
      </w:r>
      <w:r w:rsidRPr="002868AD">
        <w:rPr>
          <w:rFonts w:cs="Arial"/>
          <w:color w:val="2E74B5" w:themeColor="accent1" w:themeShade="BF"/>
          <w:sz w:val="24"/>
          <w:szCs w:val="24"/>
        </w:rPr>
        <w:t xml:space="preserve"> la</w:t>
      </w:r>
      <w:r w:rsidR="00220BB0" w:rsidRPr="002868AD">
        <w:rPr>
          <w:rFonts w:cs="Arial"/>
          <w:color w:val="2E74B5" w:themeColor="accent1" w:themeShade="BF"/>
          <w:sz w:val="24"/>
          <w:szCs w:val="24"/>
        </w:rPr>
        <w:t>s</w:t>
      </w:r>
      <w:r w:rsidRPr="002868AD">
        <w:rPr>
          <w:rFonts w:cs="Arial"/>
          <w:color w:val="2E74B5" w:themeColor="accent1" w:themeShade="BF"/>
          <w:sz w:val="24"/>
          <w:szCs w:val="24"/>
        </w:rPr>
        <w:t xml:space="preserve"> autoridad</w:t>
      </w:r>
      <w:r w:rsidR="00220BB0" w:rsidRPr="002868AD">
        <w:rPr>
          <w:rFonts w:cs="Arial"/>
          <w:color w:val="2E74B5" w:themeColor="accent1" w:themeShade="BF"/>
          <w:sz w:val="24"/>
          <w:szCs w:val="24"/>
        </w:rPr>
        <w:t>es</w:t>
      </w:r>
      <w:r w:rsidRPr="002868AD">
        <w:rPr>
          <w:rFonts w:cs="Arial"/>
          <w:color w:val="2E74B5" w:themeColor="accent1" w:themeShade="BF"/>
          <w:sz w:val="24"/>
          <w:szCs w:val="24"/>
        </w:rPr>
        <w:t xml:space="preserve"> mencionada</w:t>
      </w:r>
      <w:r w:rsidR="00220BB0" w:rsidRPr="002868AD">
        <w:rPr>
          <w:rFonts w:cs="Arial"/>
          <w:color w:val="2E74B5" w:themeColor="accent1" w:themeShade="BF"/>
          <w:sz w:val="24"/>
          <w:szCs w:val="24"/>
        </w:rPr>
        <w:t>s</w:t>
      </w:r>
      <w:r w:rsidRPr="002868AD">
        <w:rPr>
          <w:rFonts w:cs="Arial"/>
          <w:color w:val="2E74B5" w:themeColor="accent1" w:themeShade="BF"/>
          <w:sz w:val="24"/>
          <w:szCs w:val="24"/>
        </w:rPr>
        <w:t xml:space="preserve"> al momento de rendir su informe. </w:t>
      </w:r>
    </w:p>
    <w:p w:rsidR="0082319B" w:rsidRPr="00F04FE3" w:rsidRDefault="0082319B" w:rsidP="00451110">
      <w:pPr>
        <w:pStyle w:val="corte4fondo"/>
        <w:spacing w:line="276" w:lineRule="auto"/>
        <w:ind w:firstLine="708"/>
        <w:rPr>
          <w:rFonts w:cs="Arial"/>
          <w:b/>
          <w:color w:val="2E74B5" w:themeColor="accent1" w:themeShade="BF"/>
          <w:sz w:val="24"/>
          <w:szCs w:val="24"/>
        </w:rPr>
      </w:pPr>
    </w:p>
    <w:p w:rsidR="00F04FE3" w:rsidRPr="00F04FE3" w:rsidRDefault="00F04FE3" w:rsidP="00F04FE3">
      <w:pPr>
        <w:pStyle w:val="corte4fondo"/>
        <w:spacing w:line="240" w:lineRule="auto"/>
        <w:ind w:firstLine="708"/>
        <w:rPr>
          <w:rFonts w:cs="Arial"/>
          <w:color w:val="2E74B5" w:themeColor="accent1" w:themeShade="BF"/>
          <w:sz w:val="24"/>
          <w:szCs w:val="24"/>
        </w:rPr>
      </w:pPr>
      <w:r w:rsidRPr="00F04FE3">
        <w:rPr>
          <w:rFonts w:cs="Arial"/>
          <w:b/>
          <w:color w:val="2E74B5" w:themeColor="accent1" w:themeShade="BF"/>
          <w:sz w:val="24"/>
          <w:szCs w:val="24"/>
        </w:rPr>
        <w:t>QUINTO. Causales de improcedencia.</w:t>
      </w:r>
      <w:r w:rsidRPr="00F04FE3">
        <w:rPr>
          <w:rFonts w:cs="Arial"/>
          <w:color w:val="2E74B5" w:themeColor="accent1" w:themeShade="BF"/>
          <w:sz w:val="24"/>
          <w:szCs w:val="24"/>
        </w:rPr>
        <w:t xml:space="preserve"> Las causales de improcedencia</w:t>
      </w:r>
    </w:p>
    <w:p w:rsidR="00F04FE3" w:rsidRDefault="00F04FE3" w:rsidP="00F04FE3">
      <w:pPr>
        <w:pStyle w:val="corte4fondo"/>
        <w:spacing w:line="240" w:lineRule="auto"/>
        <w:ind w:firstLine="0"/>
        <w:rPr>
          <w:rFonts w:cs="Arial"/>
          <w:color w:val="2E74B5" w:themeColor="accent1" w:themeShade="BF"/>
          <w:sz w:val="24"/>
          <w:szCs w:val="24"/>
        </w:rPr>
      </w:pPr>
      <w:r w:rsidRPr="00F04FE3">
        <w:rPr>
          <w:rFonts w:cs="Arial"/>
          <w:color w:val="2E74B5" w:themeColor="accent1" w:themeShade="BF"/>
          <w:sz w:val="24"/>
          <w:szCs w:val="24"/>
        </w:rPr>
        <w:t>previstas en el artículo 179 de la Ley de Transparencia son de estudio oficioso y</w:t>
      </w:r>
      <w:r>
        <w:rPr>
          <w:rFonts w:cs="Arial"/>
          <w:color w:val="2E74B5" w:themeColor="accent1" w:themeShade="BF"/>
          <w:sz w:val="24"/>
          <w:szCs w:val="24"/>
        </w:rPr>
        <w:t xml:space="preserve"> </w:t>
      </w:r>
      <w:r w:rsidRPr="00F04FE3">
        <w:rPr>
          <w:rFonts w:cs="Arial"/>
          <w:color w:val="2E74B5" w:themeColor="accent1" w:themeShade="BF"/>
          <w:sz w:val="24"/>
          <w:szCs w:val="24"/>
        </w:rPr>
        <w:t>preferente a cualquier otra cuestión planteada, por lo tanto, al no haber causal de</w:t>
      </w:r>
      <w:r>
        <w:rPr>
          <w:rFonts w:cs="Arial"/>
          <w:color w:val="2E74B5" w:themeColor="accent1" w:themeShade="BF"/>
          <w:sz w:val="24"/>
          <w:szCs w:val="24"/>
        </w:rPr>
        <w:t xml:space="preserve"> </w:t>
      </w:r>
      <w:r w:rsidRPr="00F04FE3">
        <w:rPr>
          <w:rFonts w:cs="Arial"/>
          <w:color w:val="2E74B5" w:themeColor="accent1" w:themeShade="BF"/>
          <w:sz w:val="24"/>
          <w:szCs w:val="24"/>
        </w:rPr>
        <w:t>improcedencia invocada por las partes o advertida por este Órgano Colegiado, se</w:t>
      </w:r>
      <w:r>
        <w:rPr>
          <w:rFonts w:cs="Arial"/>
          <w:color w:val="2E74B5" w:themeColor="accent1" w:themeShade="BF"/>
          <w:sz w:val="24"/>
          <w:szCs w:val="24"/>
        </w:rPr>
        <w:t xml:space="preserve"> </w:t>
      </w:r>
      <w:r w:rsidRPr="00F04FE3">
        <w:rPr>
          <w:rFonts w:cs="Arial"/>
          <w:color w:val="2E74B5" w:themeColor="accent1" w:themeShade="BF"/>
          <w:sz w:val="24"/>
          <w:szCs w:val="24"/>
        </w:rPr>
        <w:t>analiza el fondo de la cuestión planteada.</w:t>
      </w:r>
    </w:p>
    <w:p w:rsidR="00F04FE3" w:rsidRDefault="00F04FE3" w:rsidP="00451110">
      <w:pPr>
        <w:pStyle w:val="corte4fondo"/>
        <w:spacing w:line="276" w:lineRule="auto"/>
        <w:ind w:firstLine="708"/>
        <w:rPr>
          <w:rFonts w:cs="Arial"/>
          <w:color w:val="2E74B5" w:themeColor="accent1" w:themeShade="BF"/>
          <w:sz w:val="24"/>
          <w:szCs w:val="24"/>
        </w:rPr>
      </w:pPr>
    </w:p>
    <w:p w:rsidR="00F04FE3" w:rsidRPr="002868AD" w:rsidRDefault="00F04FE3" w:rsidP="00451110">
      <w:pPr>
        <w:pStyle w:val="corte4fondo"/>
        <w:spacing w:line="276" w:lineRule="auto"/>
        <w:ind w:firstLine="708"/>
        <w:rPr>
          <w:rFonts w:cs="Arial"/>
          <w:color w:val="2E74B5" w:themeColor="accent1" w:themeShade="BF"/>
          <w:sz w:val="24"/>
          <w:szCs w:val="24"/>
        </w:rPr>
      </w:pPr>
    </w:p>
    <w:p w:rsidR="0082319B" w:rsidRPr="002868AD" w:rsidRDefault="0082319B" w:rsidP="00451110">
      <w:pPr>
        <w:spacing w:after="0"/>
        <w:jc w:val="both"/>
        <w:rPr>
          <w:rFonts w:ascii="Arial" w:hAnsi="Arial" w:cs="Arial"/>
          <w:color w:val="2E74B5" w:themeColor="accent1" w:themeShade="BF"/>
          <w:sz w:val="24"/>
          <w:szCs w:val="24"/>
        </w:rPr>
      </w:pPr>
      <w:r w:rsidRPr="002868AD">
        <w:rPr>
          <w:rFonts w:ascii="Arial" w:hAnsi="Arial" w:cs="Arial"/>
          <w:color w:val="2E74B5" w:themeColor="accent1" w:themeShade="BF"/>
          <w:sz w:val="24"/>
          <w:szCs w:val="24"/>
        </w:rPr>
        <w:tab/>
      </w:r>
      <w:r w:rsidR="00F04FE3" w:rsidRPr="00F04FE3">
        <w:rPr>
          <w:rFonts w:ascii="Arial" w:hAnsi="Arial" w:cs="Arial"/>
          <w:b/>
          <w:color w:val="2E74B5" w:themeColor="accent1" w:themeShade="BF"/>
          <w:sz w:val="24"/>
          <w:szCs w:val="24"/>
        </w:rPr>
        <w:t>SEXTO</w:t>
      </w:r>
      <w:r w:rsidRPr="00F04FE3">
        <w:rPr>
          <w:rFonts w:ascii="Arial" w:hAnsi="Arial" w:cs="Arial"/>
          <w:b/>
          <w:color w:val="2E74B5" w:themeColor="accent1" w:themeShade="BF"/>
          <w:sz w:val="24"/>
          <w:szCs w:val="24"/>
        </w:rPr>
        <w:t>. Estudio de los agravios</w:t>
      </w:r>
      <w:r w:rsidRPr="00F04FE3">
        <w:rPr>
          <w:rFonts w:ascii="Arial" w:hAnsi="Arial" w:cs="Arial"/>
          <w:color w:val="2E74B5" w:themeColor="accent1" w:themeShade="BF"/>
          <w:sz w:val="24"/>
          <w:szCs w:val="24"/>
        </w:rPr>
        <w:t>.</w:t>
      </w:r>
      <w:r w:rsidRPr="002868AD">
        <w:rPr>
          <w:rFonts w:ascii="Arial" w:hAnsi="Arial" w:cs="Arial"/>
          <w:color w:val="2E74B5" w:themeColor="accent1" w:themeShade="BF"/>
          <w:sz w:val="24"/>
          <w:szCs w:val="24"/>
        </w:rPr>
        <w:t xml:space="preserve">  </w:t>
      </w:r>
    </w:p>
    <w:p w:rsidR="0082319B" w:rsidRPr="002868AD" w:rsidRDefault="0082319B" w:rsidP="00451110">
      <w:pPr>
        <w:pStyle w:val="corte4fondo"/>
        <w:spacing w:line="276" w:lineRule="auto"/>
        <w:rPr>
          <w:rFonts w:cs="Arial"/>
          <w:color w:val="2E74B5" w:themeColor="accent1" w:themeShade="BF"/>
          <w:sz w:val="24"/>
          <w:szCs w:val="24"/>
        </w:rPr>
      </w:pPr>
    </w:p>
    <w:p w:rsidR="0082319B" w:rsidRPr="002868AD" w:rsidRDefault="00F04FE3" w:rsidP="00451110">
      <w:pPr>
        <w:pStyle w:val="corte4fondo"/>
        <w:spacing w:line="276" w:lineRule="auto"/>
        <w:ind w:firstLine="708"/>
        <w:rPr>
          <w:rFonts w:cs="Arial"/>
          <w:color w:val="2E74B5" w:themeColor="accent1" w:themeShade="BF"/>
          <w:sz w:val="24"/>
          <w:szCs w:val="24"/>
        </w:rPr>
      </w:pPr>
      <w:r>
        <w:rPr>
          <w:rFonts w:cs="Arial"/>
          <w:b/>
          <w:color w:val="2E74B5" w:themeColor="accent1" w:themeShade="BF"/>
          <w:sz w:val="24"/>
          <w:szCs w:val="24"/>
        </w:rPr>
        <w:t>6</w:t>
      </w:r>
      <w:r w:rsidR="0082319B" w:rsidRPr="002868AD">
        <w:rPr>
          <w:rFonts w:cs="Arial"/>
          <w:b/>
          <w:color w:val="2E74B5" w:themeColor="accent1" w:themeShade="BF"/>
          <w:sz w:val="24"/>
          <w:szCs w:val="24"/>
        </w:rPr>
        <w:t>.1. Agravios.</w:t>
      </w:r>
      <w:r w:rsidR="0082319B" w:rsidRPr="002868AD">
        <w:rPr>
          <w:rFonts w:cs="Arial"/>
          <w:color w:val="2E74B5" w:themeColor="accent1" w:themeShade="BF"/>
          <w:sz w:val="24"/>
          <w:szCs w:val="24"/>
        </w:rPr>
        <w:t xml:space="preserve"> E</w:t>
      </w:r>
      <w:r>
        <w:rPr>
          <w:rFonts w:cs="Arial"/>
          <w:color w:val="2E74B5" w:themeColor="accent1" w:themeShade="BF"/>
          <w:sz w:val="24"/>
          <w:szCs w:val="24"/>
        </w:rPr>
        <w:t>n síntesis e</w:t>
      </w:r>
      <w:r w:rsidR="0082319B" w:rsidRPr="002868AD">
        <w:rPr>
          <w:rFonts w:cs="Arial"/>
          <w:color w:val="2E74B5" w:themeColor="accent1" w:themeShade="BF"/>
          <w:sz w:val="24"/>
          <w:szCs w:val="24"/>
        </w:rPr>
        <w:t>l recurrente expresó como inconformidad:</w:t>
      </w:r>
    </w:p>
    <w:p w:rsidR="0082319B" w:rsidRPr="002868AD" w:rsidRDefault="0082319B" w:rsidP="00451110">
      <w:pPr>
        <w:pStyle w:val="corte4fondo"/>
        <w:spacing w:line="276" w:lineRule="auto"/>
        <w:rPr>
          <w:rFonts w:cs="Arial"/>
          <w:color w:val="2E74B5" w:themeColor="accent1" w:themeShade="BF"/>
          <w:sz w:val="24"/>
          <w:szCs w:val="24"/>
        </w:rPr>
      </w:pPr>
    </w:p>
    <w:p w:rsidR="0079060F" w:rsidRPr="002868AD" w:rsidRDefault="00B3221C" w:rsidP="00206AD3">
      <w:pPr>
        <w:pStyle w:val="corte4fondo"/>
        <w:spacing w:line="276" w:lineRule="auto"/>
        <w:ind w:firstLine="708"/>
        <w:rPr>
          <w:rFonts w:cs="Arial"/>
          <w:i/>
          <w:color w:val="2E74B5" w:themeColor="accent1" w:themeShade="BF"/>
          <w:sz w:val="20"/>
        </w:rPr>
      </w:pPr>
      <w:r>
        <w:rPr>
          <w:rFonts w:cs="Arial"/>
          <w:i/>
          <w:color w:val="2E74B5" w:themeColor="accent1" w:themeShade="BF"/>
          <w:sz w:val="20"/>
        </w:rPr>
        <w:t>“…</w:t>
      </w:r>
      <w:r w:rsidR="003A5E96">
        <w:rPr>
          <w:rFonts w:cs="Arial"/>
          <w:i/>
          <w:color w:val="2E74B5" w:themeColor="accent1" w:themeShade="BF"/>
          <w:sz w:val="20"/>
        </w:rPr>
        <w:t xml:space="preserve">El sujeto obligado en su afán por </w:t>
      </w:r>
      <w:r w:rsidR="008C2614">
        <w:rPr>
          <w:rFonts w:cs="Arial"/>
          <w:i/>
          <w:color w:val="2E74B5" w:themeColor="accent1" w:themeShade="BF"/>
          <w:sz w:val="20"/>
        </w:rPr>
        <w:t>ocultar</w:t>
      </w:r>
      <w:r w:rsidR="003A5E96">
        <w:rPr>
          <w:rFonts w:cs="Arial"/>
          <w:i/>
          <w:color w:val="2E74B5" w:themeColor="accent1" w:themeShade="BF"/>
          <w:sz w:val="20"/>
        </w:rPr>
        <w:t xml:space="preserve"> información sin contar con motivo alguno, emitió </w:t>
      </w:r>
      <w:r w:rsidR="008C2614">
        <w:rPr>
          <w:rFonts w:cs="Arial"/>
          <w:i/>
          <w:color w:val="2E74B5" w:themeColor="accent1" w:themeShade="BF"/>
          <w:sz w:val="20"/>
        </w:rPr>
        <w:t xml:space="preserve">una respuesta al suscrito carente de razones, circunstancias, motivos y fundamentos con los cuales se pudiera evidenciar la veracidad de sus afirmación, pues si bien es cierto que la ley de la materia, permite a los entes obligados a clasificar determinada información, esto es siempre y cuando exista la prueba de daño a que refiere el artículo 118 y 122 de la ley de la materia, y dicha resolución que emita </w:t>
      </w:r>
      <w:r w:rsidR="003836E6">
        <w:rPr>
          <w:rFonts w:cs="Arial"/>
          <w:i/>
          <w:color w:val="2E74B5" w:themeColor="accent1" w:themeShade="BF"/>
          <w:sz w:val="20"/>
        </w:rPr>
        <w:t>el Comité</w:t>
      </w:r>
      <w:r w:rsidR="008C2614">
        <w:rPr>
          <w:rFonts w:cs="Arial"/>
          <w:i/>
          <w:color w:val="2E74B5" w:themeColor="accent1" w:themeShade="BF"/>
          <w:sz w:val="20"/>
        </w:rPr>
        <w:t xml:space="preserve"> de Transparencia deberá de ser notificada al interesado, misma que en la especie en el presente caso no aconteció, desconociéndose si exista esa supuesta</w:t>
      </w:r>
      <w:r w:rsidR="00206AD3">
        <w:rPr>
          <w:rFonts w:cs="Arial"/>
          <w:i/>
          <w:color w:val="2E74B5" w:themeColor="accent1" w:themeShade="BF"/>
          <w:sz w:val="20"/>
        </w:rPr>
        <w:t xml:space="preserve"> resolución y si bien aconteció, desconociéndose si exista esa supuesta resolución  y si bien de existir, me deja en estado de indefensión al no saber cuáles fueron los argumentos utilizados para clasificar la información como reservada</w:t>
      </w:r>
      <w:r w:rsidR="00220BB0" w:rsidRPr="002868AD">
        <w:rPr>
          <w:rFonts w:cs="Arial"/>
          <w:i/>
          <w:color w:val="2E74B5" w:themeColor="accent1" w:themeShade="BF"/>
          <w:sz w:val="20"/>
        </w:rPr>
        <w:t xml:space="preserve">…”  </w:t>
      </w:r>
    </w:p>
    <w:p w:rsidR="002D31D6" w:rsidRPr="00010565" w:rsidRDefault="002D31D6" w:rsidP="00451110">
      <w:pPr>
        <w:pStyle w:val="corte4fondo"/>
        <w:spacing w:line="276" w:lineRule="auto"/>
        <w:ind w:firstLine="0"/>
        <w:rPr>
          <w:rFonts w:cs="Arial"/>
          <w:i/>
          <w:color w:val="2E74B5" w:themeColor="accent1" w:themeShade="BF"/>
          <w:sz w:val="20"/>
        </w:rPr>
      </w:pPr>
    </w:p>
    <w:p w:rsidR="00010565" w:rsidRPr="00010565" w:rsidRDefault="00010565" w:rsidP="00010565">
      <w:pPr>
        <w:autoSpaceDE w:val="0"/>
        <w:autoSpaceDN w:val="0"/>
        <w:adjustRightInd w:val="0"/>
        <w:ind w:left="-709" w:firstLine="708"/>
        <w:jc w:val="both"/>
        <w:rPr>
          <w:rFonts w:ascii="Arial" w:eastAsia="Arial Unicode MS" w:hAnsi="Arial" w:cs="Arial"/>
          <w:color w:val="2E74B5" w:themeColor="accent1" w:themeShade="BF"/>
          <w:sz w:val="24"/>
          <w:lang w:val="es-ES_tradnl"/>
        </w:rPr>
      </w:pPr>
      <w:r w:rsidRPr="00010565">
        <w:rPr>
          <w:rFonts w:ascii="Arial" w:hAnsi="Arial" w:cs="Arial"/>
          <w:color w:val="2E74B5" w:themeColor="accent1" w:themeShade="BF"/>
          <w:sz w:val="24"/>
        </w:rPr>
        <w:t xml:space="preserve">Ahora bien, previo al análisis de fondo se trae a contexto los siguientes preceptos de la </w:t>
      </w:r>
      <w:r w:rsidRPr="00010565">
        <w:rPr>
          <w:rFonts w:ascii="Arial" w:eastAsia="Arial Unicode MS" w:hAnsi="Arial" w:cs="Arial"/>
          <w:color w:val="2E74B5" w:themeColor="accent1" w:themeShade="BF"/>
          <w:sz w:val="24"/>
          <w:lang w:val="es-ES_tradnl"/>
        </w:rPr>
        <w:t>Ley de Transparencia y Acceso a la Información Pública del Estado de San Luis Potosí:</w:t>
      </w:r>
    </w:p>
    <w:p w:rsidR="00010565" w:rsidRPr="00010565" w:rsidRDefault="00010565" w:rsidP="00010565">
      <w:pPr>
        <w:spacing w:line="240" w:lineRule="auto"/>
        <w:ind w:left="851" w:right="1183"/>
        <w:jc w:val="both"/>
        <w:rPr>
          <w:rFonts w:ascii="Arial" w:hAnsi="Arial" w:cs="Arial"/>
          <w:i/>
          <w:color w:val="2E74B5" w:themeColor="accent1" w:themeShade="BF"/>
          <w:sz w:val="20"/>
        </w:rPr>
      </w:pPr>
      <w:r w:rsidRPr="00010565">
        <w:rPr>
          <w:rFonts w:ascii="Arial" w:hAnsi="Arial" w:cs="Arial"/>
          <w:i/>
          <w:color w:val="2E74B5" w:themeColor="accent1" w:themeShade="BF"/>
          <w:sz w:val="20"/>
        </w:rPr>
        <w:t xml:space="preserve">“ARTÍCULO 113. Las figuras jurídicas de excepción al derecho de acceso a la información pública, son las de información reservada, e información confidencial.” </w:t>
      </w:r>
    </w:p>
    <w:p w:rsidR="00010565" w:rsidRPr="00010565" w:rsidRDefault="00010565" w:rsidP="00010565">
      <w:pPr>
        <w:spacing w:line="240" w:lineRule="auto"/>
        <w:ind w:left="851" w:right="1183"/>
        <w:jc w:val="both"/>
        <w:rPr>
          <w:rFonts w:ascii="Arial" w:hAnsi="Arial" w:cs="Arial"/>
          <w:i/>
          <w:color w:val="2E74B5" w:themeColor="accent1" w:themeShade="BF"/>
          <w:sz w:val="20"/>
        </w:rPr>
      </w:pPr>
      <w:r w:rsidRPr="00010565">
        <w:rPr>
          <w:rFonts w:ascii="Arial" w:hAnsi="Arial" w:cs="Arial"/>
          <w:i/>
          <w:color w:val="2E74B5" w:themeColor="accent1" w:themeShade="BF"/>
          <w:sz w:val="20"/>
        </w:rPr>
        <w:t>“ARTÍCULO 114. La clasificación es el proceso mediante el cual el sujeto obligado determina que la información en su poder actualiza alguno de los supuestos de reserva o confidencialidad, de conformidad con lo dispuesto en el presente Título.”</w:t>
      </w:r>
    </w:p>
    <w:p w:rsidR="00010565" w:rsidRPr="00010565" w:rsidRDefault="00010565" w:rsidP="00010565">
      <w:pPr>
        <w:tabs>
          <w:tab w:val="left" w:pos="7371"/>
        </w:tabs>
        <w:spacing w:line="240" w:lineRule="auto"/>
        <w:ind w:left="851" w:right="1183"/>
        <w:jc w:val="both"/>
        <w:rPr>
          <w:rFonts w:ascii="Arial" w:hAnsi="Arial" w:cs="Arial"/>
          <w:i/>
          <w:color w:val="2E74B5" w:themeColor="accent1" w:themeShade="BF"/>
          <w:sz w:val="20"/>
        </w:rPr>
      </w:pPr>
      <w:r w:rsidRPr="00010565">
        <w:rPr>
          <w:rFonts w:ascii="Arial" w:hAnsi="Arial" w:cs="Arial"/>
          <w:i/>
          <w:color w:val="2E74B5" w:themeColor="accent1" w:themeShade="BF"/>
          <w:sz w:val="20"/>
        </w:rPr>
        <w:t xml:space="preserve">“ARTÍCULO 151. Los sujetos obligados deberán otorgar acceso a los documentos que se encuentren en sus archivos o que estén obligados a documentar de acuerdo con sus facultades, competencias o funciones en el </w:t>
      </w:r>
      <w:r w:rsidRPr="00010565">
        <w:rPr>
          <w:rFonts w:ascii="Arial" w:hAnsi="Arial" w:cs="Arial"/>
          <w:i/>
          <w:color w:val="2E74B5" w:themeColor="accent1" w:themeShade="BF"/>
          <w:sz w:val="20"/>
        </w:rPr>
        <w:lastRenderedPageBreak/>
        <w:t xml:space="preserve">formato en que el solicitante manifieste, de entre aquellos formatos existentes, conforme a las características físicas de la información o del lugar donde se encuentre así lo permita. </w:t>
      </w:r>
    </w:p>
    <w:p w:rsidR="00010565" w:rsidRPr="00010565" w:rsidRDefault="00010565" w:rsidP="00010565">
      <w:pPr>
        <w:tabs>
          <w:tab w:val="left" w:pos="7371"/>
        </w:tabs>
        <w:spacing w:line="240" w:lineRule="auto"/>
        <w:ind w:left="851" w:right="1183"/>
        <w:jc w:val="both"/>
        <w:rPr>
          <w:rFonts w:ascii="Arial" w:hAnsi="Arial" w:cs="Arial"/>
          <w:i/>
          <w:color w:val="2E74B5" w:themeColor="accent1" w:themeShade="BF"/>
          <w:sz w:val="20"/>
        </w:rPr>
      </w:pPr>
      <w:r w:rsidRPr="00010565">
        <w:rPr>
          <w:rFonts w:ascii="Arial" w:hAnsi="Arial" w:cs="Arial"/>
          <w:i/>
          <w:color w:val="2E74B5" w:themeColor="accent1" w:themeShade="BF"/>
          <w:sz w:val="20"/>
        </w:rPr>
        <w:t>En el caso de que la información solicitada consista en bases de datos se deberá privilegiar la entrega de la misma en Formatos Abiertos.”</w:t>
      </w:r>
    </w:p>
    <w:p w:rsidR="00010565" w:rsidRPr="00010565" w:rsidRDefault="00010565" w:rsidP="00010565">
      <w:pPr>
        <w:tabs>
          <w:tab w:val="left" w:pos="7371"/>
        </w:tabs>
        <w:spacing w:line="240" w:lineRule="auto"/>
        <w:ind w:left="851" w:right="1183"/>
        <w:jc w:val="both"/>
        <w:rPr>
          <w:rFonts w:ascii="Arial" w:hAnsi="Arial" w:cs="Arial"/>
          <w:i/>
          <w:color w:val="2E74B5" w:themeColor="accent1" w:themeShade="BF"/>
          <w:sz w:val="20"/>
        </w:rPr>
      </w:pPr>
      <w:r w:rsidRPr="00010565">
        <w:rPr>
          <w:rFonts w:ascii="Arial" w:hAnsi="Arial" w:cs="Arial"/>
          <w:i/>
          <w:color w:val="2E74B5" w:themeColor="accent1" w:themeShade="BF"/>
          <w:sz w:val="20"/>
        </w:rPr>
        <w:t>“ARTÍCULO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p w:rsidR="00010565" w:rsidRPr="00010565" w:rsidRDefault="00010565" w:rsidP="00010565">
      <w:pPr>
        <w:tabs>
          <w:tab w:val="left" w:pos="7371"/>
        </w:tabs>
        <w:spacing w:line="240" w:lineRule="auto"/>
        <w:ind w:left="851" w:right="1183"/>
        <w:jc w:val="both"/>
        <w:rPr>
          <w:rFonts w:ascii="Arial" w:hAnsi="Arial" w:cs="Arial"/>
          <w:i/>
          <w:color w:val="2E74B5" w:themeColor="accent1" w:themeShade="BF"/>
          <w:sz w:val="20"/>
        </w:rPr>
      </w:pPr>
      <w:r w:rsidRPr="00010565">
        <w:rPr>
          <w:rFonts w:ascii="Arial" w:hAnsi="Arial" w:cs="Arial"/>
          <w:i/>
          <w:color w:val="2E74B5" w:themeColor="accent1" w:themeShade="BF"/>
          <w:sz w:val="20"/>
        </w:rPr>
        <w:t xml:space="preserve">“ARTÍCULO 154. La respuesta a la solicitud deberá ser notificada al interesado en el menor tiempo posible, que no podrá exceder de diez días, contados a partir del día siguiente a la presentación de aquélla. </w:t>
      </w:r>
    </w:p>
    <w:p w:rsidR="00010565" w:rsidRPr="00010565" w:rsidRDefault="00010565" w:rsidP="00010565">
      <w:pPr>
        <w:tabs>
          <w:tab w:val="left" w:pos="7371"/>
        </w:tabs>
        <w:spacing w:line="240" w:lineRule="auto"/>
        <w:ind w:left="851" w:right="1183"/>
        <w:jc w:val="both"/>
        <w:rPr>
          <w:rFonts w:ascii="Arial" w:hAnsi="Arial" w:cs="Arial"/>
          <w:i/>
          <w:color w:val="2E74B5" w:themeColor="accent1" w:themeShade="BF"/>
          <w:sz w:val="20"/>
        </w:rPr>
      </w:pPr>
      <w:r w:rsidRPr="00010565">
        <w:rPr>
          <w:rFonts w:ascii="Arial" w:hAnsi="Arial" w:cs="Arial"/>
          <w:i/>
          <w:color w:val="2E74B5" w:themeColor="accent1" w:themeShade="BF"/>
          <w:sz w:val="20"/>
        </w:rPr>
        <w:t xml:space="preserve">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 </w:t>
      </w:r>
    </w:p>
    <w:p w:rsidR="00010565" w:rsidRPr="00010565" w:rsidRDefault="00010565" w:rsidP="00010565">
      <w:pPr>
        <w:tabs>
          <w:tab w:val="left" w:pos="7371"/>
        </w:tabs>
        <w:spacing w:line="240" w:lineRule="auto"/>
        <w:ind w:left="851" w:right="1183"/>
        <w:jc w:val="both"/>
        <w:rPr>
          <w:rFonts w:ascii="Arial" w:hAnsi="Arial" w:cs="Arial"/>
          <w:i/>
          <w:color w:val="2E74B5" w:themeColor="accent1" w:themeShade="BF"/>
          <w:sz w:val="20"/>
        </w:rPr>
      </w:pPr>
      <w:r w:rsidRPr="00010565">
        <w:rPr>
          <w:rFonts w:ascii="Arial" w:hAnsi="Arial" w:cs="Arial"/>
          <w:i/>
          <w:color w:val="2E74B5" w:themeColor="accent1" w:themeShade="BF"/>
          <w:sz w:val="20"/>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p w:rsidR="00010565" w:rsidRPr="00010565" w:rsidRDefault="00010565" w:rsidP="00010565">
      <w:pPr>
        <w:tabs>
          <w:tab w:val="left" w:pos="7371"/>
        </w:tabs>
        <w:spacing w:line="240" w:lineRule="auto"/>
        <w:ind w:left="851" w:right="1185"/>
        <w:jc w:val="both"/>
        <w:rPr>
          <w:rFonts w:ascii="Arial" w:hAnsi="Arial" w:cs="Arial"/>
          <w:i/>
          <w:color w:val="2E74B5" w:themeColor="accent1" w:themeShade="BF"/>
          <w:sz w:val="20"/>
        </w:rPr>
      </w:pPr>
      <w:r w:rsidRPr="00010565">
        <w:rPr>
          <w:rFonts w:ascii="Arial" w:hAnsi="Arial" w:cs="Arial"/>
          <w:i/>
          <w:color w:val="2E74B5" w:themeColor="accent1" w:themeShade="BF"/>
          <w:sz w:val="20"/>
        </w:rPr>
        <w:t xml:space="preserve">ARTÍCULO 159. En caso de que los sujetos obligados consideren que los documentos o la información deba ser clasificada, se sujetará a lo siguiente: El Área deberá remitir la solicitud, así como un escrito en el que funde y motive la clasificación al Comité de Transparencia, mismo que deberá resolver para: </w:t>
      </w:r>
    </w:p>
    <w:p w:rsidR="00010565" w:rsidRPr="00010565" w:rsidRDefault="00010565" w:rsidP="00010565">
      <w:pPr>
        <w:pStyle w:val="Prrafodelista"/>
        <w:numPr>
          <w:ilvl w:val="0"/>
          <w:numId w:val="23"/>
        </w:numPr>
        <w:tabs>
          <w:tab w:val="left" w:pos="7371"/>
        </w:tabs>
        <w:spacing w:after="0" w:line="240" w:lineRule="auto"/>
        <w:ind w:right="1185"/>
        <w:jc w:val="both"/>
        <w:rPr>
          <w:rFonts w:ascii="Arial" w:hAnsi="Arial" w:cs="Arial"/>
          <w:i/>
          <w:color w:val="2E74B5" w:themeColor="accent1" w:themeShade="BF"/>
          <w:sz w:val="20"/>
        </w:rPr>
      </w:pPr>
      <w:r w:rsidRPr="00010565">
        <w:rPr>
          <w:rFonts w:ascii="Arial" w:hAnsi="Arial" w:cs="Arial"/>
          <w:i/>
          <w:color w:val="2E74B5" w:themeColor="accent1" w:themeShade="BF"/>
          <w:sz w:val="20"/>
        </w:rPr>
        <w:t xml:space="preserve">Confirmar la clasificación; </w:t>
      </w:r>
    </w:p>
    <w:p w:rsidR="00010565" w:rsidRPr="00010565" w:rsidRDefault="00010565" w:rsidP="00010565">
      <w:pPr>
        <w:pStyle w:val="Prrafodelista"/>
        <w:numPr>
          <w:ilvl w:val="0"/>
          <w:numId w:val="23"/>
        </w:numPr>
        <w:tabs>
          <w:tab w:val="left" w:pos="7371"/>
        </w:tabs>
        <w:spacing w:after="0" w:line="240" w:lineRule="auto"/>
        <w:ind w:right="1185"/>
        <w:jc w:val="both"/>
        <w:rPr>
          <w:rFonts w:ascii="Arial" w:hAnsi="Arial" w:cs="Arial"/>
          <w:i/>
          <w:color w:val="2E74B5" w:themeColor="accent1" w:themeShade="BF"/>
          <w:sz w:val="20"/>
        </w:rPr>
      </w:pPr>
      <w:r w:rsidRPr="00010565">
        <w:rPr>
          <w:rFonts w:ascii="Arial" w:hAnsi="Arial" w:cs="Arial"/>
          <w:i/>
          <w:color w:val="2E74B5" w:themeColor="accent1" w:themeShade="BF"/>
          <w:sz w:val="20"/>
        </w:rPr>
        <w:t xml:space="preserve">Modificar la clasificación y otorgar total o parcialmente el acceso a la información, y </w:t>
      </w:r>
    </w:p>
    <w:p w:rsidR="00010565" w:rsidRPr="00010565" w:rsidRDefault="00010565" w:rsidP="00010565">
      <w:pPr>
        <w:pStyle w:val="Prrafodelista"/>
        <w:numPr>
          <w:ilvl w:val="0"/>
          <w:numId w:val="23"/>
        </w:numPr>
        <w:tabs>
          <w:tab w:val="left" w:pos="7371"/>
        </w:tabs>
        <w:spacing w:after="0" w:line="240" w:lineRule="auto"/>
        <w:ind w:right="1185"/>
        <w:jc w:val="both"/>
        <w:rPr>
          <w:rFonts w:ascii="Arial" w:hAnsi="Arial" w:cs="Arial"/>
          <w:i/>
          <w:color w:val="2E74B5" w:themeColor="accent1" w:themeShade="BF"/>
          <w:sz w:val="20"/>
        </w:rPr>
      </w:pPr>
      <w:r w:rsidRPr="00010565">
        <w:rPr>
          <w:rFonts w:ascii="Arial" w:hAnsi="Arial" w:cs="Arial"/>
          <w:i/>
          <w:color w:val="2E74B5" w:themeColor="accent1" w:themeShade="BF"/>
          <w:sz w:val="20"/>
        </w:rPr>
        <w:t>Revocar la clasificación y conceder el acceso a la información.</w:t>
      </w:r>
    </w:p>
    <w:p w:rsidR="00010565" w:rsidRPr="00010565" w:rsidRDefault="00010565" w:rsidP="00010565">
      <w:pPr>
        <w:pStyle w:val="Prrafodelista"/>
        <w:tabs>
          <w:tab w:val="left" w:pos="7371"/>
        </w:tabs>
        <w:spacing w:after="0" w:line="240" w:lineRule="auto"/>
        <w:ind w:left="1571" w:right="1185"/>
        <w:jc w:val="both"/>
        <w:rPr>
          <w:rFonts w:ascii="Arial" w:hAnsi="Arial" w:cs="Arial"/>
          <w:i/>
          <w:color w:val="2E74B5" w:themeColor="accent1" w:themeShade="BF"/>
          <w:sz w:val="20"/>
        </w:rPr>
      </w:pPr>
    </w:p>
    <w:p w:rsidR="00010565" w:rsidRPr="00010565" w:rsidRDefault="00010565" w:rsidP="00010565">
      <w:pPr>
        <w:tabs>
          <w:tab w:val="left" w:pos="7371"/>
        </w:tabs>
        <w:spacing w:line="240" w:lineRule="auto"/>
        <w:ind w:left="851" w:right="1185"/>
        <w:rPr>
          <w:rFonts w:ascii="Arial" w:hAnsi="Arial" w:cs="Arial"/>
          <w:i/>
          <w:color w:val="2E74B5" w:themeColor="accent1" w:themeShade="BF"/>
          <w:sz w:val="20"/>
        </w:rPr>
      </w:pPr>
      <w:r w:rsidRPr="00010565">
        <w:rPr>
          <w:rFonts w:ascii="Arial" w:hAnsi="Arial" w:cs="Arial"/>
          <w:i/>
          <w:color w:val="2E74B5" w:themeColor="accent1" w:themeShade="BF"/>
          <w:sz w:val="20"/>
        </w:rPr>
        <w:t xml:space="preserve">El Comité de Transparencia podrá tener acceso a la información que esté en poder del Área correspondiente, de la cual se haya solicitado su clasificación. </w:t>
      </w:r>
    </w:p>
    <w:p w:rsidR="00010565" w:rsidRPr="00010565" w:rsidRDefault="00010565" w:rsidP="00010565">
      <w:pPr>
        <w:tabs>
          <w:tab w:val="left" w:pos="7371"/>
        </w:tabs>
        <w:spacing w:line="240" w:lineRule="auto"/>
        <w:ind w:left="851" w:right="1185"/>
        <w:rPr>
          <w:rFonts w:ascii="Arial" w:hAnsi="Arial" w:cs="Arial"/>
          <w:i/>
          <w:color w:val="2E74B5" w:themeColor="accent1" w:themeShade="BF"/>
          <w:sz w:val="20"/>
        </w:rPr>
      </w:pPr>
      <w:r w:rsidRPr="00010565">
        <w:rPr>
          <w:rFonts w:ascii="Arial" w:hAnsi="Arial" w:cs="Arial"/>
          <w:i/>
          <w:color w:val="2E74B5" w:themeColor="accent1" w:themeShade="BF"/>
          <w:sz w:val="20"/>
        </w:rPr>
        <w:t>La resolución del Comité de Transparencia será notificada al interesado en el plazo de respuesta a la solicitud que establece el artículo 154 de la presente Ley.”</w:t>
      </w:r>
    </w:p>
    <w:p w:rsidR="00010565" w:rsidRPr="00010565" w:rsidRDefault="00010565" w:rsidP="00010565">
      <w:pPr>
        <w:tabs>
          <w:tab w:val="left" w:pos="7371"/>
        </w:tabs>
        <w:spacing w:line="240" w:lineRule="auto"/>
        <w:ind w:left="851" w:right="1185"/>
        <w:rPr>
          <w:rFonts w:ascii="Arial" w:hAnsi="Arial" w:cs="Arial"/>
          <w:color w:val="2E74B5" w:themeColor="accent1" w:themeShade="BF"/>
        </w:rPr>
      </w:pPr>
    </w:p>
    <w:p w:rsidR="00010565" w:rsidRPr="00010565" w:rsidRDefault="00010565" w:rsidP="00010565">
      <w:pPr>
        <w:pStyle w:val="NormalWeb"/>
        <w:shd w:val="clear" w:color="auto" w:fill="FFFFFF"/>
        <w:spacing w:before="0" w:beforeAutospacing="0" w:after="0" w:afterAutospacing="0"/>
        <w:ind w:firstLine="708"/>
        <w:jc w:val="both"/>
        <w:rPr>
          <w:rFonts w:ascii="Arial" w:hAnsi="Arial" w:cs="Arial"/>
          <w:color w:val="2E74B5" w:themeColor="accent1" w:themeShade="BF"/>
        </w:rPr>
      </w:pPr>
      <w:r w:rsidRPr="00010565">
        <w:rPr>
          <w:rFonts w:ascii="Arial" w:hAnsi="Arial" w:cs="Arial"/>
          <w:color w:val="2E74B5" w:themeColor="accent1" w:themeShade="BF"/>
        </w:rPr>
        <w:t>De los numerales anteriormente trascritos, se advierte, en primer término, que el derecho de acceso a la información no es absoluto y que la información podrá ser limitada cuando haya sido clasificada por el sujeto obligado como confidencial o reservada.</w:t>
      </w:r>
    </w:p>
    <w:p w:rsidR="00010565" w:rsidRPr="00010565" w:rsidRDefault="00010565" w:rsidP="00010565">
      <w:pPr>
        <w:pStyle w:val="NormalWeb"/>
        <w:shd w:val="clear" w:color="auto" w:fill="FFFFFF"/>
        <w:spacing w:before="0" w:beforeAutospacing="0" w:after="0" w:afterAutospacing="0" w:line="360" w:lineRule="auto"/>
        <w:jc w:val="both"/>
        <w:rPr>
          <w:rFonts w:ascii="Arial" w:hAnsi="Arial" w:cs="Arial"/>
          <w:color w:val="2E74B5" w:themeColor="accent1" w:themeShade="BF"/>
        </w:rPr>
      </w:pPr>
    </w:p>
    <w:p w:rsidR="00010565" w:rsidRPr="00010565" w:rsidRDefault="00010565" w:rsidP="00010565">
      <w:pPr>
        <w:pStyle w:val="NormalWeb"/>
        <w:shd w:val="clear" w:color="auto" w:fill="FFFFFF"/>
        <w:spacing w:before="0" w:beforeAutospacing="0" w:after="0" w:afterAutospacing="0"/>
        <w:ind w:firstLine="708"/>
        <w:jc w:val="both"/>
        <w:rPr>
          <w:rFonts w:ascii="Arial" w:hAnsi="Arial" w:cs="Arial"/>
          <w:color w:val="2E74B5" w:themeColor="accent1" w:themeShade="BF"/>
        </w:rPr>
      </w:pPr>
      <w:r w:rsidRPr="00010565">
        <w:rPr>
          <w:rFonts w:ascii="Arial" w:hAnsi="Arial" w:cs="Arial"/>
          <w:color w:val="2E74B5" w:themeColor="accent1" w:themeShade="BF"/>
        </w:rPr>
        <w:t xml:space="preserve">Que toda clasificación de la información deberá ser valorada y dictaminada por el Comité de Transparencia del sujeto obligado sin contravenir las bases, principios y disposiciones establecidas por la Ley de Transparencia. </w:t>
      </w:r>
    </w:p>
    <w:p w:rsidR="00010565" w:rsidRPr="00010565" w:rsidRDefault="00010565" w:rsidP="00010565">
      <w:pPr>
        <w:pStyle w:val="NormalWeb"/>
        <w:shd w:val="clear" w:color="auto" w:fill="FFFFFF"/>
        <w:spacing w:before="0" w:beforeAutospacing="0" w:after="0" w:afterAutospacing="0" w:line="360" w:lineRule="auto"/>
        <w:jc w:val="both"/>
        <w:rPr>
          <w:rFonts w:ascii="Arial" w:hAnsi="Arial" w:cs="Arial"/>
          <w:color w:val="2E74B5" w:themeColor="accent1" w:themeShade="BF"/>
        </w:rPr>
      </w:pPr>
    </w:p>
    <w:p w:rsidR="00010565" w:rsidRPr="00010565" w:rsidRDefault="00010565" w:rsidP="00010565">
      <w:pPr>
        <w:pStyle w:val="NormalWeb"/>
        <w:shd w:val="clear" w:color="auto" w:fill="FFFFFF"/>
        <w:spacing w:before="0" w:beforeAutospacing="0" w:after="0" w:afterAutospacing="0"/>
        <w:ind w:firstLine="708"/>
        <w:jc w:val="both"/>
        <w:rPr>
          <w:rFonts w:ascii="Arial" w:hAnsi="Arial" w:cs="Arial"/>
          <w:color w:val="2E74B5" w:themeColor="accent1" w:themeShade="BF"/>
        </w:rPr>
      </w:pPr>
      <w:r w:rsidRPr="00010565">
        <w:rPr>
          <w:rFonts w:ascii="Arial" w:hAnsi="Arial" w:cs="Arial"/>
          <w:color w:val="2E74B5" w:themeColor="accent1" w:themeShade="BF"/>
        </w:rPr>
        <w:t xml:space="preserve">Que la información a la que deberán dar acceso los sujetos obligados es la que se encuentre en sus archivos y la que surja de documentar sus facultades </w:t>
      </w:r>
      <w:r w:rsidRPr="00010565">
        <w:rPr>
          <w:rFonts w:ascii="Arial" w:hAnsi="Arial" w:cs="Arial"/>
          <w:color w:val="2E74B5" w:themeColor="accent1" w:themeShade="BF"/>
        </w:rPr>
        <w:lastRenderedPageBreak/>
        <w:t>competencias o funciones, privilegiándose como modalidad de entrega la que elija el solicitante.</w:t>
      </w:r>
    </w:p>
    <w:p w:rsidR="00010565" w:rsidRPr="00010565" w:rsidRDefault="00010565" w:rsidP="00010565">
      <w:pPr>
        <w:pStyle w:val="NormalWeb"/>
        <w:shd w:val="clear" w:color="auto" w:fill="FFFFFF"/>
        <w:spacing w:before="0" w:beforeAutospacing="0" w:after="0" w:afterAutospacing="0" w:line="360" w:lineRule="auto"/>
        <w:jc w:val="both"/>
        <w:rPr>
          <w:rFonts w:ascii="Arial" w:hAnsi="Arial" w:cs="Arial"/>
          <w:color w:val="2E74B5" w:themeColor="accent1" w:themeShade="BF"/>
        </w:rPr>
      </w:pPr>
      <w:r w:rsidRPr="00010565">
        <w:rPr>
          <w:rFonts w:ascii="Arial" w:hAnsi="Arial" w:cs="Arial"/>
          <w:color w:val="2E74B5" w:themeColor="accent1" w:themeShade="BF"/>
        </w:rPr>
        <w:t> </w:t>
      </w:r>
    </w:p>
    <w:p w:rsidR="00010565" w:rsidRPr="00010565" w:rsidRDefault="00010565" w:rsidP="00010565">
      <w:pPr>
        <w:pStyle w:val="NormalWeb"/>
        <w:shd w:val="clear" w:color="auto" w:fill="FFFFFF"/>
        <w:spacing w:before="0" w:beforeAutospacing="0" w:after="0" w:afterAutospacing="0"/>
        <w:ind w:firstLine="708"/>
        <w:jc w:val="both"/>
        <w:rPr>
          <w:rFonts w:ascii="Arial" w:hAnsi="Arial" w:cs="Arial"/>
          <w:color w:val="2E74B5" w:themeColor="accent1" w:themeShade="BF"/>
        </w:rPr>
      </w:pPr>
      <w:r w:rsidRPr="00010565">
        <w:rPr>
          <w:rFonts w:ascii="Arial" w:hAnsi="Arial" w:cs="Arial"/>
          <w:color w:val="2E74B5" w:themeColor="accent1" w:themeShade="BF"/>
        </w:rPr>
        <w:t>Por otro lado, la obligación de turnar la solicitud de información a todas las unidades administrativas, con base en las competencias y funciones de dichas áreas, a fin de que realicen una búsqueda minuciosa en sus archivos tanto físicos como electrónicos.</w:t>
      </w:r>
    </w:p>
    <w:p w:rsidR="00010565" w:rsidRPr="00010565" w:rsidRDefault="00010565" w:rsidP="00010565">
      <w:pPr>
        <w:pStyle w:val="NormalWeb"/>
        <w:shd w:val="clear" w:color="auto" w:fill="FFFFFF"/>
        <w:spacing w:before="0" w:beforeAutospacing="0" w:after="0" w:afterAutospacing="0" w:line="360" w:lineRule="auto"/>
        <w:jc w:val="both"/>
        <w:rPr>
          <w:rFonts w:ascii="Arial" w:hAnsi="Arial" w:cs="Arial"/>
          <w:color w:val="2E74B5" w:themeColor="accent1" w:themeShade="BF"/>
        </w:rPr>
      </w:pPr>
      <w:r w:rsidRPr="00010565">
        <w:rPr>
          <w:rFonts w:ascii="Arial" w:hAnsi="Arial" w:cs="Arial"/>
          <w:color w:val="2E74B5" w:themeColor="accent1" w:themeShade="BF"/>
        </w:rPr>
        <w:t> </w:t>
      </w:r>
    </w:p>
    <w:p w:rsidR="00010565" w:rsidRPr="00010565" w:rsidRDefault="00010565" w:rsidP="00010565">
      <w:pPr>
        <w:pStyle w:val="NormalWeb"/>
        <w:shd w:val="clear" w:color="auto" w:fill="FFFFFF"/>
        <w:spacing w:before="0" w:beforeAutospacing="0" w:after="0" w:afterAutospacing="0"/>
        <w:ind w:firstLine="708"/>
        <w:jc w:val="both"/>
        <w:rPr>
          <w:rFonts w:ascii="Arial" w:hAnsi="Arial" w:cs="Arial"/>
          <w:color w:val="2E74B5" w:themeColor="accent1" w:themeShade="BF"/>
        </w:rPr>
      </w:pPr>
      <w:r w:rsidRPr="00010565">
        <w:rPr>
          <w:rFonts w:ascii="Arial" w:hAnsi="Arial" w:cs="Arial"/>
          <w:color w:val="2E74B5" w:themeColor="accent1" w:themeShade="BF"/>
        </w:rPr>
        <w:t>Finalmente, se establece el deber del sujeto obligado de dar respuesta a la solicitud, en un lapso máximo de diez días a partir de que se solicitó la información, pudiéndose ampliar el plazo, previa aprobación del Comité de Transparencia.</w:t>
      </w:r>
    </w:p>
    <w:p w:rsidR="00010565" w:rsidRPr="00010565" w:rsidRDefault="00010565" w:rsidP="00010565">
      <w:pPr>
        <w:pStyle w:val="NormalWeb"/>
        <w:shd w:val="clear" w:color="auto" w:fill="FFFFFF"/>
        <w:spacing w:before="0" w:beforeAutospacing="0" w:after="0" w:afterAutospacing="0" w:line="360" w:lineRule="auto"/>
        <w:jc w:val="both"/>
        <w:rPr>
          <w:rFonts w:ascii="Arial" w:hAnsi="Arial" w:cs="Arial"/>
          <w:color w:val="2E74B5" w:themeColor="accent1" w:themeShade="BF"/>
        </w:rPr>
      </w:pPr>
    </w:p>
    <w:p w:rsidR="00010565" w:rsidRPr="00010565" w:rsidRDefault="00010565" w:rsidP="00010565">
      <w:pPr>
        <w:autoSpaceDE w:val="0"/>
        <w:autoSpaceDN w:val="0"/>
        <w:adjustRightInd w:val="0"/>
        <w:ind w:firstLine="708"/>
        <w:jc w:val="both"/>
        <w:rPr>
          <w:rFonts w:ascii="Arial" w:hAnsi="Arial" w:cs="Arial"/>
          <w:color w:val="2E74B5" w:themeColor="accent1" w:themeShade="BF"/>
          <w:sz w:val="24"/>
        </w:rPr>
      </w:pPr>
      <w:r w:rsidRPr="00010565">
        <w:rPr>
          <w:rFonts w:ascii="Arial" w:hAnsi="Arial" w:cs="Arial"/>
          <w:color w:val="2E74B5" w:themeColor="accent1" w:themeShade="BF"/>
          <w:sz w:val="24"/>
        </w:rPr>
        <w:t>Dicho lo anterior es dable colegir que la presente Resolución tiene por objeto determinar si el acuerdo de reserva de la información solicitada se encuentra apegado a derecho en los términos establecidos en los artículos mencionados, es decir si la clasificación de la información solicitada, es correcta es decir si se encuentra debidamente fundada y motivada, de conformidad con el artículo 159 transcrito anteriormente, o en su caso si le asiste la razón al recurrente, en cuanto a que la información solicitada es pública.</w:t>
      </w:r>
    </w:p>
    <w:p w:rsidR="00010565" w:rsidRPr="00010565" w:rsidRDefault="00F04FE3" w:rsidP="00010565">
      <w:pPr>
        <w:autoSpaceDE w:val="0"/>
        <w:autoSpaceDN w:val="0"/>
        <w:adjustRightInd w:val="0"/>
        <w:spacing w:before="100" w:beforeAutospacing="1" w:after="100" w:afterAutospacing="1"/>
        <w:jc w:val="both"/>
        <w:rPr>
          <w:rFonts w:ascii="Arial" w:hAnsi="Arial" w:cs="Arial"/>
          <w:b/>
          <w:color w:val="2E74B5" w:themeColor="accent1" w:themeShade="BF"/>
          <w:sz w:val="24"/>
        </w:rPr>
      </w:pPr>
      <w:r>
        <w:rPr>
          <w:rFonts w:ascii="Arial" w:hAnsi="Arial" w:cs="Arial"/>
          <w:b/>
          <w:color w:val="2E74B5" w:themeColor="accent1" w:themeShade="BF"/>
          <w:sz w:val="24"/>
        </w:rPr>
        <w:t>6</w:t>
      </w:r>
      <w:r w:rsidR="00010565" w:rsidRPr="00010565">
        <w:rPr>
          <w:rFonts w:ascii="Arial" w:hAnsi="Arial" w:cs="Arial"/>
          <w:b/>
          <w:color w:val="2E74B5" w:themeColor="accent1" w:themeShade="BF"/>
          <w:sz w:val="24"/>
        </w:rPr>
        <w:t>.2 Agravio Fundado.</w:t>
      </w:r>
    </w:p>
    <w:p w:rsidR="00010565" w:rsidRPr="00010565" w:rsidRDefault="00010565" w:rsidP="00010565">
      <w:pPr>
        <w:autoSpaceDE w:val="0"/>
        <w:autoSpaceDN w:val="0"/>
        <w:adjustRightInd w:val="0"/>
        <w:spacing w:before="100" w:beforeAutospacing="1" w:after="100" w:afterAutospacing="1"/>
        <w:ind w:firstLine="708"/>
        <w:jc w:val="both"/>
        <w:rPr>
          <w:rFonts w:ascii="Arial" w:hAnsi="Arial" w:cs="Arial"/>
          <w:color w:val="2E74B5" w:themeColor="accent1" w:themeShade="BF"/>
          <w:sz w:val="24"/>
        </w:rPr>
      </w:pPr>
      <w:r w:rsidRPr="00010565">
        <w:rPr>
          <w:rFonts w:ascii="Arial" w:hAnsi="Arial" w:cs="Arial"/>
          <w:color w:val="2E74B5" w:themeColor="accent1" w:themeShade="BF"/>
          <w:sz w:val="24"/>
        </w:rPr>
        <w:t>Una vez precisados los elementos a resolver, este Pleno analizará los hechos con base a los argumentos aportados por las partes y demás elementos de convicción.</w:t>
      </w:r>
    </w:p>
    <w:p w:rsidR="00010565" w:rsidRPr="00010565" w:rsidRDefault="00010565" w:rsidP="00010565">
      <w:pPr>
        <w:autoSpaceDE w:val="0"/>
        <w:autoSpaceDN w:val="0"/>
        <w:adjustRightInd w:val="0"/>
        <w:ind w:firstLine="708"/>
        <w:jc w:val="both"/>
        <w:rPr>
          <w:rFonts w:ascii="Arial" w:hAnsi="Arial" w:cs="Arial"/>
          <w:color w:val="2E74B5" w:themeColor="accent1" w:themeShade="BF"/>
          <w:sz w:val="24"/>
        </w:rPr>
      </w:pPr>
      <w:r w:rsidRPr="00010565">
        <w:rPr>
          <w:rFonts w:ascii="Arial" w:hAnsi="Arial" w:cs="Arial"/>
          <w:color w:val="2E74B5" w:themeColor="accent1" w:themeShade="BF"/>
          <w:spacing w:val="4"/>
          <w:sz w:val="24"/>
        </w:rPr>
        <w:t xml:space="preserve">Como ha quedado establecido, el </w:t>
      </w:r>
      <w:r w:rsidRPr="00010565">
        <w:rPr>
          <w:rFonts w:ascii="Arial" w:hAnsi="Arial" w:cs="Arial"/>
          <w:color w:val="2E74B5" w:themeColor="accent1" w:themeShade="BF"/>
          <w:sz w:val="24"/>
        </w:rPr>
        <w:t>solicitante requirió en su escrito primigenio, se le informara respecto al servidor público aludido en su solicitud, ¿si se desempeña como trabajador</w:t>
      </w:r>
      <w:r>
        <w:rPr>
          <w:rFonts w:ascii="Arial" w:hAnsi="Arial" w:cs="Arial"/>
          <w:color w:val="2E74B5" w:themeColor="accent1" w:themeShade="BF"/>
          <w:sz w:val="24"/>
        </w:rPr>
        <w:t xml:space="preserve"> del Ayuntamiento</w:t>
      </w:r>
      <w:r w:rsidRPr="00010565">
        <w:rPr>
          <w:rFonts w:ascii="Arial" w:hAnsi="Arial" w:cs="Arial"/>
          <w:color w:val="2E74B5" w:themeColor="accent1" w:themeShade="BF"/>
          <w:sz w:val="24"/>
        </w:rPr>
        <w:t>?,  ¿cuál es o fue el departamento de adscripción?, ¿hasta cuándo laboró? y ¿cuál fue el motivo del término de</w:t>
      </w:r>
      <w:r>
        <w:rPr>
          <w:rFonts w:ascii="Arial" w:hAnsi="Arial" w:cs="Arial"/>
          <w:color w:val="2E74B5" w:themeColor="accent1" w:themeShade="BF"/>
          <w:sz w:val="24"/>
        </w:rPr>
        <w:t xml:space="preserve"> la </w:t>
      </w:r>
      <w:r w:rsidRPr="00010565">
        <w:rPr>
          <w:rFonts w:ascii="Arial" w:hAnsi="Arial" w:cs="Arial"/>
          <w:color w:val="2E74B5" w:themeColor="accent1" w:themeShade="BF"/>
          <w:sz w:val="24"/>
        </w:rPr>
        <w:t xml:space="preserve"> relación laboral?</w:t>
      </w:r>
    </w:p>
    <w:p w:rsidR="00010565" w:rsidRPr="00010565" w:rsidRDefault="00010565" w:rsidP="00010565">
      <w:pPr>
        <w:pStyle w:val="corte4fondo"/>
        <w:spacing w:line="240" w:lineRule="auto"/>
        <w:ind w:right="49" w:firstLine="708"/>
        <w:rPr>
          <w:rFonts w:cs="Arial"/>
          <w:color w:val="2E74B5" w:themeColor="accent1" w:themeShade="BF"/>
          <w:sz w:val="24"/>
          <w:szCs w:val="24"/>
        </w:rPr>
      </w:pPr>
      <w:r w:rsidRPr="00010565">
        <w:rPr>
          <w:rFonts w:cs="Arial"/>
          <w:color w:val="2E74B5" w:themeColor="accent1" w:themeShade="BF"/>
          <w:sz w:val="24"/>
          <w:szCs w:val="24"/>
        </w:rPr>
        <w:t xml:space="preserve">En atención a su requerimiento, el Sujeto Obligado indicó a través del oficio </w:t>
      </w:r>
      <w:r w:rsidRPr="00010565">
        <w:rPr>
          <w:rFonts w:eastAsiaTheme="minorHAnsi" w:cs="Calibri"/>
          <w:color w:val="2E74B5" w:themeColor="accent1" w:themeShade="BF"/>
          <w:sz w:val="24"/>
          <w:szCs w:val="24"/>
        </w:rPr>
        <w:t>DRH/4</w:t>
      </w:r>
      <w:r>
        <w:rPr>
          <w:rFonts w:eastAsiaTheme="minorHAnsi" w:cs="Calibri"/>
          <w:color w:val="2E74B5" w:themeColor="accent1" w:themeShade="BF"/>
          <w:sz w:val="24"/>
          <w:szCs w:val="24"/>
        </w:rPr>
        <w:t>34</w:t>
      </w:r>
      <w:r w:rsidRPr="00010565">
        <w:rPr>
          <w:rFonts w:eastAsiaTheme="minorHAnsi" w:cs="Calibri"/>
          <w:color w:val="2E74B5" w:themeColor="accent1" w:themeShade="BF"/>
          <w:sz w:val="24"/>
          <w:szCs w:val="24"/>
        </w:rPr>
        <w:t>/2019</w:t>
      </w:r>
      <w:r w:rsidRPr="00010565">
        <w:rPr>
          <w:rFonts w:cs="Arial"/>
          <w:color w:val="2E74B5" w:themeColor="accent1" w:themeShade="BF"/>
          <w:sz w:val="24"/>
          <w:szCs w:val="24"/>
        </w:rPr>
        <w:t xml:space="preserve">, suscrito por la Directora de Recursos Humanos del Ayuntamiento de San Luis Potosí, que la información solicitada es reservada en atención al acuerdo </w:t>
      </w:r>
      <w:r w:rsidRPr="00010565">
        <w:rPr>
          <w:rFonts w:eastAsiaTheme="minorHAnsi" w:cs="Arial"/>
          <w:bCs/>
          <w:color w:val="2E74B5" w:themeColor="accent1" w:themeShade="BF"/>
          <w:sz w:val="24"/>
          <w:szCs w:val="24"/>
        </w:rPr>
        <w:t>CT/015/2019A</w:t>
      </w:r>
      <w:r w:rsidRPr="00010565">
        <w:rPr>
          <w:rFonts w:cs="Arial"/>
          <w:color w:val="2E74B5" w:themeColor="accent1" w:themeShade="BF"/>
          <w:sz w:val="24"/>
          <w:szCs w:val="24"/>
        </w:rPr>
        <w:t xml:space="preserve">, emitido en la décima sexta sesión extraordinaria de fecha 11 de marzo de la presente anualidad. </w:t>
      </w:r>
    </w:p>
    <w:p w:rsidR="00010565" w:rsidRPr="00010565" w:rsidRDefault="00010565" w:rsidP="00010565">
      <w:pPr>
        <w:pStyle w:val="corte4fondo"/>
        <w:ind w:right="49" w:firstLine="0"/>
        <w:rPr>
          <w:rFonts w:cs="Arial"/>
          <w:color w:val="2E74B5" w:themeColor="accent1" w:themeShade="BF"/>
          <w:sz w:val="24"/>
          <w:szCs w:val="24"/>
        </w:rPr>
      </w:pPr>
    </w:p>
    <w:p w:rsidR="00010565" w:rsidRPr="00010565" w:rsidRDefault="00010565" w:rsidP="00010565">
      <w:pPr>
        <w:pStyle w:val="corte4fondo"/>
        <w:spacing w:line="240" w:lineRule="auto"/>
        <w:ind w:right="49" w:firstLine="708"/>
        <w:rPr>
          <w:rFonts w:cs="Arial"/>
          <w:color w:val="2E74B5" w:themeColor="accent1" w:themeShade="BF"/>
          <w:sz w:val="24"/>
          <w:szCs w:val="24"/>
        </w:rPr>
      </w:pPr>
      <w:r w:rsidRPr="00010565">
        <w:rPr>
          <w:rFonts w:cs="Arial"/>
          <w:color w:val="2E74B5" w:themeColor="accent1" w:themeShade="BF"/>
          <w:sz w:val="24"/>
          <w:szCs w:val="24"/>
        </w:rPr>
        <w:t>Inconforme con dicho pronunciamiento, el recurrente interpuso Recurso de Revisión ante este Órgano Garante y señaló que conforme a la naturaleza de la información solicitada, esta no se debería de considerarse como información reservada; asimismo, indicó que en cuanto a la reserva efectuada por la autoridad, el Ayuntamiento de San Luis Potosí fue omiso en entregar el Acta en la que se pueda acreditar que la divulgación de la información requerida lesiona el interés jurídicamente protegido por la normativa aplicable, así como el daño que puede producirse con la publicidad de la información es mayor que el interés de conocerla, es decir el documento que justifique la prueba de daño.</w:t>
      </w:r>
    </w:p>
    <w:p w:rsidR="00010565" w:rsidRPr="00010565" w:rsidRDefault="00010565" w:rsidP="00010565">
      <w:pPr>
        <w:pStyle w:val="Textoindependienteprimerasangra"/>
        <w:spacing w:before="100" w:beforeAutospacing="1" w:after="100" w:afterAutospacing="1" w:line="240" w:lineRule="auto"/>
        <w:ind w:firstLine="708"/>
        <w:rPr>
          <w:rFonts w:ascii="Arial" w:hAnsi="Arial" w:cs="Arial"/>
          <w:color w:val="2E74B5" w:themeColor="accent1" w:themeShade="BF"/>
          <w:sz w:val="24"/>
        </w:rPr>
      </w:pPr>
      <w:r w:rsidRPr="00010565">
        <w:rPr>
          <w:rFonts w:ascii="Arial" w:hAnsi="Arial" w:cs="Arial"/>
          <w:color w:val="2E74B5" w:themeColor="accent1" w:themeShade="BF"/>
          <w:sz w:val="24"/>
          <w:lang w:val="es-MX"/>
        </w:rPr>
        <w:lastRenderedPageBreak/>
        <w:t xml:space="preserve">Ahora bien, efectivamente, de las constancias que obran en autos, se evidencia que la autoridad únicamente señala que la información que solicitó se encuentra reservada, pero no acompaña el acuerdo de reserva que señala el artículo 127 de </w:t>
      </w:r>
      <w:r w:rsidRPr="00010565">
        <w:rPr>
          <w:rFonts w:ascii="Arial" w:hAnsi="Arial" w:cs="Arial"/>
          <w:color w:val="2E74B5" w:themeColor="accent1" w:themeShade="BF"/>
          <w:sz w:val="24"/>
        </w:rPr>
        <w:t>la Ley de Transparencia y Acceso a la Información Pública del Estado.</w:t>
      </w:r>
    </w:p>
    <w:p w:rsidR="00010565" w:rsidRPr="00010565" w:rsidRDefault="00010565" w:rsidP="00010565">
      <w:pPr>
        <w:pStyle w:val="Textoindependienteprimerasangra"/>
        <w:spacing w:before="100" w:beforeAutospacing="1" w:after="100" w:afterAutospacing="1" w:line="240" w:lineRule="auto"/>
        <w:ind w:firstLine="708"/>
        <w:rPr>
          <w:rFonts w:ascii="Arial" w:hAnsi="Arial" w:cs="Arial"/>
          <w:color w:val="2E74B5" w:themeColor="accent1" w:themeShade="BF"/>
          <w:sz w:val="24"/>
        </w:rPr>
      </w:pPr>
      <w:r w:rsidRPr="00010565">
        <w:rPr>
          <w:rFonts w:ascii="Arial" w:hAnsi="Arial" w:cs="Arial"/>
          <w:color w:val="2E74B5" w:themeColor="accent1" w:themeShade="BF"/>
          <w:sz w:val="24"/>
        </w:rPr>
        <w:t xml:space="preserve">No obstante a lo anterior, la autoridad debió notificar al recurrente el Acuerdo </w:t>
      </w:r>
      <w:r w:rsidRPr="00010565">
        <w:rPr>
          <w:rFonts w:ascii="Arial" w:hAnsi="Arial" w:cs="Arial"/>
          <w:color w:val="2E74B5" w:themeColor="accent1" w:themeShade="BF"/>
          <w:sz w:val="24"/>
          <w:lang w:val="es-MX"/>
        </w:rPr>
        <w:t xml:space="preserve">de reserva </w:t>
      </w:r>
      <w:r w:rsidRPr="00010565">
        <w:rPr>
          <w:rFonts w:ascii="Arial" w:eastAsiaTheme="minorHAnsi" w:hAnsi="Arial" w:cs="Arial"/>
          <w:bCs/>
          <w:color w:val="2E74B5" w:themeColor="accent1" w:themeShade="BF"/>
          <w:sz w:val="24"/>
        </w:rPr>
        <w:t>CT/015/2019A</w:t>
      </w:r>
      <w:r w:rsidRPr="00010565">
        <w:rPr>
          <w:rFonts w:ascii="Arial" w:hAnsi="Arial" w:cs="Arial"/>
          <w:color w:val="2E74B5" w:themeColor="accent1" w:themeShade="BF"/>
          <w:sz w:val="24"/>
          <w:lang w:val="es-MX"/>
        </w:rPr>
        <w:t xml:space="preserve">, emitido en la décima sexta sesión extraordinaria de fecha once de marzo de dos mil diecinueve, por lo que se </w:t>
      </w:r>
      <w:r w:rsidRPr="00010565">
        <w:rPr>
          <w:rFonts w:ascii="Arial" w:hAnsi="Arial" w:cs="Arial"/>
          <w:color w:val="2E74B5" w:themeColor="accent1" w:themeShade="BF"/>
          <w:sz w:val="24"/>
        </w:rPr>
        <w:t xml:space="preserve">trae a contexto el artículo 164 del Código Procesal Administrativo del Estado de San Luis Potosí, de aplicación supletoria a la Ley de Transparencia Local, de conformidad con lo establecido en el numeral 1º tercer párrafo, que señala lo siguiente: </w:t>
      </w:r>
    </w:p>
    <w:p w:rsidR="00010565" w:rsidRPr="00010565" w:rsidRDefault="00010565" w:rsidP="00010565">
      <w:pPr>
        <w:pStyle w:val="corte4fondo"/>
        <w:spacing w:line="240" w:lineRule="auto"/>
        <w:ind w:left="1134" w:right="1183" w:firstLine="0"/>
        <w:rPr>
          <w:rFonts w:cs="Arial"/>
          <w:color w:val="2E74B5" w:themeColor="accent1" w:themeShade="BF"/>
          <w:sz w:val="22"/>
          <w:szCs w:val="22"/>
        </w:rPr>
      </w:pPr>
      <w:r w:rsidRPr="00010565">
        <w:rPr>
          <w:rFonts w:cs="Arial"/>
          <w:color w:val="2E74B5" w:themeColor="accent1" w:themeShade="BF"/>
          <w:sz w:val="22"/>
          <w:szCs w:val="22"/>
        </w:rPr>
        <w:t>“</w:t>
      </w:r>
      <w:r w:rsidRPr="00010565">
        <w:rPr>
          <w:rFonts w:cs="Arial"/>
          <w:b/>
          <w:color w:val="2E74B5" w:themeColor="accent1" w:themeShade="BF"/>
          <w:sz w:val="22"/>
          <w:szCs w:val="22"/>
        </w:rPr>
        <w:t>ARTÍCULO 164</w:t>
      </w:r>
      <w:r w:rsidRPr="00010565">
        <w:rPr>
          <w:rFonts w:cs="Arial"/>
          <w:color w:val="2E74B5" w:themeColor="accent1" w:themeShade="BF"/>
          <w:sz w:val="22"/>
          <w:szCs w:val="22"/>
        </w:rPr>
        <w:t xml:space="preserve">. Son elementos del acto administrativo: </w:t>
      </w:r>
    </w:p>
    <w:p w:rsidR="00010565" w:rsidRPr="00010565" w:rsidRDefault="00010565" w:rsidP="00010565">
      <w:pPr>
        <w:pStyle w:val="corte4fondo"/>
        <w:spacing w:line="240" w:lineRule="auto"/>
        <w:ind w:left="1134" w:right="1183" w:firstLine="0"/>
        <w:rPr>
          <w:rFonts w:cs="Arial"/>
          <w:color w:val="2E74B5" w:themeColor="accent1" w:themeShade="BF"/>
          <w:sz w:val="22"/>
          <w:szCs w:val="22"/>
        </w:rPr>
      </w:pPr>
      <w:r w:rsidRPr="00010565">
        <w:rPr>
          <w:rFonts w:cs="Arial"/>
          <w:color w:val="2E74B5" w:themeColor="accent1" w:themeShade="BF"/>
          <w:sz w:val="22"/>
          <w:szCs w:val="22"/>
        </w:rPr>
        <w:t xml:space="preserve">I. Ser expedido por autoridades competentes, a través de servidor público u órgano colegiado facultados para tal efecto, y en términos de las disposiciones jurídicas aplicables; </w:t>
      </w:r>
    </w:p>
    <w:p w:rsidR="00010565" w:rsidRPr="00010565" w:rsidRDefault="00010565" w:rsidP="00010565">
      <w:pPr>
        <w:pStyle w:val="corte4fondo"/>
        <w:spacing w:line="240" w:lineRule="auto"/>
        <w:ind w:left="1134" w:right="1183" w:firstLine="0"/>
        <w:rPr>
          <w:rFonts w:cs="Arial"/>
          <w:color w:val="2E74B5" w:themeColor="accent1" w:themeShade="BF"/>
          <w:sz w:val="22"/>
          <w:szCs w:val="22"/>
        </w:rPr>
      </w:pPr>
      <w:r w:rsidRPr="00010565">
        <w:rPr>
          <w:rFonts w:cs="Arial"/>
          <w:color w:val="2E74B5" w:themeColor="accent1" w:themeShade="BF"/>
          <w:sz w:val="22"/>
          <w:szCs w:val="22"/>
        </w:rPr>
        <w:t xml:space="preserve">II. Que su objeto esté previsto por el ordenamiento jurídico aplicable, determinado o determinable y preciso en cuanto a las circunstancias de tiempo y lugar; </w:t>
      </w:r>
    </w:p>
    <w:p w:rsidR="00010565" w:rsidRPr="00010565" w:rsidRDefault="00010565" w:rsidP="00010565">
      <w:pPr>
        <w:pStyle w:val="corte4fondo"/>
        <w:spacing w:line="240" w:lineRule="auto"/>
        <w:ind w:left="1134" w:right="1183" w:firstLine="0"/>
        <w:rPr>
          <w:rFonts w:cs="Arial"/>
          <w:color w:val="2E74B5" w:themeColor="accent1" w:themeShade="BF"/>
          <w:sz w:val="22"/>
          <w:szCs w:val="22"/>
        </w:rPr>
      </w:pPr>
      <w:r w:rsidRPr="00010565">
        <w:rPr>
          <w:rFonts w:cs="Arial"/>
          <w:color w:val="2E74B5" w:themeColor="accent1" w:themeShade="BF"/>
          <w:sz w:val="22"/>
          <w:szCs w:val="22"/>
        </w:rPr>
        <w:t xml:space="preserve">III. Cumplir con la finalidad de interés público, derivado de las normas jurídicas que regulen la materia; </w:t>
      </w:r>
    </w:p>
    <w:p w:rsidR="00010565" w:rsidRPr="00010565" w:rsidRDefault="00010565" w:rsidP="00010565">
      <w:pPr>
        <w:pStyle w:val="corte4fondo"/>
        <w:spacing w:line="240" w:lineRule="auto"/>
        <w:ind w:left="1134" w:right="1183" w:firstLine="0"/>
        <w:rPr>
          <w:rFonts w:cs="Arial"/>
          <w:color w:val="2E74B5" w:themeColor="accent1" w:themeShade="BF"/>
          <w:sz w:val="22"/>
          <w:szCs w:val="22"/>
        </w:rPr>
      </w:pPr>
      <w:r w:rsidRPr="00010565">
        <w:rPr>
          <w:rFonts w:cs="Arial"/>
          <w:color w:val="2E74B5" w:themeColor="accent1" w:themeShade="BF"/>
          <w:sz w:val="22"/>
          <w:szCs w:val="22"/>
        </w:rPr>
        <w:t xml:space="preserve">IV. Constar por escrito, indicando la autoridad de que emana; V. Estar fundado y motivado; </w:t>
      </w:r>
    </w:p>
    <w:p w:rsidR="00010565" w:rsidRPr="00010565" w:rsidRDefault="00010565" w:rsidP="00010565">
      <w:pPr>
        <w:pStyle w:val="corte4fondo"/>
        <w:spacing w:line="240" w:lineRule="auto"/>
        <w:ind w:left="1134" w:right="1183" w:firstLine="0"/>
        <w:rPr>
          <w:rFonts w:cs="Arial"/>
          <w:color w:val="2E74B5" w:themeColor="accent1" w:themeShade="BF"/>
          <w:sz w:val="22"/>
          <w:szCs w:val="22"/>
        </w:rPr>
      </w:pPr>
      <w:r w:rsidRPr="00010565">
        <w:rPr>
          <w:rFonts w:cs="Arial"/>
          <w:color w:val="2E74B5" w:themeColor="accent1" w:themeShade="BF"/>
          <w:sz w:val="22"/>
          <w:szCs w:val="22"/>
        </w:rPr>
        <w:t>VI. Ser expedido sin que medie error de hecho o de derecho sobre el objeto, causa o motivo, o fin del acto y su emisión, y</w:t>
      </w:r>
    </w:p>
    <w:p w:rsidR="00010565" w:rsidRPr="00010565" w:rsidRDefault="00010565" w:rsidP="00010565">
      <w:pPr>
        <w:pStyle w:val="corte4fondo"/>
        <w:spacing w:line="240" w:lineRule="auto"/>
        <w:ind w:left="1134" w:right="1183" w:firstLine="0"/>
        <w:rPr>
          <w:rFonts w:cs="Arial"/>
          <w:color w:val="2E74B5" w:themeColor="accent1" w:themeShade="BF"/>
          <w:sz w:val="22"/>
          <w:szCs w:val="22"/>
        </w:rPr>
      </w:pPr>
      <w:r w:rsidRPr="00010565">
        <w:rPr>
          <w:rFonts w:cs="Arial"/>
          <w:color w:val="2E74B5" w:themeColor="accent1" w:themeShade="BF"/>
          <w:sz w:val="22"/>
          <w:szCs w:val="22"/>
        </w:rPr>
        <w:t>VII. Ser expedido sin que medie dolo o violencia en su emisión.</w:t>
      </w:r>
    </w:p>
    <w:p w:rsidR="00010565" w:rsidRPr="00010565" w:rsidRDefault="00010565" w:rsidP="00010565">
      <w:pPr>
        <w:pStyle w:val="corte4fondo"/>
        <w:spacing w:line="240" w:lineRule="auto"/>
        <w:ind w:left="1134" w:right="1183" w:firstLine="0"/>
        <w:rPr>
          <w:rFonts w:cs="Arial"/>
          <w:color w:val="2E74B5" w:themeColor="accent1" w:themeShade="BF"/>
          <w:sz w:val="22"/>
          <w:szCs w:val="22"/>
        </w:rPr>
      </w:pPr>
      <w:r w:rsidRPr="00010565">
        <w:rPr>
          <w:rFonts w:cs="Arial"/>
          <w:color w:val="2E74B5" w:themeColor="accent1" w:themeShade="BF"/>
          <w:sz w:val="22"/>
          <w:szCs w:val="22"/>
        </w:rPr>
        <w:t>Emisión.”</w:t>
      </w:r>
    </w:p>
    <w:p w:rsidR="00010565" w:rsidRPr="00010565" w:rsidRDefault="00010565" w:rsidP="00010565">
      <w:pPr>
        <w:pStyle w:val="corte4fondo"/>
        <w:spacing w:line="240" w:lineRule="auto"/>
        <w:ind w:left="1134" w:right="1183" w:firstLine="0"/>
        <w:rPr>
          <w:rFonts w:cs="Arial"/>
          <w:color w:val="2E74B5" w:themeColor="accent1" w:themeShade="BF"/>
          <w:sz w:val="22"/>
          <w:szCs w:val="22"/>
        </w:rPr>
      </w:pPr>
    </w:p>
    <w:p w:rsidR="00010565" w:rsidRPr="00010565" w:rsidRDefault="00010565" w:rsidP="00010565">
      <w:pPr>
        <w:pStyle w:val="corte4fondo"/>
        <w:spacing w:line="240" w:lineRule="auto"/>
        <w:ind w:right="49" w:firstLine="708"/>
        <w:rPr>
          <w:rFonts w:cs="Arial"/>
          <w:color w:val="2E74B5" w:themeColor="accent1" w:themeShade="BF"/>
          <w:sz w:val="24"/>
          <w:szCs w:val="24"/>
        </w:rPr>
      </w:pPr>
      <w:r w:rsidRPr="00010565">
        <w:rPr>
          <w:rFonts w:cs="Arial"/>
          <w:color w:val="2E74B5" w:themeColor="accent1" w:themeShade="BF"/>
          <w:sz w:val="24"/>
          <w:szCs w:val="24"/>
        </w:rPr>
        <w:t xml:space="preserve">En este sentido, para el caso que nos ocupa, el Ayuntamiento de San Luis Potosí debió notificar al recurrente el acta por el cual se determino reservar la información solicitada conforme a un análisis caso por caso, mediante la aplicación de la prueba de daño y de interés público. Lo anterior encuentra su sustento en la Tesis Jurisprudencial siguiente: </w:t>
      </w:r>
    </w:p>
    <w:p w:rsidR="00010565" w:rsidRPr="00010565" w:rsidRDefault="00010565" w:rsidP="00010565">
      <w:pPr>
        <w:pStyle w:val="corte4fondo"/>
        <w:ind w:right="49"/>
        <w:rPr>
          <w:rFonts w:cs="Arial"/>
          <w:color w:val="2E74B5" w:themeColor="accent1" w:themeShade="BF"/>
          <w:sz w:val="24"/>
          <w:szCs w:val="24"/>
        </w:rPr>
      </w:pPr>
    </w:p>
    <w:p w:rsidR="00010565" w:rsidRPr="00010565" w:rsidRDefault="00010565" w:rsidP="00010565">
      <w:pPr>
        <w:pStyle w:val="corte4fondo"/>
        <w:spacing w:line="240" w:lineRule="auto"/>
        <w:ind w:left="1134" w:right="1183" w:firstLine="0"/>
        <w:rPr>
          <w:rFonts w:cs="Arial"/>
          <w:color w:val="2E74B5" w:themeColor="accent1" w:themeShade="BF"/>
          <w:sz w:val="22"/>
          <w:szCs w:val="22"/>
        </w:rPr>
      </w:pPr>
      <w:r w:rsidRPr="00010565">
        <w:rPr>
          <w:rFonts w:cs="Arial"/>
          <w:b/>
          <w:color w:val="2E74B5" w:themeColor="accent1" w:themeShade="BF"/>
          <w:sz w:val="22"/>
          <w:szCs w:val="22"/>
        </w:rPr>
        <w:t>PRUEBA DE DAÑO EN LA CLASIFICACIÓN DE LA INFORMACIÓN PÚBLICA. SU VALIDEZ NO DEPENDE DE LOS MEDIOS DE PRUEBA QUE EL SUJETO OBLIGADO APORTE.</w:t>
      </w:r>
      <w:r w:rsidRPr="00010565">
        <w:rPr>
          <w:rFonts w:cs="Arial"/>
          <w:color w:val="2E74B5" w:themeColor="accent1" w:themeShade="BF"/>
          <w:sz w:val="22"/>
          <w:szCs w:val="22"/>
        </w:rPr>
        <w:t xml:space="preserve"> </w:t>
      </w:r>
    </w:p>
    <w:p w:rsidR="00010565" w:rsidRPr="00010565" w:rsidRDefault="00010565" w:rsidP="00010565">
      <w:pPr>
        <w:pStyle w:val="corte4fondo"/>
        <w:spacing w:line="240" w:lineRule="auto"/>
        <w:ind w:left="1134" w:right="1183" w:firstLine="0"/>
        <w:rPr>
          <w:rFonts w:cs="Arial"/>
          <w:color w:val="2E74B5" w:themeColor="accent1" w:themeShade="BF"/>
          <w:sz w:val="22"/>
          <w:szCs w:val="22"/>
        </w:rPr>
      </w:pPr>
    </w:p>
    <w:p w:rsidR="00010565" w:rsidRPr="00010565" w:rsidRDefault="00010565" w:rsidP="00010565">
      <w:pPr>
        <w:pStyle w:val="corte4fondo"/>
        <w:spacing w:line="240" w:lineRule="auto"/>
        <w:ind w:left="1134" w:right="1183" w:firstLine="0"/>
        <w:rPr>
          <w:rFonts w:cs="Arial"/>
          <w:color w:val="2E74B5" w:themeColor="accent1" w:themeShade="BF"/>
          <w:sz w:val="22"/>
          <w:szCs w:val="22"/>
        </w:rPr>
      </w:pPr>
      <w:r w:rsidRPr="00010565">
        <w:rPr>
          <w:rFonts w:cs="Arial"/>
          <w:color w:val="2E74B5" w:themeColor="accent1" w:themeShade="BF"/>
          <w:sz w:val="22"/>
          <w:szCs w:val="22"/>
        </w:rPr>
        <w:t xml:space="preserve">De acuerdo con el artículo 104 de la Ley General de Transparencia y Acceso a la Información Pública, y con los lineamientos segundo, fracción XIII y trigésimo tercero, de los Lineamientos generales en materia de clasificación y desclasificación de la información, así como para la elaboración de versiones públicas, aprobados por el Consejo Nacional del Sistema Nacional de Transparencia, Acceso a la Información Pública y Protección de Datos Personales y publicados en el Diario Oficial de la Federación el 15 de abril de 2016, </w:t>
      </w:r>
      <w:r w:rsidRPr="00010565">
        <w:rPr>
          <w:rFonts w:cs="Arial"/>
          <w:b/>
          <w:color w:val="2E74B5" w:themeColor="accent1" w:themeShade="BF"/>
          <w:sz w:val="22"/>
          <w:szCs w:val="22"/>
        </w:rPr>
        <w:t xml:space="preserve">la prueba de daño es la argumentación fundada y motivada que deben realizar los sujetos obligados para acreditar que la divulgación de la información lesiona un interés jurídicamente protegido y que el daño que puede producir es mayor que el interés de conocer ésta. </w:t>
      </w:r>
      <w:r w:rsidRPr="00010565">
        <w:rPr>
          <w:rFonts w:cs="Arial"/>
          <w:color w:val="2E74B5" w:themeColor="accent1" w:themeShade="BF"/>
          <w:sz w:val="22"/>
          <w:szCs w:val="22"/>
        </w:rPr>
        <w:t xml:space="preserve">Para tal efecto, disponen que en la clasificación de la información pública (como reservada o confidencial), </w:t>
      </w:r>
      <w:r w:rsidRPr="00010565">
        <w:rPr>
          <w:rFonts w:cs="Arial"/>
          <w:b/>
          <w:color w:val="2E74B5" w:themeColor="accent1" w:themeShade="BF"/>
          <w:sz w:val="22"/>
          <w:szCs w:val="22"/>
        </w:rPr>
        <w:t xml:space="preserve">debe justificarse que su divulgación representa un riesgo real, demostrable e identificable de perjuicio significativo al interés público o a la seguridad nacional; que </w:t>
      </w:r>
      <w:r w:rsidRPr="00010565">
        <w:rPr>
          <w:rFonts w:cs="Arial"/>
          <w:b/>
          <w:color w:val="2E74B5" w:themeColor="accent1" w:themeShade="BF"/>
          <w:sz w:val="22"/>
          <w:szCs w:val="22"/>
        </w:rPr>
        <w:lastRenderedPageBreak/>
        <w:t>ese riesgo supera el interés público general de que se difunda; y, que la limitación se adecua al principio de proporcionalidad y representa el medio menos restrictivo disponible para evitar el perjuicio.</w:t>
      </w:r>
      <w:r w:rsidRPr="00010565">
        <w:rPr>
          <w:rFonts w:cs="Arial"/>
          <w:color w:val="2E74B5" w:themeColor="accent1" w:themeShade="BF"/>
          <w:sz w:val="22"/>
          <w:szCs w:val="22"/>
        </w:rPr>
        <w:t xml:space="preserve"> </w:t>
      </w:r>
      <w:r w:rsidRPr="00010565">
        <w:rPr>
          <w:rFonts w:cs="Arial"/>
          <w:b/>
          <w:color w:val="2E74B5" w:themeColor="accent1" w:themeShade="BF"/>
          <w:sz w:val="22"/>
          <w:szCs w:val="22"/>
        </w:rPr>
        <w:t>Así, la prueba de daño establece líneas argumentativas mínimas que deben cursarse, a fin de constatar que la publicidad de la información solicitada no ocasionaría un daño a un interés jurídicamente protegido, ya sea de índole estatal o particular.</w:t>
      </w:r>
      <w:r w:rsidRPr="00010565">
        <w:rPr>
          <w:rFonts w:cs="Arial"/>
          <w:color w:val="2E74B5" w:themeColor="accent1" w:themeShade="BF"/>
          <w:sz w:val="22"/>
          <w:szCs w:val="22"/>
        </w:rPr>
        <w:t xml:space="preserve"> Por tanto, al tratarse de un aspecto constreñido al ámbito argumentativo, la validez de la prueba de daño no depende de los medios de prueba que el sujeto obligado aporte, sino de la solidez del juicio de ponderación que se efectúe en los términos señalados.</w:t>
      </w:r>
      <w:r w:rsidRPr="00010565">
        <w:rPr>
          <w:rStyle w:val="Refdenotaalpie"/>
          <w:rFonts w:cs="Arial"/>
          <w:color w:val="2E74B5" w:themeColor="accent1" w:themeShade="BF"/>
          <w:sz w:val="22"/>
          <w:szCs w:val="22"/>
        </w:rPr>
        <w:footnoteReference w:id="3"/>
      </w:r>
    </w:p>
    <w:p w:rsidR="00010565" w:rsidRPr="00010565" w:rsidRDefault="00010565" w:rsidP="00010565">
      <w:pPr>
        <w:pStyle w:val="corte4fondo"/>
        <w:ind w:right="49" w:firstLine="0"/>
        <w:rPr>
          <w:rFonts w:cs="Arial"/>
          <w:color w:val="2E74B5" w:themeColor="accent1" w:themeShade="BF"/>
          <w:sz w:val="24"/>
          <w:szCs w:val="24"/>
        </w:rPr>
      </w:pPr>
    </w:p>
    <w:p w:rsidR="00010565" w:rsidRPr="00010565" w:rsidRDefault="00010565" w:rsidP="00010565">
      <w:pPr>
        <w:pStyle w:val="corte4fondo"/>
        <w:spacing w:line="240" w:lineRule="auto"/>
        <w:ind w:right="49" w:firstLine="708"/>
        <w:rPr>
          <w:rFonts w:cs="Arial"/>
          <w:color w:val="2E74B5" w:themeColor="accent1" w:themeShade="BF"/>
          <w:sz w:val="24"/>
          <w:szCs w:val="24"/>
        </w:rPr>
      </w:pPr>
      <w:r w:rsidRPr="00010565">
        <w:rPr>
          <w:rFonts w:cs="Arial"/>
          <w:color w:val="2E74B5" w:themeColor="accent1" w:themeShade="BF"/>
          <w:sz w:val="24"/>
          <w:szCs w:val="24"/>
        </w:rPr>
        <w:t>Aunado a lo anterior, el Obligado no acreditó de manera fehaciente la aplicación de la prueba de daño que hace referencia el artículo 104 de la Ley General de Transparencia, es decir, los requisitos previstos en la porción normativa de los Lineamientos Generales en Materia de Clasificación y Desclasificación de la Información, así como para la Elaboración de Versiones Públicas, que en lo que aquí interesa, señala lo siguiente:</w:t>
      </w:r>
    </w:p>
    <w:p w:rsidR="00010565" w:rsidRPr="00010565" w:rsidRDefault="00010565" w:rsidP="00010565">
      <w:pPr>
        <w:pStyle w:val="corte4fondo"/>
        <w:ind w:right="49" w:firstLine="0"/>
        <w:rPr>
          <w:rFonts w:cs="Arial"/>
          <w:color w:val="2E74B5" w:themeColor="accent1" w:themeShade="BF"/>
          <w:sz w:val="24"/>
          <w:szCs w:val="24"/>
        </w:rPr>
      </w:pPr>
    </w:p>
    <w:p w:rsidR="00010565" w:rsidRPr="00010565" w:rsidRDefault="00010565" w:rsidP="00010565">
      <w:pPr>
        <w:pStyle w:val="corte4fondo"/>
        <w:spacing w:line="240" w:lineRule="auto"/>
        <w:ind w:left="1134" w:right="1183" w:firstLine="0"/>
        <w:rPr>
          <w:rFonts w:cs="Arial"/>
          <w:color w:val="2E74B5" w:themeColor="accent1" w:themeShade="BF"/>
          <w:sz w:val="22"/>
          <w:szCs w:val="22"/>
        </w:rPr>
      </w:pPr>
      <w:r w:rsidRPr="00010565">
        <w:rPr>
          <w:rFonts w:cs="Arial"/>
          <w:b/>
          <w:color w:val="2E74B5" w:themeColor="accent1" w:themeShade="BF"/>
          <w:sz w:val="22"/>
          <w:szCs w:val="22"/>
        </w:rPr>
        <w:t xml:space="preserve">“Trigésimo tercero. </w:t>
      </w:r>
      <w:r w:rsidRPr="00010565">
        <w:rPr>
          <w:rFonts w:cs="Arial"/>
          <w:color w:val="2E74B5" w:themeColor="accent1" w:themeShade="BF"/>
          <w:sz w:val="22"/>
          <w:szCs w:val="22"/>
        </w:rPr>
        <w:t xml:space="preserve">Para la aplicación de la prueba de daño a la que hace referencia el artículo 104 de la Ley General, los sujetos obligados atenderán lo siguiente: </w:t>
      </w:r>
    </w:p>
    <w:p w:rsidR="00010565" w:rsidRPr="00010565" w:rsidRDefault="00010565" w:rsidP="00010565">
      <w:pPr>
        <w:pStyle w:val="corte4fondo"/>
        <w:spacing w:line="240" w:lineRule="auto"/>
        <w:ind w:left="1134" w:right="1183" w:firstLine="0"/>
        <w:rPr>
          <w:rFonts w:cs="Arial"/>
          <w:color w:val="2E74B5" w:themeColor="accent1" w:themeShade="BF"/>
          <w:sz w:val="22"/>
          <w:szCs w:val="22"/>
        </w:rPr>
      </w:pPr>
    </w:p>
    <w:p w:rsidR="00010565" w:rsidRPr="00010565" w:rsidRDefault="00010565" w:rsidP="00010565">
      <w:pPr>
        <w:autoSpaceDE w:val="0"/>
        <w:autoSpaceDN w:val="0"/>
        <w:adjustRightInd w:val="0"/>
        <w:spacing w:line="240" w:lineRule="auto"/>
        <w:ind w:left="1134" w:right="1183"/>
        <w:jc w:val="both"/>
        <w:rPr>
          <w:rFonts w:ascii="Arial" w:eastAsiaTheme="minorHAnsi" w:hAnsi="Arial" w:cs="Arial"/>
          <w:color w:val="2E74B5" w:themeColor="accent1" w:themeShade="BF"/>
        </w:rPr>
      </w:pPr>
      <w:r w:rsidRPr="00010565">
        <w:rPr>
          <w:rFonts w:ascii="Arial" w:eastAsiaTheme="minorHAnsi" w:hAnsi="Arial" w:cs="Arial"/>
          <w:color w:val="2E74B5" w:themeColor="accent1" w:themeShade="BF"/>
        </w:rPr>
        <w:t>I. Se deberá citar la fracción y, en su caso, la causal aplicable del artículo 113 de la Ley General, vinculándola con el Lineamiento específico del presente ordenamiento y, cuando corresponda, el supuesto normativo que expresamente le otorga el carácter de información reservada;</w:t>
      </w:r>
    </w:p>
    <w:p w:rsidR="00010565" w:rsidRPr="00010565" w:rsidRDefault="00010565" w:rsidP="00010565">
      <w:pPr>
        <w:autoSpaceDE w:val="0"/>
        <w:autoSpaceDN w:val="0"/>
        <w:adjustRightInd w:val="0"/>
        <w:spacing w:line="240" w:lineRule="auto"/>
        <w:ind w:left="1134" w:right="1183"/>
        <w:jc w:val="both"/>
        <w:rPr>
          <w:rFonts w:ascii="Arial" w:eastAsiaTheme="minorHAnsi" w:hAnsi="Arial" w:cs="Arial"/>
          <w:color w:val="2E74B5" w:themeColor="accent1" w:themeShade="BF"/>
        </w:rPr>
      </w:pPr>
      <w:r w:rsidRPr="00010565">
        <w:rPr>
          <w:rFonts w:ascii="Arial" w:eastAsiaTheme="minorHAnsi" w:hAnsi="Arial" w:cs="Arial"/>
          <w:color w:val="2E74B5" w:themeColor="accent1" w:themeShade="BF"/>
        </w:rPr>
        <w:t>II. Mediante la ponderación de los intereses en conflicto, los sujetos obligados deberán demostrar que la publicidad de la información solicitada generaría un riesgo de perjuicio y por lo tanto, tendrán que acreditar que este último rebasa el interés público protegido por la reserva;</w:t>
      </w:r>
    </w:p>
    <w:p w:rsidR="00010565" w:rsidRPr="00010565" w:rsidRDefault="00010565" w:rsidP="00010565">
      <w:pPr>
        <w:autoSpaceDE w:val="0"/>
        <w:autoSpaceDN w:val="0"/>
        <w:adjustRightInd w:val="0"/>
        <w:spacing w:line="240" w:lineRule="auto"/>
        <w:ind w:left="1134" w:right="1183"/>
        <w:jc w:val="both"/>
        <w:rPr>
          <w:rFonts w:ascii="Arial" w:eastAsiaTheme="minorHAnsi" w:hAnsi="Arial" w:cs="Arial"/>
          <w:color w:val="2E74B5" w:themeColor="accent1" w:themeShade="BF"/>
        </w:rPr>
      </w:pPr>
      <w:r w:rsidRPr="00010565">
        <w:rPr>
          <w:rFonts w:ascii="Arial" w:eastAsiaTheme="minorHAnsi" w:hAnsi="Arial" w:cs="Arial"/>
          <w:color w:val="2E74B5" w:themeColor="accent1" w:themeShade="BF"/>
        </w:rPr>
        <w:t>III. Se debe de acreditar el vínculo entre la difusión de la información y la afectación del interés jurídico tutelado de que se trate;</w:t>
      </w:r>
    </w:p>
    <w:p w:rsidR="00010565" w:rsidRPr="00010565" w:rsidRDefault="00010565" w:rsidP="00010565">
      <w:pPr>
        <w:autoSpaceDE w:val="0"/>
        <w:autoSpaceDN w:val="0"/>
        <w:adjustRightInd w:val="0"/>
        <w:spacing w:line="240" w:lineRule="auto"/>
        <w:ind w:left="1134" w:right="1183"/>
        <w:jc w:val="both"/>
        <w:rPr>
          <w:rFonts w:ascii="Arial" w:eastAsiaTheme="minorHAnsi" w:hAnsi="Arial" w:cs="Arial"/>
          <w:color w:val="2E74B5" w:themeColor="accent1" w:themeShade="BF"/>
        </w:rPr>
      </w:pPr>
      <w:r w:rsidRPr="00010565">
        <w:rPr>
          <w:rFonts w:ascii="Arial" w:eastAsiaTheme="minorHAnsi" w:hAnsi="Arial" w:cs="Arial"/>
          <w:color w:val="2E74B5" w:themeColor="accent1" w:themeShade="BF"/>
        </w:rPr>
        <w:t>IV. Precisar las razones objetivas por las que la apertura de la información generaría una afectación, a través de los elementos de un riesgo real, demostrable e identificable;</w:t>
      </w:r>
    </w:p>
    <w:p w:rsidR="00010565" w:rsidRPr="00010565" w:rsidRDefault="00010565" w:rsidP="00010565">
      <w:pPr>
        <w:autoSpaceDE w:val="0"/>
        <w:autoSpaceDN w:val="0"/>
        <w:adjustRightInd w:val="0"/>
        <w:spacing w:line="240" w:lineRule="auto"/>
        <w:ind w:left="1134" w:right="1183"/>
        <w:jc w:val="both"/>
        <w:rPr>
          <w:rFonts w:ascii="Arial" w:eastAsiaTheme="minorHAnsi" w:hAnsi="Arial" w:cs="Arial"/>
          <w:color w:val="2E74B5" w:themeColor="accent1" w:themeShade="BF"/>
        </w:rPr>
      </w:pPr>
      <w:r w:rsidRPr="00010565">
        <w:rPr>
          <w:rFonts w:ascii="Arial" w:eastAsiaTheme="minorHAnsi" w:hAnsi="Arial" w:cs="Arial"/>
          <w:color w:val="2E74B5" w:themeColor="accent1" w:themeShade="BF"/>
        </w:rPr>
        <w:t xml:space="preserve">V. En la motivación de la clasificación, el sujeto obligado deberá acreditar las circunstancias de modo, tiempo y lugar del daño, y </w:t>
      </w:r>
    </w:p>
    <w:p w:rsidR="00010565" w:rsidRPr="00010565" w:rsidRDefault="00010565" w:rsidP="00010565">
      <w:pPr>
        <w:autoSpaceDE w:val="0"/>
        <w:autoSpaceDN w:val="0"/>
        <w:adjustRightInd w:val="0"/>
        <w:spacing w:line="240" w:lineRule="auto"/>
        <w:ind w:left="1134" w:right="1183"/>
        <w:jc w:val="both"/>
        <w:rPr>
          <w:rFonts w:ascii="Arial" w:hAnsi="Arial" w:cs="Arial"/>
          <w:color w:val="2E74B5" w:themeColor="accent1" w:themeShade="BF"/>
        </w:rPr>
      </w:pPr>
      <w:r w:rsidRPr="00010565">
        <w:rPr>
          <w:rFonts w:ascii="Arial" w:eastAsiaTheme="minorHAnsi" w:hAnsi="Arial" w:cs="Arial"/>
          <w:color w:val="2E74B5" w:themeColor="accent1" w:themeShade="BF"/>
        </w:rPr>
        <w:t>VI. Deberán elegir la opción de excepción al acceso a la información que menos lo restrinja, la cual será adecuada y proporcional para la protección del interés público, y deberá interferir lo menos posible en el ejercicio efectivo del derecho de acceso a la información.</w:t>
      </w:r>
    </w:p>
    <w:p w:rsidR="00010565" w:rsidRPr="00010565" w:rsidRDefault="00010565" w:rsidP="00010565">
      <w:pPr>
        <w:pStyle w:val="corte4fondo"/>
        <w:spacing w:line="240" w:lineRule="auto"/>
        <w:ind w:right="1183" w:firstLine="0"/>
        <w:rPr>
          <w:rFonts w:cs="Arial"/>
          <w:color w:val="2E74B5" w:themeColor="accent1" w:themeShade="BF"/>
          <w:sz w:val="22"/>
          <w:szCs w:val="22"/>
        </w:rPr>
      </w:pPr>
    </w:p>
    <w:p w:rsidR="00010565" w:rsidRPr="00010565" w:rsidRDefault="00010565" w:rsidP="00010565">
      <w:pPr>
        <w:pStyle w:val="corte4fondo"/>
        <w:spacing w:line="240" w:lineRule="auto"/>
        <w:ind w:right="49" w:firstLine="708"/>
        <w:rPr>
          <w:rFonts w:cs="Arial"/>
          <w:color w:val="2E74B5" w:themeColor="accent1" w:themeShade="BF"/>
          <w:sz w:val="24"/>
          <w:szCs w:val="24"/>
        </w:rPr>
      </w:pPr>
      <w:r w:rsidRPr="00010565">
        <w:rPr>
          <w:rFonts w:cs="Arial"/>
          <w:color w:val="2E74B5" w:themeColor="accent1" w:themeShade="BF"/>
          <w:sz w:val="24"/>
          <w:szCs w:val="24"/>
        </w:rPr>
        <w:lastRenderedPageBreak/>
        <w:t xml:space="preserve">En este orden de ideas, se desprende que para efecto de analizar el derecho de acceso del peticionario, la información reservada podrá darse a conocer públicamente, mediante la elaboración de una "prueba de daño" -prevista en las Leyes Federal y General de Transparencia y Acceso a la Información Pública- que consiste, medularmente, en la </w:t>
      </w:r>
      <w:r w:rsidRPr="00010565">
        <w:rPr>
          <w:rFonts w:cs="Arial"/>
          <w:color w:val="2E74B5" w:themeColor="accent1" w:themeShade="BF"/>
          <w:sz w:val="24"/>
          <w:szCs w:val="24"/>
          <w:u w:val="single"/>
        </w:rPr>
        <w:t xml:space="preserve">facultad de la autoridad que posee la información solicitada para ponderar y valorar mediante la debida fundamentación y motivación, el proporcionarla o no, en tanto que su divulgación ponga en riesgo o pueda causar un perjuicio real al objetivo o principio que trata de salvaguardar, y de manera estricta debe demostrarse que el perjuicio u objetivo reservado, resulta mayormente afectado que los beneficios que podrían lograrse con la difusión de la información, </w:t>
      </w:r>
      <w:r w:rsidRPr="00010565">
        <w:rPr>
          <w:rFonts w:cs="Arial"/>
          <w:color w:val="2E74B5" w:themeColor="accent1" w:themeShade="BF"/>
          <w:sz w:val="24"/>
          <w:szCs w:val="24"/>
        </w:rPr>
        <w:t xml:space="preserve">lo cual, en el caso concreto no aconteció. </w:t>
      </w:r>
    </w:p>
    <w:p w:rsidR="00010565" w:rsidRPr="00010565" w:rsidRDefault="00010565" w:rsidP="00010565">
      <w:pPr>
        <w:pStyle w:val="corte4fondo"/>
        <w:ind w:right="49" w:firstLine="0"/>
        <w:rPr>
          <w:rFonts w:cs="Arial"/>
          <w:color w:val="2E74B5" w:themeColor="accent1" w:themeShade="BF"/>
          <w:sz w:val="24"/>
          <w:szCs w:val="24"/>
        </w:rPr>
      </w:pPr>
    </w:p>
    <w:p w:rsidR="00010565" w:rsidRPr="00010565" w:rsidRDefault="00010565" w:rsidP="00010565">
      <w:pPr>
        <w:pStyle w:val="corte4fondo"/>
        <w:spacing w:line="240" w:lineRule="auto"/>
        <w:ind w:right="49" w:firstLine="708"/>
        <w:rPr>
          <w:rFonts w:cs="Arial"/>
          <w:color w:val="2E74B5" w:themeColor="accent1" w:themeShade="BF"/>
          <w:sz w:val="24"/>
          <w:szCs w:val="24"/>
        </w:rPr>
      </w:pPr>
      <w:r w:rsidRPr="00010565">
        <w:rPr>
          <w:rFonts w:cs="Arial"/>
          <w:color w:val="2E74B5" w:themeColor="accent1" w:themeShade="BF"/>
          <w:sz w:val="24"/>
          <w:szCs w:val="24"/>
        </w:rPr>
        <w:t xml:space="preserve">Lo anterior, conforme al principio de buena fe en materia de acceso a la información, previsto en el artículo 6o., fracción III, de la Constitución Política de los Estados Unidos Mexicanos, el cual dispone que toda persona, sin necesidad de acreditar interés alguno o justificar su utilización, tendrá acceso gratuito a la información pública. </w:t>
      </w:r>
    </w:p>
    <w:p w:rsidR="00010565" w:rsidRPr="00010565" w:rsidRDefault="00010565" w:rsidP="00010565">
      <w:pPr>
        <w:pStyle w:val="corte4fondo"/>
        <w:ind w:right="49" w:firstLine="0"/>
        <w:rPr>
          <w:rFonts w:cs="Arial"/>
          <w:color w:val="2E74B5" w:themeColor="accent1" w:themeShade="BF"/>
          <w:sz w:val="24"/>
          <w:szCs w:val="24"/>
        </w:rPr>
      </w:pPr>
    </w:p>
    <w:p w:rsidR="00010565" w:rsidRPr="00010565" w:rsidRDefault="00010565" w:rsidP="00010565">
      <w:pPr>
        <w:autoSpaceDE w:val="0"/>
        <w:autoSpaceDN w:val="0"/>
        <w:adjustRightInd w:val="0"/>
        <w:ind w:firstLine="708"/>
        <w:jc w:val="both"/>
        <w:rPr>
          <w:rFonts w:ascii="Arial" w:hAnsi="Arial" w:cs="Arial"/>
          <w:color w:val="2E74B5" w:themeColor="accent1" w:themeShade="BF"/>
          <w:sz w:val="24"/>
        </w:rPr>
      </w:pPr>
      <w:r w:rsidRPr="00010565">
        <w:rPr>
          <w:rFonts w:ascii="Arial" w:hAnsi="Arial" w:cs="Arial"/>
          <w:color w:val="2E74B5" w:themeColor="accent1" w:themeShade="BF"/>
          <w:sz w:val="24"/>
          <w:szCs w:val="24"/>
        </w:rPr>
        <w:t>Además, tal y como lo refiere el solicitante, respecto a la naturaleza de la información referente a informar si respecto el servidor público aludido en su solicitud</w:t>
      </w:r>
      <w:r w:rsidRPr="00010565">
        <w:rPr>
          <w:rFonts w:ascii="Arial" w:hAnsi="Arial" w:cs="Arial"/>
          <w:color w:val="2E74B5" w:themeColor="accent1" w:themeShade="BF"/>
          <w:sz w:val="24"/>
        </w:rPr>
        <w:t>; ¿si se desempeña como trabajador?,  ¿cuál es o fue el departamento de adscripción?, ¿hasta cuándo laboró? y ¿cuál fue el motivo del término de</w:t>
      </w:r>
      <w:r>
        <w:rPr>
          <w:rFonts w:ascii="Arial" w:hAnsi="Arial" w:cs="Arial"/>
          <w:color w:val="2E74B5" w:themeColor="accent1" w:themeShade="BF"/>
          <w:sz w:val="24"/>
        </w:rPr>
        <w:t xml:space="preserve"> la</w:t>
      </w:r>
      <w:r w:rsidRPr="00010565">
        <w:rPr>
          <w:rFonts w:ascii="Arial" w:hAnsi="Arial" w:cs="Arial"/>
          <w:color w:val="2E74B5" w:themeColor="accent1" w:themeShade="BF"/>
          <w:sz w:val="24"/>
        </w:rPr>
        <w:t xml:space="preserve"> relación laboral?</w:t>
      </w:r>
      <w:r w:rsidRPr="00010565">
        <w:rPr>
          <w:rFonts w:ascii="Arial" w:hAnsi="Arial" w:cs="Arial"/>
          <w:color w:val="2E74B5" w:themeColor="accent1" w:themeShade="BF"/>
          <w:sz w:val="24"/>
          <w:szCs w:val="24"/>
        </w:rPr>
        <w:t>, esta Comisión presume que la existencia de dicha información, por referirse a las facultades, competencias y funciones que los ordenamientos jurídicos aplicables le otorgan al referido Ayuntamiento, tal y como lo establecen los artículos 18 y 19 de la Ley de Transparencia y Acceso a la Información Pública el Estado, por lo que la información solicitada, deberá otorgársele la calidad de pública por encontrarse dentro de los archivos del Sujeto Obligado como</w:t>
      </w:r>
      <w:r w:rsidRPr="00010565">
        <w:rPr>
          <w:rFonts w:ascii="Arial" w:eastAsia="Arial" w:hAnsi="Arial" w:cs="Arial"/>
          <w:color w:val="2E74B5" w:themeColor="accent1" w:themeShade="BF"/>
          <w:sz w:val="24"/>
          <w:szCs w:val="24"/>
        </w:rPr>
        <w:t xml:space="preserve">  </w:t>
      </w:r>
      <w:r w:rsidRPr="00010565">
        <w:rPr>
          <w:rFonts w:ascii="Arial" w:eastAsia="Arial" w:hAnsi="Arial" w:cs="Arial"/>
          <w:color w:val="2E74B5" w:themeColor="accent1" w:themeShade="BF"/>
          <w:spacing w:val="1"/>
          <w:sz w:val="24"/>
          <w:szCs w:val="24"/>
        </w:rPr>
        <w:t>p</w:t>
      </w:r>
      <w:r w:rsidRPr="00010565">
        <w:rPr>
          <w:rFonts w:ascii="Arial" w:eastAsia="Arial" w:hAnsi="Arial" w:cs="Arial"/>
          <w:color w:val="2E74B5" w:themeColor="accent1" w:themeShade="BF"/>
          <w:spacing w:val="-1"/>
          <w:sz w:val="24"/>
          <w:szCs w:val="24"/>
        </w:rPr>
        <w:t>r</w:t>
      </w:r>
      <w:r w:rsidRPr="00010565">
        <w:rPr>
          <w:rFonts w:ascii="Arial" w:eastAsia="Arial" w:hAnsi="Arial" w:cs="Arial"/>
          <w:color w:val="2E74B5" w:themeColor="accent1" w:themeShade="BF"/>
          <w:spacing w:val="1"/>
          <w:sz w:val="24"/>
          <w:szCs w:val="24"/>
        </w:rPr>
        <w:t>odu</w:t>
      </w:r>
      <w:r w:rsidRPr="00010565">
        <w:rPr>
          <w:rFonts w:ascii="Arial" w:eastAsia="Arial" w:hAnsi="Arial" w:cs="Arial"/>
          <w:color w:val="2E74B5" w:themeColor="accent1" w:themeShade="BF"/>
          <w:sz w:val="24"/>
          <w:szCs w:val="24"/>
        </w:rPr>
        <w:t xml:space="preserve">cto  </w:t>
      </w:r>
      <w:r w:rsidRPr="00010565">
        <w:rPr>
          <w:rFonts w:ascii="Arial" w:eastAsia="Arial" w:hAnsi="Arial" w:cs="Arial"/>
          <w:color w:val="2E74B5" w:themeColor="accent1" w:themeShade="BF"/>
          <w:spacing w:val="1"/>
          <w:sz w:val="24"/>
          <w:szCs w:val="24"/>
        </w:rPr>
        <w:t>d</w:t>
      </w:r>
      <w:r w:rsidRPr="00010565">
        <w:rPr>
          <w:rFonts w:ascii="Arial" w:eastAsia="Arial" w:hAnsi="Arial" w:cs="Arial"/>
          <w:color w:val="2E74B5" w:themeColor="accent1" w:themeShade="BF"/>
          <w:sz w:val="24"/>
          <w:szCs w:val="24"/>
        </w:rPr>
        <w:t xml:space="preserve">e </w:t>
      </w:r>
      <w:r w:rsidRPr="00010565">
        <w:rPr>
          <w:rFonts w:ascii="Arial" w:eastAsia="Arial" w:hAnsi="Arial" w:cs="Arial"/>
          <w:color w:val="2E74B5" w:themeColor="accent1" w:themeShade="BF"/>
          <w:spacing w:val="3"/>
          <w:sz w:val="24"/>
          <w:szCs w:val="24"/>
        </w:rPr>
        <w:t xml:space="preserve"> </w:t>
      </w:r>
      <w:r w:rsidRPr="00010565">
        <w:rPr>
          <w:rFonts w:ascii="Arial" w:eastAsia="Arial" w:hAnsi="Arial" w:cs="Arial"/>
          <w:color w:val="2E74B5" w:themeColor="accent1" w:themeShade="BF"/>
          <w:spacing w:val="1"/>
          <w:sz w:val="24"/>
          <w:szCs w:val="24"/>
        </w:rPr>
        <w:t>u</w:t>
      </w:r>
      <w:r w:rsidRPr="00010565">
        <w:rPr>
          <w:rFonts w:ascii="Arial" w:eastAsia="Arial" w:hAnsi="Arial" w:cs="Arial"/>
          <w:color w:val="2E74B5" w:themeColor="accent1" w:themeShade="BF"/>
          <w:sz w:val="24"/>
          <w:szCs w:val="24"/>
        </w:rPr>
        <w:t xml:space="preserve">n </w:t>
      </w:r>
      <w:r w:rsidRPr="00010565">
        <w:rPr>
          <w:rFonts w:ascii="Arial" w:eastAsia="Arial" w:hAnsi="Arial" w:cs="Arial"/>
          <w:color w:val="2E74B5" w:themeColor="accent1" w:themeShade="BF"/>
          <w:spacing w:val="3"/>
          <w:sz w:val="24"/>
          <w:szCs w:val="24"/>
        </w:rPr>
        <w:t xml:space="preserve"> </w:t>
      </w:r>
      <w:r w:rsidRPr="00010565">
        <w:rPr>
          <w:rFonts w:ascii="Arial" w:eastAsia="Arial" w:hAnsi="Arial" w:cs="Arial"/>
          <w:color w:val="2E74B5" w:themeColor="accent1" w:themeShade="BF"/>
          <w:spacing w:val="1"/>
          <w:sz w:val="24"/>
          <w:szCs w:val="24"/>
        </w:rPr>
        <w:t>con</w:t>
      </w:r>
      <w:r w:rsidRPr="00010565">
        <w:rPr>
          <w:rFonts w:ascii="Arial" w:eastAsia="Arial" w:hAnsi="Arial" w:cs="Arial"/>
          <w:color w:val="2E74B5" w:themeColor="accent1" w:themeShade="BF"/>
          <w:spacing w:val="-3"/>
          <w:sz w:val="24"/>
          <w:szCs w:val="24"/>
        </w:rPr>
        <w:t>j</w:t>
      </w:r>
      <w:r w:rsidRPr="00010565">
        <w:rPr>
          <w:rFonts w:ascii="Arial" w:eastAsia="Arial" w:hAnsi="Arial" w:cs="Arial"/>
          <w:color w:val="2E74B5" w:themeColor="accent1" w:themeShade="BF"/>
          <w:spacing w:val="1"/>
          <w:sz w:val="24"/>
          <w:szCs w:val="24"/>
        </w:rPr>
        <w:t>un</w:t>
      </w:r>
      <w:r w:rsidRPr="00010565">
        <w:rPr>
          <w:rFonts w:ascii="Arial" w:eastAsia="Arial" w:hAnsi="Arial" w:cs="Arial"/>
          <w:color w:val="2E74B5" w:themeColor="accent1" w:themeShade="BF"/>
          <w:spacing w:val="-2"/>
          <w:sz w:val="24"/>
          <w:szCs w:val="24"/>
        </w:rPr>
        <w:t>t</w:t>
      </w:r>
      <w:r w:rsidRPr="00010565">
        <w:rPr>
          <w:rFonts w:ascii="Arial" w:eastAsia="Arial" w:hAnsi="Arial" w:cs="Arial"/>
          <w:color w:val="2E74B5" w:themeColor="accent1" w:themeShade="BF"/>
          <w:sz w:val="24"/>
          <w:szCs w:val="24"/>
        </w:rPr>
        <w:t xml:space="preserve">o  </w:t>
      </w:r>
      <w:r w:rsidRPr="00010565">
        <w:rPr>
          <w:rFonts w:ascii="Arial" w:eastAsia="Arial" w:hAnsi="Arial" w:cs="Arial"/>
          <w:color w:val="2E74B5" w:themeColor="accent1" w:themeShade="BF"/>
          <w:spacing w:val="1"/>
          <w:sz w:val="24"/>
          <w:szCs w:val="24"/>
        </w:rPr>
        <w:t xml:space="preserve"> </w:t>
      </w:r>
      <w:r w:rsidRPr="00010565">
        <w:rPr>
          <w:rFonts w:ascii="Arial" w:eastAsia="Arial" w:hAnsi="Arial" w:cs="Arial"/>
          <w:color w:val="2E74B5" w:themeColor="accent1" w:themeShade="BF"/>
          <w:spacing w:val="-1"/>
          <w:sz w:val="24"/>
          <w:szCs w:val="24"/>
        </w:rPr>
        <w:t>d</w:t>
      </w:r>
      <w:r w:rsidRPr="00010565">
        <w:rPr>
          <w:rFonts w:ascii="Arial" w:eastAsia="Arial" w:hAnsi="Arial" w:cs="Arial"/>
          <w:color w:val="2E74B5" w:themeColor="accent1" w:themeShade="BF"/>
          <w:sz w:val="24"/>
          <w:szCs w:val="24"/>
        </w:rPr>
        <w:t>e  res</w:t>
      </w:r>
      <w:r w:rsidRPr="00010565">
        <w:rPr>
          <w:rFonts w:ascii="Arial" w:eastAsia="Arial" w:hAnsi="Arial" w:cs="Arial"/>
          <w:color w:val="2E74B5" w:themeColor="accent1" w:themeShade="BF"/>
          <w:spacing w:val="1"/>
          <w:sz w:val="24"/>
          <w:szCs w:val="24"/>
        </w:rPr>
        <w:t>u</w:t>
      </w:r>
      <w:r w:rsidRPr="00010565">
        <w:rPr>
          <w:rFonts w:ascii="Arial" w:eastAsia="Arial" w:hAnsi="Arial" w:cs="Arial"/>
          <w:color w:val="2E74B5" w:themeColor="accent1" w:themeShade="BF"/>
          <w:sz w:val="24"/>
          <w:szCs w:val="24"/>
        </w:rPr>
        <w:t>lt</w:t>
      </w:r>
      <w:r w:rsidRPr="00010565">
        <w:rPr>
          <w:rFonts w:ascii="Arial" w:eastAsia="Arial" w:hAnsi="Arial" w:cs="Arial"/>
          <w:color w:val="2E74B5" w:themeColor="accent1" w:themeShade="BF"/>
          <w:spacing w:val="-1"/>
          <w:sz w:val="24"/>
          <w:szCs w:val="24"/>
        </w:rPr>
        <w:t>ad</w:t>
      </w:r>
      <w:r w:rsidRPr="00010565">
        <w:rPr>
          <w:rFonts w:ascii="Arial" w:eastAsia="Arial" w:hAnsi="Arial" w:cs="Arial"/>
          <w:color w:val="2E74B5" w:themeColor="accent1" w:themeShade="BF"/>
          <w:spacing w:val="-2"/>
          <w:sz w:val="24"/>
          <w:szCs w:val="24"/>
        </w:rPr>
        <w:t>o</w:t>
      </w:r>
      <w:r w:rsidRPr="00010565">
        <w:rPr>
          <w:rFonts w:ascii="Arial" w:eastAsia="Arial" w:hAnsi="Arial" w:cs="Arial"/>
          <w:color w:val="2E74B5" w:themeColor="accent1" w:themeShade="BF"/>
          <w:sz w:val="24"/>
          <w:szCs w:val="24"/>
        </w:rPr>
        <w:t>s c</w:t>
      </w:r>
      <w:r w:rsidRPr="00010565">
        <w:rPr>
          <w:rFonts w:ascii="Arial" w:eastAsia="Arial" w:hAnsi="Arial" w:cs="Arial"/>
          <w:color w:val="2E74B5" w:themeColor="accent1" w:themeShade="BF"/>
          <w:spacing w:val="1"/>
          <w:sz w:val="24"/>
          <w:szCs w:val="24"/>
        </w:rPr>
        <w:t>uan</w:t>
      </w:r>
      <w:r w:rsidRPr="00010565">
        <w:rPr>
          <w:rFonts w:ascii="Arial" w:eastAsia="Arial" w:hAnsi="Arial" w:cs="Arial"/>
          <w:color w:val="2E74B5" w:themeColor="accent1" w:themeShade="BF"/>
          <w:sz w:val="24"/>
          <w:szCs w:val="24"/>
        </w:rPr>
        <w:t>ti</w:t>
      </w:r>
      <w:r w:rsidRPr="00010565">
        <w:rPr>
          <w:rFonts w:ascii="Arial" w:eastAsia="Arial" w:hAnsi="Arial" w:cs="Arial"/>
          <w:color w:val="2E74B5" w:themeColor="accent1" w:themeShade="BF"/>
          <w:spacing w:val="-2"/>
          <w:sz w:val="24"/>
          <w:szCs w:val="24"/>
        </w:rPr>
        <w:t>t</w:t>
      </w:r>
      <w:r w:rsidRPr="00010565">
        <w:rPr>
          <w:rFonts w:ascii="Arial" w:eastAsia="Arial" w:hAnsi="Arial" w:cs="Arial"/>
          <w:color w:val="2E74B5" w:themeColor="accent1" w:themeShade="BF"/>
          <w:spacing w:val="1"/>
          <w:sz w:val="24"/>
          <w:szCs w:val="24"/>
        </w:rPr>
        <w:t>a</w:t>
      </w:r>
      <w:r w:rsidRPr="00010565">
        <w:rPr>
          <w:rFonts w:ascii="Arial" w:eastAsia="Arial" w:hAnsi="Arial" w:cs="Arial"/>
          <w:color w:val="2E74B5" w:themeColor="accent1" w:themeShade="BF"/>
          <w:sz w:val="24"/>
          <w:szCs w:val="24"/>
        </w:rPr>
        <w:t>ti</w:t>
      </w:r>
      <w:r w:rsidRPr="00010565">
        <w:rPr>
          <w:rFonts w:ascii="Arial" w:eastAsia="Arial" w:hAnsi="Arial" w:cs="Arial"/>
          <w:color w:val="2E74B5" w:themeColor="accent1" w:themeShade="BF"/>
          <w:spacing w:val="-5"/>
          <w:sz w:val="24"/>
          <w:szCs w:val="24"/>
        </w:rPr>
        <w:t>v</w:t>
      </w:r>
      <w:r w:rsidRPr="00010565">
        <w:rPr>
          <w:rFonts w:ascii="Arial" w:eastAsia="Arial" w:hAnsi="Arial" w:cs="Arial"/>
          <w:color w:val="2E74B5" w:themeColor="accent1" w:themeShade="BF"/>
          <w:spacing w:val="1"/>
          <w:sz w:val="24"/>
          <w:szCs w:val="24"/>
        </w:rPr>
        <w:t>o</w:t>
      </w:r>
      <w:r w:rsidRPr="00010565">
        <w:rPr>
          <w:rFonts w:ascii="Arial" w:eastAsia="Arial" w:hAnsi="Arial" w:cs="Arial"/>
          <w:color w:val="2E74B5" w:themeColor="accent1" w:themeShade="BF"/>
          <w:sz w:val="24"/>
          <w:szCs w:val="24"/>
        </w:rPr>
        <w:t>s</w:t>
      </w:r>
      <w:r w:rsidRPr="00010565">
        <w:rPr>
          <w:rFonts w:ascii="Arial" w:eastAsia="Arial" w:hAnsi="Arial" w:cs="Arial"/>
          <w:color w:val="2E74B5" w:themeColor="accent1" w:themeShade="BF"/>
          <w:spacing w:val="2"/>
          <w:sz w:val="24"/>
          <w:szCs w:val="24"/>
        </w:rPr>
        <w:t xml:space="preserve"> </w:t>
      </w:r>
      <w:r w:rsidRPr="00010565">
        <w:rPr>
          <w:rFonts w:ascii="Arial" w:eastAsia="Arial" w:hAnsi="Arial" w:cs="Arial"/>
          <w:color w:val="2E74B5" w:themeColor="accent1" w:themeShade="BF"/>
          <w:spacing w:val="1"/>
          <w:sz w:val="24"/>
          <w:szCs w:val="24"/>
        </w:rPr>
        <w:t>obten</w:t>
      </w:r>
      <w:r w:rsidRPr="00010565">
        <w:rPr>
          <w:rFonts w:ascii="Arial" w:eastAsia="Arial" w:hAnsi="Arial" w:cs="Arial"/>
          <w:color w:val="2E74B5" w:themeColor="accent1" w:themeShade="BF"/>
          <w:spacing w:val="-3"/>
          <w:sz w:val="24"/>
          <w:szCs w:val="24"/>
        </w:rPr>
        <w:t>i</w:t>
      </w:r>
      <w:r w:rsidRPr="00010565">
        <w:rPr>
          <w:rFonts w:ascii="Arial" w:eastAsia="Arial" w:hAnsi="Arial" w:cs="Arial"/>
          <w:color w:val="2E74B5" w:themeColor="accent1" w:themeShade="BF"/>
          <w:spacing w:val="1"/>
          <w:sz w:val="24"/>
          <w:szCs w:val="24"/>
        </w:rPr>
        <w:t>do</w:t>
      </w:r>
      <w:r w:rsidRPr="00010565">
        <w:rPr>
          <w:rFonts w:ascii="Arial" w:eastAsia="Arial" w:hAnsi="Arial" w:cs="Arial"/>
          <w:color w:val="2E74B5" w:themeColor="accent1" w:themeShade="BF"/>
          <w:sz w:val="24"/>
          <w:szCs w:val="24"/>
        </w:rPr>
        <w:t>s</w:t>
      </w:r>
      <w:r w:rsidRPr="00010565">
        <w:rPr>
          <w:rFonts w:ascii="Arial" w:eastAsia="Arial" w:hAnsi="Arial" w:cs="Arial"/>
          <w:color w:val="2E74B5" w:themeColor="accent1" w:themeShade="BF"/>
          <w:spacing w:val="2"/>
          <w:sz w:val="24"/>
          <w:szCs w:val="24"/>
        </w:rPr>
        <w:t xml:space="preserve"> </w:t>
      </w:r>
      <w:r w:rsidRPr="00010565">
        <w:rPr>
          <w:rFonts w:ascii="Arial" w:eastAsia="Arial" w:hAnsi="Arial" w:cs="Arial"/>
          <w:color w:val="2E74B5" w:themeColor="accent1" w:themeShade="BF"/>
          <w:spacing w:val="1"/>
          <w:sz w:val="24"/>
          <w:szCs w:val="24"/>
        </w:rPr>
        <w:t>d</w:t>
      </w:r>
      <w:r w:rsidRPr="00010565">
        <w:rPr>
          <w:rFonts w:ascii="Arial" w:eastAsia="Arial" w:hAnsi="Arial" w:cs="Arial"/>
          <w:color w:val="2E74B5" w:themeColor="accent1" w:themeShade="BF"/>
          <w:sz w:val="24"/>
          <w:szCs w:val="24"/>
        </w:rPr>
        <w:t>e</w:t>
      </w:r>
      <w:r w:rsidRPr="00010565">
        <w:rPr>
          <w:rFonts w:ascii="Arial" w:eastAsia="Arial" w:hAnsi="Arial" w:cs="Arial"/>
          <w:color w:val="2E74B5" w:themeColor="accent1" w:themeShade="BF"/>
          <w:spacing w:val="3"/>
          <w:sz w:val="24"/>
          <w:szCs w:val="24"/>
        </w:rPr>
        <w:t xml:space="preserve"> </w:t>
      </w:r>
      <w:r w:rsidRPr="00010565">
        <w:rPr>
          <w:rFonts w:ascii="Arial" w:eastAsia="Arial" w:hAnsi="Arial" w:cs="Arial"/>
          <w:color w:val="2E74B5" w:themeColor="accent1" w:themeShade="BF"/>
          <w:spacing w:val="1"/>
          <w:sz w:val="24"/>
          <w:szCs w:val="24"/>
        </w:rPr>
        <w:t>u</w:t>
      </w:r>
      <w:r w:rsidRPr="00010565">
        <w:rPr>
          <w:rFonts w:ascii="Arial" w:eastAsia="Arial" w:hAnsi="Arial" w:cs="Arial"/>
          <w:color w:val="2E74B5" w:themeColor="accent1" w:themeShade="BF"/>
          <w:sz w:val="24"/>
          <w:szCs w:val="24"/>
        </w:rPr>
        <w:t xml:space="preserve">n </w:t>
      </w:r>
      <w:r w:rsidRPr="00010565">
        <w:rPr>
          <w:rFonts w:ascii="Arial" w:eastAsia="Arial" w:hAnsi="Arial" w:cs="Arial"/>
          <w:color w:val="2E74B5" w:themeColor="accent1" w:themeShade="BF"/>
          <w:spacing w:val="3"/>
          <w:sz w:val="24"/>
          <w:szCs w:val="24"/>
        </w:rPr>
        <w:t>p</w:t>
      </w:r>
      <w:r w:rsidRPr="00010565">
        <w:rPr>
          <w:rFonts w:ascii="Arial" w:eastAsia="Arial" w:hAnsi="Arial" w:cs="Arial"/>
          <w:color w:val="2E74B5" w:themeColor="accent1" w:themeShade="BF"/>
          <w:sz w:val="24"/>
          <w:szCs w:val="24"/>
        </w:rPr>
        <w:t>ro</w:t>
      </w:r>
      <w:r w:rsidRPr="00010565">
        <w:rPr>
          <w:rFonts w:ascii="Arial" w:eastAsia="Arial" w:hAnsi="Arial" w:cs="Arial"/>
          <w:color w:val="2E74B5" w:themeColor="accent1" w:themeShade="BF"/>
          <w:spacing w:val="1"/>
          <w:sz w:val="24"/>
          <w:szCs w:val="24"/>
        </w:rPr>
        <w:t>ce</w:t>
      </w:r>
      <w:r w:rsidRPr="00010565">
        <w:rPr>
          <w:rFonts w:ascii="Arial" w:eastAsia="Arial" w:hAnsi="Arial" w:cs="Arial"/>
          <w:color w:val="2E74B5" w:themeColor="accent1" w:themeShade="BF"/>
          <w:spacing w:val="-2"/>
          <w:sz w:val="24"/>
          <w:szCs w:val="24"/>
        </w:rPr>
        <w:t>s</w:t>
      </w:r>
      <w:r w:rsidRPr="00010565">
        <w:rPr>
          <w:rFonts w:ascii="Arial" w:eastAsia="Arial" w:hAnsi="Arial" w:cs="Arial"/>
          <w:color w:val="2E74B5" w:themeColor="accent1" w:themeShade="BF"/>
          <w:sz w:val="24"/>
          <w:szCs w:val="24"/>
        </w:rPr>
        <w:t>o</w:t>
      </w:r>
      <w:r w:rsidRPr="00010565">
        <w:rPr>
          <w:rFonts w:ascii="Arial" w:eastAsia="Arial" w:hAnsi="Arial" w:cs="Arial"/>
          <w:color w:val="2E74B5" w:themeColor="accent1" w:themeShade="BF"/>
          <w:spacing w:val="2"/>
          <w:sz w:val="24"/>
          <w:szCs w:val="24"/>
        </w:rPr>
        <w:t xml:space="preserve"> </w:t>
      </w:r>
      <w:r w:rsidRPr="00010565">
        <w:rPr>
          <w:rFonts w:ascii="Arial" w:eastAsia="Arial" w:hAnsi="Arial" w:cs="Arial"/>
          <w:color w:val="2E74B5" w:themeColor="accent1" w:themeShade="BF"/>
          <w:sz w:val="24"/>
          <w:szCs w:val="24"/>
        </w:rPr>
        <w:t>si</w:t>
      </w:r>
      <w:r w:rsidRPr="00010565">
        <w:rPr>
          <w:rFonts w:ascii="Arial" w:eastAsia="Arial" w:hAnsi="Arial" w:cs="Arial"/>
          <w:color w:val="2E74B5" w:themeColor="accent1" w:themeShade="BF"/>
          <w:spacing w:val="-5"/>
          <w:sz w:val="24"/>
          <w:szCs w:val="24"/>
        </w:rPr>
        <w:t>s</w:t>
      </w:r>
      <w:r w:rsidRPr="00010565">
        <w:rPr>
          <w:rFonts w:ascii="Arial" w:eastAsia="Arial" w:hAnsi="Arial" w:cs="Arial"/>
          <w:color w:val="2E74B5" w:themeColor="accent1" w:themeShade="BF"/>
          <w:spacing w:val="1"/>
          <w:sz w:val="24"/>
          <w:szCs w:val="24"/>
        </w:rPr>
        <w:t>te</w:t>
      </w:r>
      <w:r w:rsidRPr="00010565">
        <w:rPr>
          <w:rFonts w:ascii="Arial" w:eastAsia="Arial" w:hAnsi="Arial" w:cs="Arial"/>
          <w:color w:val="2E74B5" w:themeColor="accent1" w:themeShade="BF"/>
          <w:spacing w:val="2"/>
          <w:sz w:val="24"/>
          <w:szCs w:val="24"/>
        </w:rPr>
        <w:t>m</w:t>
      </w:r>
      <w:r w:rsidRPr="00010565">
        <w:rPr>
          <w:rFonts w:ascii="Arial" w:eastAsia="Arial" w:hAnsi="Arial" w:cs="Arial"/>
          <w:color w:val="2E74B5" w:themeColor="accent1" w:themeShade="BF"/>
          <w:spacing w:val="1"/>
          <w:sz w:val="24"/>
          <w:szCs w:val="24"/>
        </w:rPr>
        <w:t>át</w:t>
      </w:r>
      <w:r w:rsidRPr="00010565">
        <w:rPr>
          <w:rFonts w:ascii="Arial" w:eastAsia="Arial" w:hAnsi="Arial" w:cs="Arial"/>
          <w:color w:val="2E74B5" w:themeColor="accent1" w:themeShade="BF"/>
          <w:spacing w:val="2"/>
          <w:sz w:val="24"/>
          <w:szCs w:val="24"/>
        </w:rPr>
        <w:t>i</w:t>
      </w:r>
      <w:r w:rsidRPr="00010565">
        <w:rPr>
          <w:rFonts w:ascii="Arial" w:eastAsia="Arial" w:hAnsi="Arial" w:cs="Arial"/>
          <w:color w:val="2E74B5" w:themeColor="accent1" w:themeShade="BF"/>
          <w:spacing w:val="-2"/>
          <w:sz w:val="24"/>
          <w:szCs w:val="24"/>
        </w:rPr>
        <w:t>c</w:t>
      </w:r>
      <w:r w:rsidRPr="00010565">
        <w:rPr>
          <w:rFonts w:ascii="Arial" w:eastAsia="Arial" w:hAnsi="Arial" w:cs="Arial"/>
          <w:color w:val="2E74B5" w:themeColor="accent1" w:themeShade="BF"/>
          <w:sz w:val="24"/>
          <w:szCs w:val="24"/>
        </w:rPr>
        <w:t>o</w:t>
      </w:r>
      <w:r w:rsidRPr="00010565">
        <w:rPr>
          <w:rFonts w:ascii="Arial" w:eastAsia="Arial" w:hAnsi="Arial" w:cs="Arial"/>
          <w:color w:val="2E74B5" w:themeColor="accent1" w:themeShade="BF"/>
          <w:spacing w:val="3"/>
          <w:sz w:val="24"/>
          <w:szCs w:val="24"/>
        </w:rPr>
        <w:t xml:space="preserve"> </w:t>
      </w:r>
      <w:r w:rsidRPr="00010565">
        <w:rPr>
          <w:rFonts w:ascii="Arial" w:eastAsia="Arial" w:hAnsi="Arial" w:cs="Arial"/>
          <w:color w:val="2E74B5" w:themeColor="accent1" w:themeShade="BF"/>
          <w:spacing w:val="-1"/>
          <w:sz w:val="24"/>
          <w:szCs w:val="24"/>
        </w:rPr>
        <w:t>d</w:t>
      </w:r>
      <w:r w:rsidRPr="00010565">
        <w:rPr>
          <w:rFonts w:ascii="Arial" w:eastAsia="Arial" w:hAnsi="Arial" w:cs="Arial"/>
          <w:color w:val="2E74B5" w:themeColor="accent1" w:themeShade="BF"/>
          <w:sz w:val="24"/>
          <w:szCs w:val="24"/>
        </w:rPr>
        <w:t>e</w:t>
      </w:r>
      <w:r w:rsidRPr="00010565">
        <w:rPr>
          <w:rFonts w:ascii="Arial" w:eastAsia="Arial" w:hAnsi="Arial" w:cs="Arial"/>
          <w:color w:val="2E74B5" w:themeColor="accent1" w:themeShade="BF"/>
          <w:spacing w:val="2"/>
          <w:sz w:val="24"/>
          <w:szCs w:val="24"/>
        </w:rPr>
        <w:t xml:space="preserve"> </w:t>
      </w:r>
      <w:r w:rsidRPr="00010565">
        <w:rPr>
          <w:rFonts w:ascii="Arial" w:eastAsia="Arial" w:hAnsi="Arial" w:cs="Arial"/>
          <w:color w:val="2E74B5" w:themeColor="accent1" w:themeShade="BF"/>
          <w:spacing w:val="-2"/>
          <w:sz w:val="24"/>
          <w:szCs w:val="24"/>
        </w:rPr>
        <w:t>c</w:t>
      </w:r>
      <w:r w:rsidRPr="00010565">
        <w:rPr>
          <w:rFonts w:ascii="Arial" w:eastAsia="Arial" w:hAnsi="Arial" w:cs="Arial"/>
          <w:color w:val="2E74B5" w:themeColor="accent1" w:themeShade="BF"/>
          <w:spacing w:val="1"/>
          <w:sz w:val="24"/>
          <w:szCs w:val="24"/>
        </w:rPr>
        <w:t>apta</w:t>
      </w:r>
      <w:r w:rsidRPr="00010565">
        <w:rPr>
          <w:rFonts w:ascii="Arial" w:eastAsia="Arial" w:hAnsi="Arial" w:cs="Arial"/>
          <w:color w:val="2E74B5" w:themeColor="accent1" w:themeShade="BF"/>
          <w:sz w:val="24"/>
          <w:szCs w:val="24"/>
        </w:rPr>
        <w:t>c</w:t>
      </w:r>
      <w:r w:rsidRPr="00010565">
        <w:rPr>
          <w:rFonts w:ascii="Arial" w:eastAsia="Arial" w:hAnsi="Arial" w:cs="Arial"/>
          <w:color w:val="2E74B5" w:themeColor="accent1" w:themeShade="BF"/>
          <w:spacing w:val="-1"/>
          <w:sz w:val="24"/>
          <w:szCs w:val="24"/>
        </w:rPr>
        <w:t>i</w:t>
      </w:r>
      <w:r w:rsidRPr="00010565">
        <w:rPr>
          <w:rFonts w:ascii="Arial" w:eastAsia="Arial" w:hAnsi="Arial" w:cs="Arial"/>
          <w:color w:val="2E74B5" w:themeColor="accent1" w:themeShade="BF"/>
          <w:spacing w:val="-4"/>
          <w:sz w:val="24"/>
          <w:szCs w:val="24"/>
        </w:rPr>
        <w:t>ó</w:t>
      </w:r>
      <w:r w:rsidRPr="00010565">
        <w:rPr>
          <w:rFonts w:ascii="Arial" w:eastAsia="Arial" w:hAnsi="Arial" w:cs="Arial"/>
          <w:color w:val="2E74B5" w:themeColor="accent1" w:themeShade="BF"/>
          <w:sz w:val="24"/>
          <w:szCs w:val="24"/>
        </w:rPr>
        <w:t>n</w:t>
      </w:r>
      <w:r w:rsidRPr="00010565">
        <w:rPr>
          <w:rFonts w:ascii="Arial" w:eastAsia="Arial" w:hAnsi="Arial" w:cs="Arial"/>
          <w:color w:val="2E74B5" w:themeColor="accent1" w:themeShade="BF"/>
          <w:spacing w:val="3"/>
          <w:sz w:val="24"/>
          <w:szCs w:val="24"/>
        </w:rPr>
        <w:t xml:space="preserve"> </w:t>
      </w:r>
      <w:r w:rsidRPr="00010565">
        <w:rPr>
          <w:rFonts w:ascii="Arial" w:eastAsia="Arial" w:hAnsi="Arial" w:cs="Arial"/>
          <w:color w:val="2E74B5" w:themeColor="accent1" w:themeShade="BF"/>
          <w:spacing w:val="1"/>
          <w:sz w:val="24"/>
          <w:szCs w:val="24"/>
        </w:rPr>
        <w:t>d</w:t>
      </w:r>
      <w:r w:rsidRPr="00010565">
        <w:rPr>
          <w:rFonts w:ascii="Arial" w:eastAsia="Arial" w:hAnsi="Arial" w:cs="Arial"/>
          <w:color w:val="2E74B5" w:themeColor="accent1" w:themeShade="BF"/>
          <w:sz w:val="24"/>
          <w:szCs w:val="24"/>
        </w:rPr>
        <w:t>e</w:t>
      </w:r>
      <w:r w:rsidRPr="00010565">
        <w:rPr>
          <w:rFonts w:ascii="Arial" w:eastAsia="Arial" w:hAnsi="Arial" w:cs="Arial"/>
          <w:color w:val="2E74B5" w:themeColor="accent1" w:themeShade="BF"/>
          <w:spacing w:val="3"/>
          <w:sz w:val="24"/>
          <w:szCs w:val="24"/>
        </w:rPr>
        <w:t xml:space="preserve"> </w:t>
      </w:r>
      <w:r w:rsidRPr="00010565">
        <w:rPr>
          <w:rFonts w:ascii="Arial" w:eastAsia="Arial" w:hAnsi="Arial" w:cs="Arial"/>
          <w:color w:val="2E74B5" w:themeColor="accent1" w:themeShade="BF"/>
          <w:spacing w:val="1"/>
          <w:sz w:val="24"/>
          <w:szCs w:val="24"/>
        </w:rPr>
        <w:t>da</w:t>
      </w:r>
      <w:r w:rsidRPr="00010565">
        <w:rPr>
          <w:rFonts w:ascii="Arial" w:eastAsia="Arial" w:hAnsi="Arial" w:cs="Arial"/>
          <w:color w:val="2E74B5" w:themeColor="accent1" w:themeShade="BF"/>
          <w:spacing w:val="-2"/>
          <w:sz w:val="24"/>
          <w:szCs w:val="24"/>
        </w:rPr>
        <w:t>t</w:t>
      </w:r>
      <w:r w:rsidRPr="00010565">
        <w:rPr>
          <w:rFonts w:ascii="Arial" w:eastAsia="Arial" w:hAnsi="Arial" w:cs="Arial"/>
          <w:color w:val="2E74B5" w:themeColor="accent1" w:themeShade="BF"/>
          <w:spacing w:val="1"/>
          <w:sz w:val="24"/>
          <w:szCs w:val="24"/>
        </w:rPr>
        <w:t>o</w:t>
      </w:r>
      <w:r w:rsidRPr="00010565">
        <w:rPr>
          <w:rFonts w:ascii="Arial" w:eastAsia="Arial" w:hAnsi="Arial" w:cs="Arial"/>
          <w:color w:val="2E74B5" w:themeColor="accent1" w:themeShade="BF"/>
          <w:sz w:val="24"/>
          <w:szCs w:val="24"/>
        </w:rPr>
        <w:t xml:space="preserve">s </w:t>
      </w:r>
      <w:r w:rsidRPr="00010565">
        <w:rPr>
          <w:rFonts w:ascii="Arial" w:eastAsia="Arial" w:hAnsi="Arial" w:cs="Arial"/>
          <w:color w:val="2E74B5" w:themeColor="accent1" w:themeShade="BF"/>
          <w:spacing w:val="1"/>
          <w:sz w:val="24"/>
          <w:szCs w:val="24"/>
        </w:rPr>
        <w:t>p</w:t>
      </w:r>
      <w:r w:rsidRPr="00010565">
        <w:rPr>
          <w:rFonts w:ascii="Arial" w:eastAsia="Arial" w:hAnsi="Arial" w:cs="Arial"/>
          <w:color w:val="2E74B5" w:themeColor="accent1" w:themeShade="BF"/>
          <w:spacing w:val="-1"/>
          <w:sz w:val="24"/>
          <w:szCs w:val="24"/>
        </w:rPr>
        <w:t>ri</w:t>
      </w:r>
      <w:r w:rsidRPr="00010565">
        <w:rPr>
          <w:rFonts w:ascii="Arial" w:eastAsia="Arial" w:hAnsi="Arial" w:cs="Arial"/>
          <w:color w:val="2E74B5" w:themeColor="accent1" w:themeShade="BF"/>
          <w:spacing w:val="2"/>
          <w:sz w:val="24"/>
          <w:szCs w:val="24"/>
        </w:rPr>
        <w:t>m</w:t>
      </w:r>
      <w:r w:rsidRPr="00010565">
        <w:rPr>
          <w:rFonts w:ascii="Arial" w:eastAsia="Arial" w:hAnsi="Arial" w:cs="Arial"/>
          <w:color w:val="2E74B5" w:themeColor="accent1" w:themeShade="BF"/>
          <w:spacing w:val="1"/>
          <w:sz w:val="24"/>
          <w:szCs w:val="24"/>
        </w:rPr>
        <w:t>a</w:t>
      </w:r>
      <w:r w:rsidRPr="00010565">
        <w:rPr>
          <w:rFonts w:ascii="Arial" w:eastAsia="Arial" w:hAnsi="Arial" w:cs="Arial"/>
          <w:color w:val="2E74B5" w:themeColor="accent1" w:themeShade="BF"/>
          <w:spacing w:val="-1"/>
          <w:sz w:val="24"/>
          <w:szCs w:val="24"/>
        </w:rPr>
        <w:t>ri</w:t>
      </w:r>
      <w:r w:rsidRPr="00010565">
        <w:rPr>
          <w:rFonts w:ascii="Arial" w:eastAsia="Arial" w:hAnsi="Arial" w:cs="Arial"/>
          <w:color w:val="2E74B5" w:themeColor="accent1" w:themeShade="BF"/>
          <w:spacing w:val="1"/>
          <w:sz w:val="24"/>
          <w:szCs w:val="24"/>
        </w:rPr>
        <w:t>o</w:t>
      </w:r>
      <w:r w:rsidRPr="00010565">
        <w:rPr>
          <w:rFonts w:ascii="Arial" w:eastAsia="Arial" w:hAnsi="Arial" w:cs="Arial"/>
          <w:color w:val="2E74B5" w:themeColor="accent1" w:themeShade="BF"/>
          <w:sz w:val="24"/>
          <w:szCs w:val="24"/>
        </w:rPr>
        <w:t>s</w:t>
      </w:r>
      <w:r w:rsidRPr="00010565">
        <w:rPr>
          <w:rFonts w:ascii="Arial" w:eastAsia="Arial" w:hAnsi="Arial" w:cs="Arial"/>
          <w:color w:val="2E74B5" w:themeColor="accent1" w:themeShade="BF"/>
          <w:spacing w:val="3"/>
          <w:sz w:val="24"/>
          <w:szCs w:val="24"/>
        </w:rPr>
        <w:t xml:space="preserve"> </w:t>
      </w:r>
      <w:r w:rsidRPr="00010565">
        <w:rPr>
          <w:rFonts w:ascii="Arial" w:eastAsia="Arial" w:hAnsi="Arial" w:cs="Arial"/>
          <w:color w:val="2E74B5" w:themeColor="accent1" w:themeShade="BF"/>
          <w:spacing w:val="1"/>
          <w:sz w:val="24"/>
          <w:szCs w:val="24"/>
        </w:rPr>
        <w:t>obten</w:t>
      </w:r>
      <w:r w:rsidRPr="00010565">
        <w:rPr>
          <w:rFonts w:ascii="Arial" w:eastAsia="Arial" w:hAnsi="Arial" w:cs="Arial"/>
          <w:color w:val="2E74B5" w:themeColor="accent1" w:themeShade="BF"/>
          <w:spacing w:val="-3"/>
          <w:sz w:val="24"/>
          <w:szCs w:val="24"/>
        </w:rPr>
        <w:t>i</w:t>
      </w:r>
      <w:r w:rsidRPr="00010565">
        <w:rPr>
          <w:rFonts w:ascii="Arial" w:eastAsia="Arial" w:hAnsi="Arial" w:cs="Arial"/>
          <w:color w:val="2E74B5" w:themeColor="accent1" w:themeShade="BF"/>
          <w:spacing w:val="1"/>
          <w:sz w:val="24"/>
          <w:szCs w:val="24"/>
        </w:rPr>
        <w:t>do</w:t>
      </w:r>
      <w:r w:rsidRPr="00010565">
        <w:rPr>
          <w:rFonts w:ascii="Arial" w:eastAsia="Arial" w:hAnsi="Arial" w:cs="Arial"/>
          <w:color w:val="2E74B5" w:themeColor="accent1" w:themeShade="BF"/>
          <w:sz w:val="24"/>
          <w:szCs w:val="24"/>
        </w:rPr>
        <w:t>s s</w:t>
      </w:r>
      <w:r w:rsidRPr="00010565">
        <w:rPr>
          <w:rFonts w:ascii="Arial" w:eastAsia="Arial" w:hAnsi="Arial" w:cs="Arial"/>
          <w:color w:val="2E74B5" w:themeColor="accent1" w:themeShade="BF"/>
          <w:spacing w:val="1"/>
          <w:sz w:val="24"/>
          <w:szCs w:val="24"/>
        </w:rPr>
        <w:t>ob</w:t>
      </w:r>
      <w:r w:rsidRPr="00010565">
        <w:rPr>
          <w:rFonts w:ascii="Arial" w:eastAsia="Arial" w:hAnsi="Arial" w:cs="Arial"/>
          <w:color w:val="2E74B5" w:themeColor="accent1" w:themeShade="BF"/>
          <w:spacing w:val="-1"/>
          <w:sz w:val="24"/>
          <w:szCs w:val="24"/>
        </w:rPr>
        <w:t>r</w:t>
      </w:r>
      <w:r w:rsidRPr="00010565">
        <w:rPr>
          <w:rFonts w:ascii="Arial" w:eastAsia="Arial" w:hAnsi="Arial" w:cs="Arial"/>
          <w:color w:val="2E74B5" w:themeColor="accent1" w:themeShade="BF"/>
          <w:sz w:val="24"/>
          <w:szCs w:val="24"/>
        </w:rPr>
        <w:t>e</w:t>
      </w:r>
      <w:r w:rsidRPr="00010565">
        <w:rPr>
          <w:rFonts w:ascii="Arial" w:eastAsia="Arial" w:hAnsi="Arial" w:cs="Arial"/>
          <w:color w:val="2E74B5" w:themeColor="accent1" w:themeShade="BF"/>
          <w:spacing w:val="3"/>
          <w:sz w:val="24"/>
          <w:szCs w:val="24"/>
        </w:rPr>
        <w:t xml:space="preserve"> </w:t>
      </w:r>
      <w:r w:rsidRPr="00010565">
        <w:rPr>
          <w:rFonts w:ascii="Arial" w:eastAsia="Arial" w:hAnsi="Arial" w:cs="Arial"/>
          <w:color w:val="2E74B5" w:themeColor="accent1" w:themeShade="BF"/>
          <w:spacing w:val="1"/>
          <w:sz w:val="24"/>
          <w:szCs w:val="24"/>
        </w:rPr>
        <w:t>he</w:t>
      </w:r>
      <w:r w:rsidRPr="00010565">
        <w:rPr>
          <w:rFonts w:ascii="Arial" w:eastAsia="Arial" w:hAnsi="Arial" w:cs="Arial"/>
          <w:color w:val="2E74B5" w:themeColor="accent1" w:themeShade="BF"/>
          <w:spacing w:val="-2"/>
          <w:sz w:val="24"/>
          <w:szCs w:val="24"/>
        </w:rPr>
        <w:t>c</w:t>
      </w:r>
      <w:r w:rsidRPr="00010565">
        <w:rPr>
          <w:rFonts w:ascii="Arial" w:eastAsia="Arial" w:hAnsi="Arial" w:cs="Arial"/>
          <w:color w:val="2E74B5" w:themeColor="accent1" w:themeShade="BF"/>
          <w:spacing w:val="1"/>
          <w:sz w:val="24"/>
          <w:szCs w:val="24"/>
        </w:rPr>
        <w:t>ho</w:t>
      </w:r>
      <w:r w:rsidRPr="00010565">
        <w:rPr>
          <w:rFonts w:ascii="Arial" w:eastAsia="Arial" w:hAnsi="Arial" w:cs="Arial"/>
          <w:color w:val="2E74B5" w:themeColor="accent1" w:themeShade="BF"/>
          <w:sz w:val="24"/>
          <w:szCs w:val="24"/>
        </w:rPr>
        <w:t>s</w:t>
      </w:r>
      <w:r w:rsidRPr="00010565">
        <w:rPr>
          <w:rFonts w:ascii="Arial" w:eastAsia="Arial" w:hAnsi="Arial" w:cs="Arial"/>
          <w:color w:val="2E74B5" w:themeColor="accent1" w:themeShade="BF"/>
          <w:spacing w:val="3"/>
          <w:sz w:val="24"/>
          <w:szCs w:val="24"/>
        </w:rPr>
        <w:t xml:space="preserve"> </w:t>
      </w:r>
      <w:r w:rsidRPr="00010565">
        <w:rPr>
          <w:rFonts w:ascii="Arial" w:eastAsia="Arial" w:hAnsi="Arial" w:cs="Arial"/>
          <w:color w:val="2E74B5" w:themeColor="accent1" w:themeShade="BF"/>
          <w:spacing w:val="-1"/>
          <w:sz w:val="24"/>
          <w:szCs w:val="24"/>
        </w:rPr>
        <w:t>q</w:t>
      </w:r>
      <w:r w:rsidRPr="00010565">
        <w:rPr>
          <w:rFonts w:ascii="Arial" w:eastAsia="Arial" w:hAnsi="Arial" w:cs="Arial"/>
          <w:color w:val="2E74B5" w:themeColor="accent1" w:themeShade="BF"/>
          <w:spacing w:val="1"/>
          <w:sz w:val="24"/>
          <w:szCs w:val="24"/>
        </w:rPr>
        <w:t>u</w:t>
      </w:r>
      <w:r w:rsidRPr="00010565">
        <w:rPr>
          <w:rFonts w:ascii="Arial" w:eastAsia="Arial" w:hAnsi="Arial" w:cs="Arial"/>
          <w:color w:val="2E74B5" w:themeColor="accent1" w:themeShade="BF"/>
          <w:sz w:val="24"/>
          <w:szCs w:val="24"/>
        </w:rPr>
        <w:t>e</w:t>
      </w:r>
      <w:r w:rsidRPr="00010565">
        <w:rPr>
          <w:rFonts w:ascii="Arial" w:eastAsia="Arial" w:hAnsi="Arial" w:cs="Arial"/>
          <w:color w:val="2E74B5" w:themeColor="accent1" w:themeShade="BF"/>
          <w:spacing w:val="8"/>
          <w:sz w:val="24"/>
          <w:szCs w:val="24"/>
        </w:rPr>
        <w:t xml:space="preserve"> </w:t>
      </w:r>
      <w:r w:rsidRPr="00010565">
        <w:rPr>
          <w:rFonts w:ascii="Arial" w:eastAsia="Arial" w:hAnsi="Arial" w:cs="Arial"/>
          <w:color w:val="2E74B5" w:themeColor="accent1" w:themeShade="BF"/>
          <w:sz w:val="24"/>
          <w:szCs w:val="24"/>
        </w:rPr>
        <w:t>c</w:t>
      </w:r>
      <w:r w:rsidRPr="00010565">
        <w:rPr>
          <w:rFonts w:ascii="Arial" w:eastAsia="Arial" w:hAnsi="Arial" w:cs="Arial"/>
          <w:color w:val="2E74B5" w:themeColor="accent1" w:themeShade="BF"/>
          <w:spacing w:val="1"/>
          <w:sz w:val="24"/>
          <w:szCs w:val="24"/>
        </w:rPr>
        <w:t>on</w:t>
      </w:r>
      <w:r w:rsidRPr="00010565">
        <w:rPr>
          <w:rFonts w:ascii="Arial" w:eastAsia="Arial" w:hAnsi="Arial" w:cs="Arial"/>
          <w:color w:val="2E74B5" w:themeColor="accent1" w:themeShade="BF"/>
          <w:sz w:val="24"/>
          <w:szCs w:val="24"/>
        </w:rPr>
        <w:t>s</w:t>
      </w:r>
      <w:r w:rsidRPr="00010565">
        <w:rPr>
          <w:rFonts w:ascii="Arial" w:eastAsia="Arial" w:hAnsi="Arial" w:cs="Arial"/>
          <w:color w:val="2E74B5" w:themeColor="accent1" w:themeShade="BF"/>
          <w:spacing w:val="1"/>
          <w:sz w:val="24"/>
          <w:szCs w:val="24"/>
        </w:rPr>
        <w:t>ta</w:t>
      </w:r>
      <w:r w:rsidRPr="00010565">
        <w:rPr>
          <w:rFonts w:ascii="Arial" w:eastAsia="Arial" w:hAnsi="Arial" w:cs="Arial"/>
          <w:color w:val="2E74B5" w:themeColor="accent1" w:themeShade="BF"/>
          <w:sz w:val="24"/>
          <w:szCs w:val="24"/>
        </w:rPr>
        <w:t>n</w:t>
      </w:r>
      <w:r w:rsidRPr="00010565">
        <w:rPr>
          <w:rFonts w:ascii="Arial" w:eastAsia="Arial" w:hAnsi="Arial" w:cs="Arial"/>
          <w:color w:val="2E74B5" w:themeColor="accent1" w:themeShade="BF"/>
          <w:spacing w:val="3"/>
          <w:sz w:val="24"/>
          <w:szCs w:val="24"/>
        </w:rPr>
        <w:t xml:space="preserve"> </w:t>
      </w:r>
      <w:r w:rsidRPr="00010565">
        <w:rPr>
          <w:rFonts w:ascii="Arial" w:eastAsia="Arial" w:hAnsi="Arial" w:cs="Arial"/>
          <w:color w:val="2E74B5" w:themeColor="accent1" w:themeShade="BF"/>
          <w:spacing w:val="1"/>
          <w:sz w:val="24"/>
          <w:szCs w:val="24"/>
        </w:rPr>
        <w:t>e</w:t>
      </w:r>
      <w:r w:rsidRPr="00010565">
        <w:rPr>
          <w:rFonts w:ascii="Arial" w:eastAsia="Arial" w:hAnsi="Arial" w:cs="Arial"/>
          <w:color w:val="2E74B5" w:themeColor="accent1" w:themeShade="BF"/>
          <w:sz w:val="24"/>
          <w:szCs w:val="24"/>
        </w:rPr>
        <w:t>n</w:t>
      </w:r>
      <w:r w:rsidRPr="00010565">
        <w:rPr>
          <w:rFonts w:ascii="Arial" w:eastAsia="Arial" w:hAnsi="Arial" w:cs="Arial"/>
          <w:color w:val="2E74B5" w:themeColor="accent1" w:themeShade="BF"/>
          <w:spacing w:val="4"/>
          <w:sz w:val="24"/>
          <w:szCs w:val="24"/>
        </w:rPr>
        <w:t xml:space="preserve"> </w:t>
      </w:r>
      <w:r w:rsidRPr="00010565">
        <w:rPr>
          <w:rFonts w:ascii="Arial" w:eastAsia="Arial" w:hAnsi="Arial" w:cs="Arial"/>
          <w:color w:val="2E74B5" w:themeColor="accent1" w:themeShade="BF"/>
          <w:spacing w:val="1"/>
          <w:sz w:val="24"/>
          <w:szCs w:val="24"/>
        </w:rPr>
        <w:t>do</w:t>
      </w:r>
      <w:r w:rsidRPr="00010565">
        <w:rPr>
          <w:rFonts w:ascii="Arial" w:eastAsia="Arial" w:hAnsi="Arial" w:cs="Arial"/>
          <w:color w:val="2E74B5" w:themeColor="accent1" w:themeShade="BF"/>
          <w:spacing w:val="-2"/>
          <w:sz w:val="24"/>
          <w:szCs w:val="24"/>
        </w:rPr>
        <w:t>c</w:t>
      </w:r>
      <w:r w:rsidRPr="00010565">
        <w:rPr>
          <w:rFonts w:ascii="Arial" w:eastAsia="Arial" w:hAnsi="Arial" w:cs="Arial"/>
          <w:color w:val="2E74B5" w:themeColor="accent1" w:themeShade="BF"/>
          <w:spacing w:val="1"/>
          <w:sz w:val="24"/>
          <w:szCs w:val="24"/>
        </w:rPr>
        <w:t>u</w:t>
      </w:r>
      <w:r w:rsidRPr="00010565">
        <w:rPr>
          <w:rFonts w:ascii="Arial" w:eastAsia="Arial" w:hAnsi="Arial" w:cs="Arial"/>
          <w:color w:val="2E74B5" w:themeColor="accent1" w:themeShade="BF"/>
          <w:spacing w:val="-1"/>
          <w:sz w:val="24"/>
          <w:szCs w:val="24"/>
        </w:rPr>
        <w:t>m</w:t>
      </w:r>
      <w:r w:rsidRPr="00010565">
        <w:rPr>
          <w:rFonts w:ascii="Arial" w:eastAsia="Arial" w:hAnsi="Arial" w:cs="Arial"/>
          <w:color w:val="2E74B5" w:themeColor="accent1" w:themeShade="BF"/>
          <w:spacing w:val="1"/>
          <w:sz w:val="24"/>
          <w:szCs w:val="24"/>
        </w:rPr>
        <w:t>en</w:t>
      </w:r>
      <w:r w:rsidRPr="00010565">
        <w:rPr>
          <w:rFonts w:ascii="Arial" w:eastAsia="Arial" w:hAnsi="Arial" w:cs="Arial"/>
          <w:color w:val="2E74B5" w:themeColor="accent1" w:themeShade="BF"/>
          <w:spacing w:val="-4"/>
          <w:sz w:val="24"/>
          <w:szCs w:val="24"/>
        </w:rPr>
        <w:t>t</w:t>
      </w:r>
      <w:r w:rsidRPr="00010565">
        <w:rPr>
          <w:rFonts w:ascii="Arial" w:eastAsia="Arial" w:hAnsi="Arial" w:cs="Arial"/>
          <w:color w:val="2E74B5" w:themeColor="accent1" w:themeShade="BF"/>
          <w:spacing w:val="1"/>
          <w:sz w:val="24"/>
          <w:szCs w:val="24"/>
        </w:rPr>
        <w:t>o</w:t>
      </w:r>
      <w:r w:rsidRPr="00010565">
        <w:rPr>
          <w:rFonts w:ascii="Arial" w:eastAsia="Arial" w:hAnsi="Arial" w:cs="Arial"/>
          <w:color w:val="2E74B5" w:themeColor="accent1" w:themeShade="BF"/>
          <w:sz w:val="24"/>
          <w:szCs w:val="24"/>
        </w:rPr>
        <w:t>s</w:t>
      </w:r>
      <w:r w:rsidRPr="00010565">
        <w:rPr>
          <w:rFonts w:ascii="Arial" w:eastAsia="Arial" w:hAnsi="Arial" w:cs="Arial"/>
          <w:color w:val="2E74B5" w:themeColor="accent1" w:themeShade="BF"/>
          <w:spacing w:val="3"/>
          <w:sz w:val="24"/>
          <w:szCs w:val="24"/>
        </w:rPr>
        <w:t xml:space="preserve"> </w:t>
      </w:r>
      <w:r w:rsidRPr="00010565">
        <w:rPr>
          <w:rFonts w:ascii="Arial" w:eastAsia="Arial" w:hAnsi="Arial" w:cs="Arial"/>
          <w:color w:val="2E74B5" w:themeColor="accent1" w:themeShade="BF"/>
          <w:spacing w:val="-1"/>
          <w:sz w:val="24"/>
          <w:szCs w:val="24"/>
        </w:rPr>
        <w:t>q</w:t>
      </w:r>
      <w:r w:rsidRPr="00010565">
        <w:rPr>
          <w:rFonts w:ascii="Arial" w:eastAsia="Arial" w:hAnsi="Arial" w:cs="Arial"/>
          <w:color w:val="2E74B5" w:themeColor="accent1" w:themeShade="BF"/>
          <w:spacing w:val="1"/>
          <w:sz w:val="24"/>
          <w:szCs w:val="24"/>
        </w:rPr>
        <w:t>u</w:t>
      </w:r>
      <w:r w:rsidRPr="00010565">
        <w:rPr>
          <w:rFonts w:ascii="Arial" w:eastAsia="Arial" w:hAnsi="Arial" w:cs="Arial"/>
          <w:color w:val="2E74B5" w:themeColor="accent1" w:themeShade="BF"/>
          <w:sz w:val="24"/>
          <w:szCs w:val="24"/>
        </w:rPr>
        <w:t>e</w:t>
      </w:r>
      <w:r w:rsidRPr="00010565">
        <w:rPr>
          <w:rFonts w:ascii="Arial" w:eastAsia="Arial" w:hAnsi="Arial" w:cs="Arial"/>
          <w:color w:val="2E74B5" w:themeColor="accent1" w:themeShade="BF"/>
          <w:spacing w:val="4"/>
          <w:sz w:val="24"/>
          <w:szCs w:val="24"/>
        </w:rPr>
        <w:t xml:space="preserve"> el Ayuntamiento de San Luis Potosí, </w:t>
      </w:r>
      <w:r w:rsidRPr="00010565">
        <w:rPr>
          <w:rFonts w:ascii="Arial" w:eastAsia="Arial" w:hAnsi="Arial" w:cs="Arial"/>
          <w:color w:val="2E74B5" w:themeColor="accent1" w:themeShade="BF"/>
          <w:spacing w:val="1"/>
          <w:sz w:val="24"/>
          <w:szCs w:val="24"/>
        </w:rPr>
        <w:t>de</w:t>
      </w:r>
      <w:r w:rsidRPr="00010565">
        <w:rPr>
          <w:rFonts w:ascii="Arial" w:eastAsia="Arial" w:hAnsi="Arial" w:cs="Arial"/>
          <w:color w:val="2E74B5" w:themeColor="accent1" w:themeShade="BF"/>
          <w:spacing w:val="-1"/>
          <w:sz w:val="24"/>
          <w:szCs w:val="24"/>
        </w:rPr>
        <w:t>ri</w:t>
      </w:r>
      <w:r w:rsidRPr="00010565">
        <w:rPr>
          <w:rFonts w:ascii="Arial" w:eastAsia="Arial" w:hAnsi="Arial" w:cs="Arial"/>
          <w:color w:val="2E74B5" w:themeColor="accent1" w:themeShade="BF"/>
          <w:spacing w:val="-5"/>
          <w:sz w:val="24"/>
          <w:szCs w:val="24"/>
        </w:rPr>
        <w:t>v</w:t>
      </w:r>
      <w:r w:rsidRPr="00010565">
        <w:rPr>
          <w:rFonts w:ascii="Arial" w:eastAsia="Arial" w:hAnsi="Arial" w:cs="Arial"/>
          <w:color w:val="2E74B5" w:themeColor="accent1" w:themeShade="BF"/>
          <w:spacing w:val="1"/>
          <w:sz w:val="24"/>
          <w:szCs w:val="24"/>
        </w:rPr>
        <w:t>ad</w:t>
      </w:r>
      <w:r w:rsidRPr="00010565">
        <w:rPr>
          <w:rFonts w:ascii="Arial" w:eastAsia="Arial" w:hAnsi="Arial" w:cs="Arial"/>
          <w:color w:val="2E74B5" w:themeColor="accent1" w:themeShade="BF"/>
          <w:sz w:val="24"/>
          <w:szCs w:val="24"/>
        </w:rPr>
        <w:t>o</w:t>
      </w:r>
      <w:r w:rsidRPr="00010565">
        <w:rPr>
          <w:rFonts w:ascii="Arial" w:eastAsia="Arial" w:hAnsi="Arial" w:cs="Arial"/>
          <w:color w:val="2E74B5" w:themeColor="accent1" w:themeShade="BF"/>
          <w:spacing w:val="6"/>
          <w:sz w:val="24"/>
          <w:szCs w:val="24"/>
        </w:rPr>
        <w:t xml:space="preserve"> </w:t>
      </w:r>
      <w:r w:rsidRPr="00010565">
        <w:rPr>
          <w:rFonts w:ascii="Arial" w:eastAsia="Arial" w:hAnsi="Arial" w:cs="Arial"/>
          <w:color w:val="2E74B5" w:themeColor="accent1" w:themeShade="BF"/>
          <w:spacing w:val="1"/>
          <w:sz w:val="24"/>
          <w:szCs w:val="24"/>
        </w:rPr>
        <w:t>de</w:t>
      </w:r>
      <w:r w:rsidRPr="00010565">
        <w:rPr>
          <w:rFonts w:ascii="Arial" w:eastAsia="Arial" w:hAnsi="Arial" w:cs="Arial"/>
          <w:color w:val="2E74B5" w:themeColor="accent1" w:themeShade="BF"/>
          <w:sz w:val="24"/>
          <w:szCs w:val="24"/>
        </w:rPr>
        <w:t>l</w:t>
      </w:r>
      <w:r w:rsidRPr="00010565">
        <w:rPr>
          <w:rFonts w:ascii="Arial" w:eastAsia="Arial" w:hAnsi="Arial" w:cs="Arial"/>
          <w:color w:val="2E74B5" w:themeColor="accent1" w:themeShade="BF"/>
          <w:spacing w:val="2"/>
          <w:sz w:val="24"/>
          <w:szCs w:val="24"/>
        </w:rPr>
        <w:t xml:space="preserve"> </w:t>
      </w:r>
      <w:r w:rsidRPr="00010565">
        <w:rPr>
          <w:rFonts w:ascii="Arial" w:eastAsia="Arial" w:hAnsi="Arial" w:cs="Arial"/>
          <w:color w:val="2E74B5" w:themeColor="accent1" w:themeShade="BF"/>
          <w:spacing w:val="1"/>
          <w:sz w:val="24"/>
          <w:szCs w:val="24"/>
        </w:rPr>
        <w:t>e</w:t>
      </w:r>
      <w:r w:rsidRPr="00010565">
        <w:rPr>
          <w:rFonts w:ascii="Arial" w:eastAsia="Arial" w:hAnsi="Arial" w:cs="Arial"/>
          <w:color w:val="2E74B5" w:themeColor="accent1" w:themeShade="BF"/>
          <w:sz w:val="24"/>
          <w:szCs w:val="24"/>
        </w:rPr>
        <w:t>jerc</w:t>
      </w:r>
      <w:r w:rsidRPr="00010565">
        <w:rPr>
          <w:rFonts w:ascii="Arial" w:eastAsia="Arial" w:hAnsi="Arial" w:cs="Arial"/>
          <w:color w:val="2E74B5" w:themeColor="accent1" w:themeShade="BF"/>
          <w:spacing w:val="-1"/>
          <w:sz w:val="24"/>
          <w:szCs w:val="24"/>
        </w:rPr>
        <w:t>i</w:t>
      </w:r>
      <w:r w:rsidRPr="00010565">
        <w:rPr>
          <w:rFonts w:ascii="Arial" w:eastAsia="Arial" w:hAnsi="Arial" w:cs="Arial"/>
          <w:color w:val="2E74B5" w:themeColor="accent1" w:themeShade="BF"/>
          <w:sz w:val="24"/>
          <w:szCs w:val="24"/>
        </w:rPr>
        <w:t>cio</w:t>
      </w:r>
      <w:r w:rsidRPr="00010565">
        <w:rPr>
          <w:rFonts w:ascii="Arial" w:eastAsia="Arial" w:hAnsi="Arial" w:cs="Arial"/>
          <w:color w:val="2E74B5" w:themeColor="accent1" w:themeShade="BF"/>
          <w:spacing w:val="4"/>
          <w:sz w:val="24"/>
          <w:szCs w:val="24"/>
        </w:rPr>
        <w:t xml:space="preserve"> </w:t>
      </w:r>
      <w:r w:rsidRPr="00010565">
        <w:rPr>
          <w:rFonts w:ascii="Arial" w:eastAsia="Arial" w:hAnsi="Arial" w:cs="Arial"/>
          <w:color w:val="2E74B5" w:themeColor="accent1" w:themeShade="BF"/>
          <w:spacing w:val="1"/>
          <w:sz w:val="24"/>
          <w:szCs w:val="24"/>
        </w:rPr>
        <w:t>d</w:t>
      </w:r>
      <w:r w:rsidRPr="00010565">
        <w:rPr>
          <w:rFonts w:ascii="Arial" w:eastAsia="Arial" w:hAnsi="Arial" w:cs="Arial"/>
          <w:color w:val="2E74B5" w:themeColor="accent1" w:themeShade="BF"/>
          <w:sz w:val="24"/>
          <w:szCs w:val="24"/>
        </w:rPr>
        <w:t>e</w:t>
      </w:r>
      <w:r w:rsidRPr="00010565">
        <w:rPr>
          <w:rFonts w:ascii="Arial" w:eastAsia="Arial" w:hAnsi="Arial" w:cs="Arial"/>
          <w:color w:val="2E74B5" w:themeColor="accent1" w:themeShade="BF"/>
          <w:spacing w:val="4"/>
          <w:sz w:val="24"/>
          <w:szCs w:val="24"/>
        </w:rPr>
        <w:t xml:space="preserve"> </w:t>
      </w:r>
      <w:r w:rsidRPr="00010565">
        <w:rPr>
          <w:rFonts w:ascii="Arial" w:eastAsia="Arial" w:hAnsi="Arial" w:cs="Arial"/>
          <w:color w:val="2E74B5" w:themeColor="accent1" w:themeShade="BF"/>
          <w:sz w:val="24"/>
          <w:szCs w:val="24"/>
        </w:rPr>
        <w:t>s</w:t>
      </w:r>
      <w:r w:rsidRPr="00010565">
        <w:rPr>
          <w:rFonts w:ascii="Arial" w:eastAsia="Arial" w:hAnsi="Arial" w:cs="Arial"/>
          <w:color w:val="2E74B5" w:themeColor="accent1" w:themeShade="BF"/>
          <w:spacing w:val="1"/>
          <w:sz w:val="24"/>
          <w:szCs w:val="24"/>
        </w:rPr>
        <w:t>u</w:t>
      </w:r>
      <w:r w:rsidRPr="00010565">
        <w:rPr>
          <w:rFonts w:ascii="Arial" w:eastAsia="Arial" w:hAnsi="Arial" w:cs="Arial"/>
          <w:color w:val="2E74B5" w:themeColor="accent1" w:themeShade="BF"/>
          <w:sz w:val="24"/>
          <w:szCs w:val="24"/>
        </w:rPr>
        <w:t>s</w:t>
      </w:r>
      <w:r w:rsidRPr="00010565">
        <w:rPr>
          <w:rFonts w:ascii="Arial" w:eastAsia="Arial" w:hAnsi="Arial" w:cs="Arial"/>
          <w:color w:val="2E74B5" w:themeColor="accent1" w:themeShade="BF"/>
          <w:spacing w:val="3"/>
          <w:sz w:val="24"/>
          <w:szCs w:val="24"/>
        </w:rPr>
        <w:t xml:space="preserve"> </w:t>
      </w:r>
      <w:r w:rsidRPr="00010565">
        <w:rPr>
          <w:rFonts w:ascii="Arial" w:eastAsia="Arial" w:hAnsi="Arial" w:cs="Arial"/>
          <w:color w:val="2E74B5" w:themeColor="accent1" w:themeShade="BF"/>
          <w:spacing w:val="1"/>
          <w:sz w:val="24"/>
          <w:szCs w:val="24"/>
        </w:rPr>
        <w:t>at</w:t>
      </w:r>
      <w:r w:rsidRPr="00010565">
        <w:rPr>
          <w:rFonts w:ascii="Arial" w:eastAsia="Arial" w:hAnsi="Arial" w:cs="Arial"/>
          <w:color w:val="2E74B5" w:themeColor="accent1" w:themeShade="BF"/>
          <w:spacing w:val="-6"/>
          <w:sz w:val="24"/>
          <w:szCs w:val="24"/>
        </w:rPr>
        <w:t>r</w:t>
      </w:r>
      <w:r w:rsidRPr="00010565">
        <w:rPr>
          <w:rFonts w:ascii="Arial" w:eastAsia="Arial" w:hAnsi="Arial" w:cs="Arial"/>
          <w:color w:val="2E74B5" w:themeColor="accent1" w:themeShade="BF"/>
          <w:sz w:val="24"/>
          <w:szCs w:val="24"/>
        </w:rPr>
        <w:t>i</w:t>
      </w:r>
      <w:r w:rsidRPr="00010565">
        <w:rPr>
          <w:rFonts w:ascii="Arial" w:eastAsia="Arial" w:hAnsi="Arial" w:cs="Arial"/>
          <w:color w:val="2E74B5" w:themeColor="accent1" w:themeShade="BF"/>
          <w:spacing w:val="1"/>
          <w:sz w:val="24"/>
          <w:szCs w:val="24"/>
        </w:rPr>
        <w:t>bu</w:t>
      </w:r>
      <w:r w:rsidRPr="00010565">
        <w:rPr>
          <w:rFonts w:ascii="Arial" w:eastAsia="Arial" w:hAnsi="Arial" w:cs="Arial"/>
          <w:color w:val="2E74B5" w:themeColor="accent1" w:themeShade="BF"/>
          <w:sz w:val="24"/>
          <w:szCs w:val="24"/>
        </w:rPr>
        <w:t>cio</w:t>
      </w:r>
      <w:r w:rsidRPr="00010565">
        <w:rPr>
          <w:rFonts w:ascii="Arial" w:eastAsia="Arial" w:hAnsi="Arial" w:cs="Arial"/>
          <w:color w:val="2E74B5" w:themeColor="accent1" w:themeShade="BF"/>
          <w:spacing w:val="1"/>
          <w:sz w:val="24"/>
          <w:szCs w:val="24"/>
        </w:rPr>
        <w:t>ne</w:t>
      </w:r>
      <w:r w:rsidRPr="00010565">
        <w:rPr>
          <w:rFonts w:ascii="Arial" w:eastAsia="Arial" w:hAnsi="Arial" w:cs="Arial"/>
          <w:color w:val="2E74B5" w:themeColor="accent1" w:themeShade="BF"/>
          <w:spacing w:val="2"/>
          <w:sz w:val="24"/>
          <w:szCs w:val="24"/>
        </w:rPr>
        <w:t>s</w:t>
      </w:r>
      <w:r w:rsidRPr="00010565">
        <w:rPr>
          <w:rFonts w:ascii="Arial" w:eastAsia="Arial" w:hAnsi="Arial" w:cs="Arial"/>
          <w:color w:val="2E74B5" w:themeColor="accent1" w:themeShade="BF"/>
          <w:sz w:val="24"/>
          <w:szCs w:val="24"/>
        </w:rPr>
        <w:t>,</w:t>
      </w:r>
      <w:r w:rsidRPr="00010565">
        <w:rPr>
          <w:rFonts w:ascii="Arial" w:eastAsia="Arial" w:hAnsi="Arial" w:cs="Arial"/>
          <w:color w:val="2E74B5" w:themeColor="accent1" w:themeShade="BF"/>
          <w:spacing w:val="3"/>
          <w:sz w:val="24"/>
          <w:szCs w:val="24"/>
        </w:rPr>
        <w:t xml:space="preserve"> y que a su vez, no se encuentran </w:t>
      </w:r>
      <w:r w:rsidRPr="00010565">
        <w:rPr>
          <w:rFonts w:ascii="Arial" w:eastAsia="Arial" w:hAnsi="Arial" w:cs="Arial"/>
          <w:color w:val="2E74B5" w:themeColor="accent1" w:themeShade="BF"/>
          <w:sz w:val="24"/>
          <w:szCs w:val="24"/>
        </w:rPr>
        <w:t>i</w:t>
      </w:r>
      <w:r w:rsidRPr="00010565">
        <w:rPr>
          <w:rFonts w:ascii="Arial" w:eastAsia="Arial" w:hAnsi="Arial" w:cs="Arial"/>
          <w:color w:val="2E74B5" w:themeColor="accent1" w:themeShade="BF"/>
          <w:spacing w:val="1"/>
          <w:sz w:val="24"/>
          <w:szCs w:val="24"/>
        </w:rPr>
        <w:t>nd</w:t>
      </w:r>
      <w:r w:rsidRPr="00010565">
        <w:rPr>
          <w:rFonts w:ascii="Arial" w:eastAsia="Arial" w:hAnsi="Arial" w:cs="Arial"/>
          <w:color w:val="2E74B5" w:themeColor="accent1" w:themeShade="BF"/>
          <w:spacing w:val="-1"/>
          <w:sz w:val="24"/>
          <w:szCs w:val="24"/>
        </w:rPr>
        <w:t>i</w:t>
      </w:r>
      <w:r w:rsidRPr="00010565">
        <w:rPr>
          <w:rFonts w:ascii="Arial" w:eastAsia="Arial" w:hAnsi="Arial" w:cs="Arial"/>
          <w:color w:val="2E74B5" w:themeColor="accent1" w:themeShade="BF"/>
          <w:spacing w:val="-5"/>
          <w:sz w:val="24"/>
          <w:szCs w:val="24"/>
        </w:rPr>
        <w:t>v</w:t>
      </w:r>
      <w:r w:rsidRPr="00010565">
        <w:rPr>
          <w:rFonts w:ascii="Arial" w:eastAsia="Arial" w:hAnsi="Arial" w:cs="Arial"/>
          <w:color w:val="2E74B5" w:themeColor="accent1" w:themeShade="BF"/>
          <w:sz w:val="24"/>
          <w:szCs w:val="24"/>
        </w:rPr>
        <w:t>i</w:t>
      </w:r>
      <w:r w:rsidRPr="00010565">
        <w:rPr>
          <w:rFonts w:ascii="Arial" w:eastAsia="Arial" w:hAnsi="Arial" w:cs="Arial"/>
          <w:color w:val="2E74B5" w:themeColor="accent1" w:themeShade="BF"/>
          <w:spacing w:val="1"/>
          <w:sz w:val="24"/>
          <w:szCs w:val="24"/>
        </w:rPr>
        <w:t>d</w:t>
      </w:r>
      <w:r w:rsidRPr="00010565">
        <w:rPr>
          <w:rFonts w:ascii="Arial" w:eastAsia="Arial" w:hAnsi="Arial" w:cs="Arial"/>
          <w:color w:val="2E74B5" w:themeColor="accent1" w:themeShade="BF"/>
          <w:spacing w:val="-1"/>
          <w:sz w:val="24"/>
          <w:szCs w:val="24"/>
        </w:rPr>
        <w:t>u</w:t>
      </w:r>
      <w:r w:rsidRPr="00010565">
        <w:rPr>
          <w:rFonts w:ascii="Arial" w:eastAsia="Arial" w:hAnsi="Arial" w:cs="Arial"/>
          <w:color w:val="2E74B5" w:themeColor="accent1" w:themeShade="BF"/>
          <w:spacing w:val="1"/>
          <w:sz w:val="24"/>
          <w:szCs w:val="24"/>
        </w:rPr>
        <w:t>a</w:t>
      </w:r>
      <w:r w:rsidRPr="00010565">
        <w:rPr>
          <w:rFonts w:ascii="Arial" w:eastAsia="Arial" w:hAnsi="Arial" w:cs="Arial"/>
          <w:color w:val="2E74B5" w:themeColor="accent1" w:themeShade="BF"/>
          <w:spacing w:val="-1"/>
          <w:sz w:val="24"/>
          <w:szCs w:val="24"/>
        </w:rPr>
        <w:t>li</w:t>
      </w:r>
      <w:r w:rsidRPr="00010565">
        <w:rPr>
          <w:rFonts w:ascii="Arial" w:eastAsia="Arial" w:hAnsi="Arial" w:cs="Arial"/>
          <w:color w:val="2E74B5" w:themeColor="accent1" w:themeShade="BF"/>
          <w:spacing w:val="-5"/>
          <w:sz w:val="24"/>
          <w:szCs w:val="24"/>
        </w:rPr>
        <w:t>z</w:t>
      </w:r>
      <w:r w:rsidRPr="00010565">
        <w:rPr>
          <w:rFonts w:ascii="Arial" w:eastAsia="Arial" w:hAnsi="Arial" w:cs="Arial"/>
          <w:color w:val="2E74B5" w:themeColor="accent1" w:themeShade="BF"/>
          <w:spacing w:val="1"/>
          <w:sz w:val="24"/>
          <w:szCs w:val="24"/>
        </w:rPr>
        <w:t>a</w:t>
      </w:r>
      <w:r w:rsidRPr="00010565">
        <w:rPr>
          <w:rFonts w:ascii="Arial" w:eastAsia="Arial" w:hAnsi="Arial" w:cs="Arial"/>
          <w:color w:val="2E74B5" w:themeColor="accent1" w:themeShade="BF"/>
          <w:spacing w:val="3"/>
          <w:sz w:val="24"/>
          <w:szCs w:val="24"/>
        </w:rPr>
        <w:t>d</w:t>
      </w:r>
      <w:r w:rsidRPr="00010565">
        <w:rPr>
          <w:rFonts w:ascii="Arial" w:eastAsia="Arial" w:hAnsi="Arial" w:cs="Arial"/>
          <w:color w:val="2E74B5" w:themeColor="accent1" w:themeShade="BF"/>
          <w:spacing w:val="1"/>
          <w:sz w:val="24"/>
          <w:szCs w:val="24"/>
        </w:rPr>
        <w:t>o</w:t>
      </w:r>
      <w:r w:rsidRPr="00010565">
        <w:rPr>
          <w:rFonts w:ascii="Arial" w:eastAsia="Arial" w:hAnsi="Arial" w:cs="Arial"/>
          <w:color w:val="2E74B5" w:themeColor="accent1" w:themeShade="BF"/>
          <w:sz w:val="24"/>
          <w:szCs w:val="24"/>
        </w:rPr>
        <w:t>s</w:t>
      </w:r>
      <w:r w:rsidRPr="00010565">
        <w:rPr>
          <w:rFonts w:ascii="Arial" w:eastAsia="Arial" w:hAnsi="Arial" w:cs="Arial"/>
          <w:color w:val="2E74B5" w:themeColor="accent1" w:themeShade="BF"/>
          <w:spacing w:val="20"/>
          <w:sz w:val="24"/>
          <w:szCs w:val="24"/>
        </w:rPr>
        <w:t xml:space="preserve"> </w:t>
      </w:r>
      <w:r w:rsidRPr="00010565">
        <w:rPr>
          <w:rFonts w:ascii="Arial" w:eastAsia="Arial" w:hAnsi="Arial" w:cs="Arial"/>
          <w:color w:val="2E74B5" w:themeColor="accent1" w:themeShade="BF"/>
          <w:sz w:val="24"/>
          <w:szCs w:val="24"/>
        </w:rPr>
        <w:t>o</w:t>
      </w:r>
      <w:r w:rsidRPr="00010565">
        <w:rPr>
          <w:rFonts w:ascii="Arial" w:eastAsia="Arial" w:hAnsi="Arial" w:cs="Arial"/>
          <w:color w:val="2E74B5" w:themeColor="accent1" w:themeShade="BF"/>
          <w:spacing w:val="19"/>
          <w:sz w:val="24"/>
          <w:szCs w:val="24"/>
        </w:rPr>
        <w:t xml:space="preserve"> </w:t>
      </w:r>
      <w:r w:rsidRPr="00010565">
        <w:rPr>
          <w:rFonts w:ascii="Arial" w:eastAsia="Arial" w:hAnsi="Arial" w:cs="Arial"/>
          <w:color w:val="2E74B5" w:themeColor="accent1" w:themeShade="BF"/>
          <w:spacing w:val="1"/>
          <w:sz w:val="24"/>
          <w:szCs w:val="24"/>
        </w:rPr>
        <w:t>pe</w:t>
      </w:r>
      <w:r w:rsidRPr="00010565">
        <w:rPr>
          <w:rFonts w:ascii="Arial" w:eastAsia="Arial" w:hAnsi="Arial" w:cs="Arial"/>
          <w:color w:val="2E74B5" w:themeColor="accent1" w:themeShade="BF"/>
          <w:sz w:val="24"/>
          <w:szCs w:val="24"/>
        </w:rPr>
        <w:t>rso</w:t>
      </w:r>
      <w:r w:rsidRPr="00010565">
        <w:rPr>
          <w:rFonts w:ascii="Arial" w:eastAsia="Arial" w:hAnsi="Arial" w:cs="Arial"/>
          <w:color w:val="2E74B5" w:themeColor="accent1" w:themeShade="BF"/>
          <w:spacing w:val="1"/>
          <w:sz w:val="24"/>
          <w:szCs w:val="24"/>
        </w:rPr>
        <w:t>na</w:t>
      </w:r>
      <w:r w:rsidRPr="00010565">
        <w:rPr>
          <w:rFonts w:ascii="Arial" w:eastAsia="Arial" w:hAnsi="Arial" w:cs="Arial"/>
          <w:color w:val="2E74B5" w:themeColor="accent1" w:themeShade="BF"/>
          <w:spacing w:val="-1"/>
          <w:sz w:val="24"/>
          <w:szCs w:val="24"/>
        </w:rPr>
        <w:t>li</w:t>
      </w:r>
      <w:r w:rsidRPr="00010565">
        <w:rPr>
          <w:rFonts w:ascii="Arial" w:eastAsia="Arial" w:hAnsi="Arial" w:cs="Arial"/>
          <w:color w:val="2E74B5" w:themeColor="accent1" w:themeShade="BF"/>
          <w:spacing w:val="-5"/>
          <w:sz w:val="24"/>
          <w:szCs w:val="24"/>
        </w:rPr>
        <w:t>z</w:t>
      </w:r>
      <w:r w:rsidRPr="00010565">
        <w:rPr>
          <w:rFonts w:ascii="Arial" w:eastAsia="Arial" w:hAnsi="Arial" w:cs="Arial"/>
          <w:color w:val="2E74B5" w:themeColor="accent1" w:themeShade="BF"/>
          <w:spacing w:val="3"/>
          <w:sz w:val="24"/>
          <w:szCs w:val="24"/>
        </w:rPr>
        <w:t>ad</w:t>
      </w:r>
      <w:r w:rsidRPr="00010565">
        <w:rPr>
          <w:rFonts w:ascii="Arial" w:eastAsia="Arial" w:hAnsi="Arial" w:cs="Arial"/>
          <w:color w:val="2E74B5" w:themeColor="accent1" w:themeShade="BF"/>
          <w:spacing w:val="1"/>
          <w:sz w:val="24"/>
          <w:szCs w:val="24"/>
        </w:rPr>
        <w:t>o</w:t>
      </w:r>
      <w:r w:rsidRPr="00010565">
        <w:rPr>
          <w:rFonts w:ascii="Arial" w:eastAsia="Arial" w:hAnsi="Arial" w:cs="Arial"/>
          <w:color w:val="2E74B5" w:themeColor="accent1" w:themeShade="BF"/>
          <w:sz w:val="24"/>
          <w:szCs w:val="24"/>
        </w:rPr>
        <w:t>s</w:t>
      </w:r>
      <w:r w:rsidRPr="00010565">
        <w:rPr>
          <w:rFonts w:ascii="Arial" w:eastAsia="Arial" w:hAnsi="Arial" w:cs="Arial"/>
          <w:color w:val="2E74B5" w:themeColor="accent1" w:themeShade="BF"/>
          <w:spacing w:val="18"/>
          <w:sz w:val="24"/>
          <w:szCs w:val="24"/>
        </w:rPr>
        <w:t xml:space="preserve"> </w:t>
      </w:r>
      <w:r w:rsidRPr="00010565">
        <w:rPr>
          <w:rFonts w:ascii="Arial" w:eastAsia="Arial" w:hAnsi="Arial" w:cs="Arial"/>
          <w:color w:val="2E74B5" w:themeColor="accent1" w:themeShade="BF"/>
          <w:sz w:val="24"/>
          <w:szCs w:val="24"/>
        </w:rPr>
        <w:t>a</w:t>
      </w:r>
      <w:r w:rsidRPr="00010565">
        <w:rPr>
          <w:rFonts w:ascii="Arial" w:eastAsia="Arial" w:hAnsi="Arial" w:cs="Arial"/>
          <w:color w:val="2E74B5" w:themeColor="accent1" w:themeShade="BF"/>
          <w:spacing w:val="23"/>
          <w:sz w:val="24"/>
          <w:szCs w:val="24"/>
        </w:rPr>
        <w:t xml:space="preserve"> </w:t>
      </w:r>
      <w:r w:rsidRPr="00010565">
        <w:rPr>
          <w:rFonts w:ascii="Arial" w:eastAsia="Arial" w:hAnsi="Arial" w:cs="Arial"/>
          <w:color w:val="2E74B5" w:themeColor="accent1" w:themeShade="BF"/>
          <w:sz w:val="24"/>
          <w:szCs w:val="24"/>
        </w:rPr>
        <w:t>c</w:t>
      </w:r>
      <w:r w:rsidRPr="00010565">
        <w:rPr>
          <w:rFonts w:ascii="Arial" w:eastAsia="Arial" w:hAnsi="Arial" w:cs="Arial"/>
          <w:color w:val="2E74B5" w:themeColor="accent1" w:themeShade="BF"/>
          <w:spacing w:val="1"/>
          <w:sz w:val="24"/>
          <w:szCs w:val="24"/>
        </w:rPr>
        <w:t>a</w:t>
      </w:r>
      <w:r w:rsidRPr="00010565">
        <w:rPr>
          <w:rFonts w:ascii="Arial" w:eastAsia="Arial" w:hAnsi="Arial" w:cs="Arial"/>
          <w:color w:val="2E74B5" w:themeColor="accent1" w:themeShade="BF"/>
          <w:spacing w:val="-2"/>
          <w:sz w:val="24"/>
          <w:szCs w:val="24"/>
        </w:rPr>
        <w:t>s</w:t>
      </w:r>
      <w:r w:rsidRPr="00010565">
        <w:rPr>
          <w:rFonts w:ascii="Arial" w:eastAsia="Arial" w:hAnsi="Arial" w:cs="Arial"/>
          <w:color w:val="2E74B5" w:themeColor="accent1" w:themeShade="BF"/>
          <w:spacing w:val="1"/>
          <w:sz w:val="24"/>
          <w:szCs w:val="24"/>
        </w:rPr>
        <w:t>o</w:t>
      </w:r>
      <w:r w:rsidRPr="00010565">
        <w:rPr>
          <w:rFonts w:ascii="Arial" w:eastAsia="Arial" w:hAnsi="Arial" w:cs="Arial"/>
          <w:color w:val="2E74B5" w:themeColor="accent1" w:themeShade="BF"/>
          <w:sz w:val="24"/>
          <w:szCs w:val="24"/>
        </w:rPr>
        <w:t>s o</w:t>
      </w:r>
      <w:r w:rsidRPr="00010565">
        <w:rPr>
          <w:rFonts w:ascii="Arial" w:eastAsia="Arial" w:hAnsi="Arial" w:cs="Arial"/>
          <w:color w:val="2E74B5" w:themeColor="accent1" w:themeShade="BF"/>
          <w:spacing w:val="2"/>
          <w:sz w:val="24"/>
          <w:szCs w:val="24"/>
        </w:rPr>
        <w:t xml:space="preserve"> </w:t>
      </w:r>
      <w:r w:rsidRPr="00010565">
        <w:rPr>
          <w:rFonts w:ascii="Arial" w:eastAsia="Arial" w:hAnsi="Arial" w:cs="Arial"/>
          <w:color w:val="2E74B5" w:themeColor="accent1" w:themeShade="BF"/>
          <w:sz w:val="24"/>
          <w:szCs w:val="24"/>
        </w:rPr>
        <w:t>sit</w:t>
      </w:r>
      <w:r w:rsidRPr="00010565">
        <w:rPr>
          <w:rFonts w:ascii="Arial" w:eastAsia="Arial" w:hAnsi="Arial" w:cs="Arial"/>
          <w:color w:val="2E74B5" w:themeColor="accent1" w:themeShade="BF"/>
          <w:spacing w:val="1"/>
          <w:sz w:val="24"/>
          <w:szCs w:val="24"/>
        </w:rPr>
        <w:t>ua</w:t>
      </w:r>
      <w:r w:rsidRPr="00010565">
        <w:rPr>
          <w:rFonts w:ascii="Arial" w:eastAsia="Arial" w:hAnsi="Arial" w:cs="Arial"/>
          <w:color w:val="2E74B5" w:themeColor="accent1" w:themeShade="BF"/>
          <w:sz w:val="24"/>
          <w:szCs w:val="24"/>
        </w:rPr>
        <w:t>c</w:t>
      </w:r>
      <w:r w:rsidRPr="00010565">
        <w:rPr>
          <w:rFonts w:ascii="Arial" w:eastAsia="Arial" w:hAnsi="Arial" w:cs="Arial"/>
          <w:color w:val="2E74B5" w:themeColor="accent1" w:themeShade="BF"/>
          <w:spacing w:val="-3"/>
          <w:sz w:val="24"/>
          <w:szCs w:val="24"/>
        </w:rPr>
        <w:t>i</w:t>
      </w:r>
      <w:r w:rsidRPr="00010565">
        <w:rPr>
          <w:rFonts w:ascii="Arial" w:eastAsia="Arial" w:hAnsi="Arial" w:cs="Arial"/>
          <w:color w:val="2E74B5" w:themeColor="accent1" w:themeShade="BF"/>
          <w:spacing w:val="1"/>
          <w:sz w:val="24"/>
          <w:szCs w:val="24"/>
        </w:rPr>
        <w:t>one</w:t>
      </w:r>
      <w:r w:rsidRPr="00010565">
        <w:rPr>
          <w:rFonts w:ascii="Arial" w:eastAsia="Arial" w:hAnsi="Arial" w:cs="Arial"/>
          <w:color w:val="2E74B5" w:themeColor="accent1" w:themeShade="BF"/>
          <w:sz w:val="24"/>
          <w:szCs w:val="24"/>
        </w:rPr>
        <w:t>s</w:t>
      </w:r>
      <w:r w:rsidRPr="00010565">
        <w:rPr>
          <w:rFonts w:ascii="Arial" w:eastAsia="Arial" w:hAnsi="Arial" w:cs="Arial"/>
          <w:color w:val="2E74B5" w:themeColor="accent1" w:themeShade="BF"/>
          <w:spacing w:val="-2"/>
          <w:sz w:val="24"/>
          <w:szCs w:val="24"/>
        </w:rPr>
        <w:t xml:space="preserve"> </w:t>
      </w:r>
      <w:r w:rsidRPr="00010565">
        <w:rPr>
          <w:rFonts w:ascii="Arial" w:eastAsia="Arial" w:hAnsi="Arial" w:cs="Arial"/>
          <w:color w:val="2E74B5" w:themeColor="accent1" w:themeShade="BF"/>
          <w:spacing w:val="2"/>
          <w:sz w:val="24"/>
          <w:szCs w:val="24"/>
        </w:rPr>
        <w:t>e</w:t>
      </w:r>
      <w:r w:rsidRPr="00010565">
        <w:rPr>
          <w:rFonts w:ascii="Arial" w:eastAsia="Arial" w:hAnsi="Arial" w:cs="Arial"/>
          <w:color w:val="2E74B5" w:themeColor="accent1" w:themeShade="BF"/>
          <w:sz w:val="24"/>
          <w:szCs w:val="24"/>
        </w:rPr>
        <w:t>s</w:t>
      </w:r>
      <w:r w:rsidRPr="00010565">
        <w:rPr>
          <w:rFonts w:ascii="Arial" w:eastAsia="Arial" w:hAnsi="Arial" w:cs="Arial"/>
          <w:color w:val="2E74B5" w:themeColor="accent1" w:themeShade="BF"/>
          <w:spacing w:val="1"/>
          <w:sz w:val="24"/>
          <w:szCs w:val="24"/>
        </w:rPr>
        <w:t>pe</w:t>
      </w:r>
      <w:r w:rsidRPr="00010565">
        <w:rPr>
          <w:rFonts w:ascii="Arial" w:eastAsia="Arial" w:hAnsi="Arial" w:cs="Arial"/>
          <w:color w:val="2E74B5" w:themeColor="accent1" w:themeShade="BF"/>
          <w:sz w:val="24"/>
          <w:szCs w:val="24"/>
        </w:rPr>
        <w:t>c</w:t>
      </w:r>
      <w:r w:rsidRPr="00010565">
        <w:rPr>
          <w:rFonts w:ascii="Arial" w:eastAsia="Arial" w:hAnsi="Arial" w:cs="Arial"/>
          <w:color w:val="2E74B5" w:themeColor="accent1" w:themeShade="BF"/>
          <w:spacing w:val="-4"/>
          <w:sz w:val="24"/>
          <w:szCs w:val="24"/>
        </w:rPr>
        <w:t>í</w:t>
      </w:r>
      <w:r w:rsidRPr="00010565">
        <w:rPr>
          <w:rFonts w:ascii="Arial" w:eastAsia="Arial" w:hAnsi="Arial" w:cs="Arial"/>
          <w:color w:val="2E74B5" w:themeColor="accent1" w:themeShade="BF"/>
          <w:spacing w:val="5"/>
          <w:sz w:val="24"/>
          <w:szCs w:val="24"/>
        </w:rPr>
        <w:t>f</w:t>
      </w:r>
      <w:r w:rsidRPr="00010565">
        <w:rPr>
          <w:rFonts w:ascii="Arial" w:eastAsia="Arial" w:hAnsi="Arial" w:cs="Arial"/>
          <w:color w:val="2E74B5" w:themeColor="accent1" w:themeShade="BF"/>
          <w:spacing w:val="-1"/>
          <w:sz w:val="24"/>
          <w:szCs w:val="24"/>
        </w:rPr>
        <w:t>i</w:t>
      </w:r>
      <w:r w:rsidRPr="00010565">
        <w:rPr>
          <w:rFonts w:ascii="Arial" w:eastAsia="Arial" w:hAnsi="Arial" w:cs="Arial"/>
          <w:color w:val="2E74B5" w:themeColor="accent1" w:themeShade="BF"/>
          <w:spacing w:val="-5"/>
          <w:sz w:val="24"/>
          <w:szCs w:val="24"/>
        </w:rPr>
        <w:t>c</w:t>
      </w:r>
      <w:r w:rsidRPr="00010565">
        <w:rPr>
          <w:rFonts w:ascii="Arial" w:eastAsia="Arial" w:hAnsi="Arial" w:cs="Arial"/>
          <w:color w:val="2E74B5" w:themeColor="accent1" w:themeShade="BF"/>
          <w:spacing w:val="1"/>
          <w:sz w:val="24"/>
          <w:szCs w:val="24"/>
        </w:rPr>
        <w:t>a</w:t>
      </w:r>
      <w:r w:rsidRPr="00010565">
        <w:rPr>
          <w:rFonts w:ascii="Arial" w:eastAsia="Arial" w:hAnsi="Arial" w:cs="Arial"/>
          <w:color w:val="2E74B5" w:themeColor="accent1" w:themeShade="BF"/>
          <w:sz w:val="24"/>
          <w:szCs w:val="24"/>
        </w:rPr>
        <w:t>s</w:t>
      </w:r>
      <w:r w:rsidRPr="00010565">
        <w:rPr>
          <w:rFonts w:ascii="Arial" w:eastAsia="Arial" w:hAnsi="Arial" w:cs="Arial"/>
          <w:color w:val="2E74B5" w:themeColor="accent1" w:themeShade="BF"/>
          <w:spacing w:val="1"/>
          <w:sz w:val="24"/>
          <w:szCs w:val="24"/>
        </w:rPr>
        <w:t xml:space="preserve"> </w:t>
      </w:r>
      <w:r w:rsidRPr="00010565">
        <w:rPr>
          <w:rFonts w:ascii="Arial" w:eastAsia="Arial" w:hAnsi="Arial" w:cs="Arial"/>
          <w:color w:val="2E74B5" w:themeColor="accent1" w:themeShade="BF"/>
          <w:spacing w:val="-1"/>
          <w:sz w:val="24"/>
          <w:szCs w:val="24"/>
        </w:rPr>
        <w:t>q</w:t>
      </w:r>
      <w:r w:rsidRPr="00010565">
        <w:rPr>
          <w:rFonts w:ascii="Arial" w:eastAsia="Arial" w:hAnsi="Arial" w:cs="Arial"/>
          <w:color w:val="2E74B5" w:themeColor="accent1" w:themeShade="BF"/>
          <w:spacing w:val="1"/>
          <w:sz w:val="24"/>
          <w:szCs w:val="24"/>
        </w:rPr>
        <w:t>u</w:t>
      </w:r>
      <w:r w:rsidRPr="00010565">
        <w:rPr>
          <w:rFonts w:ascii="Arial" w:eastAsia="Arial" w:hAnsi="Arial" w:cs="Arial"/>
          <w:color w:val="2E74B5" w:themeColor="accent1" w:themeShade="BF"/>
          <w:sz w:val="24"/>
          <w:szCs w:val="24"/>
        </w:rPr>
        <w:t>e</w:t>
      </w:r>
      <w:r w:rsidRPr="00010565">
        <w:rPr>
          <w:rFonts w:ascii="Arial" w:eastAsia="Arial" w:hAnsi="Arial" w:cs="Arial"/>
          <w:color w:val="2E74B5" w:themeColor="accent1" w:themeShade="BF"/>
          <w:spacing w:val="2"/>
          <w:sz w:val="24"/>
          <w:szCs w:val="24"/>
        </w:rPr>
        <w:t xml:space="preserve"> </w:t>
      </w:r>
      <w:r w:rsidRPr="00010565">
        <w:rPr>
          <w:rFonts w:ascii="Arial" w:eastAsia="Arial" w:hAnsi="Arial" w:cs="Arial"/>
          <w:color w:val="2E74B5" w:themeColor="accent1" w:themeShade="BF"/>
          <w:spacing w:val="1"/>
          <w:sz w:val="24"/>
          <w:szCs w:val="24"/>
        </w:rPr>
        <w:t>pud</w:t>
      </w:r>
      <w:r w:rsidRPr="00010565">
        <w:rPr>
          <w:rFonts w:ascii="Arial" w:eastAsia="Arial" w:hAnsi="Arial" w:cs="Arial"/>
          <w:color w:val="2E74B5" w:themeColor="accent1" w:themeShade="BF"/>
          <w:sz w:val="24"/>
          <w:szCs w:val="24"/>
        </w:rPr>
        <w:t>ier</w:t>
      </w:r>
      <w:r w:rsidRPr="00010565">
        <w:rPr>
          <w:rFonts w:ascii="Arial" w:eastAsia="Arial" w:hAnsi="Arial" w:cs="Arial"/>
          <w:color w:val="2E74B5" w:themeColor="accent1" w:themeShade="BF"/>
          <w:spacing w:val="-1"/>
          <w:sz w:val="24"/>
          <w:szCs w:val="24"/>
        </w:rPr>
        <w:t>a</w:t>
      </w:r>
      <w:r w:rsidRPr="00010565">
        <w:rPr>
          <w:rFonts w:ascii="Arial" w:eastAsia="Arial" w:hAnsi="Arial" w:cs="Arial"/>
          <w:color w:val="2E74B5" w:themeColor="accent1" w:themeShade="BF"/>
          <w:sz w:val="24"/>
          <w:szCs w:val="24"/>
        </w:rPr>
        <w:t>n</w:t>
      </w:r>
      <w:r w:rsidRPr="00010565">
        <w:rPr>
          <w:rFonts w:ascii="Arial" w:eastAsia="Arial" w:hAnsi="Arial" w:cs="Arial"/>
          <w:color w:val="2E74B5" w:themeColor="accent1" w:themeShade="BF"/>
          <w:spacing w:val="2"/>
          <w:sz w:val="24"/>
          <w:szCs w:val="24"/>
        </w:rPr>
        <w:t xml:space="preserve"> </w:t>
      </w:r>
      <w:r w:rsidRPr="00010565">
        <w:rPr>
          <w:rFonts w:ascii="Arial" w:eastAsia="Arial" w:hAnsi="Arial" w:cs="Arial"/>
          <w:color w:val="2E74B5" w:themeColor="accent1" w:themeShade="BF"/>
          <w:sz w:val="24"/>
          <w:szCs w:val="24"/>
        </w:rPr>
        <w:t>ll</w:t>
      </w:r>
      <w:r w:rsidRPr="00010565">
        <w:rPr>
          <w:rFonts w:ascii="Arial" w:eastAsia="Arial" w:hAnsi="Arial" w:cs="Arial"/>
          <w:color w:val="2E74B5" w:themeColor="accent1" w:themeShade="BF"/>
          <w:spacing w:val="1"/>
          <w:sz w:val="24"/>
          <w:szCs w:val="24"/>
        </w:rPr>
        <w:t>e</w:t>
      </w:r>
      <w:r w:rsidRPr="00010565">
        <w:rPr>
          <w:rFonts w:ascii="Arial" w:eastAsia="Arial" w:hAnsi="Arial" w:cs="Arial"/>
          <w:color w:val="2E74B5" w:themeColor="accent1" w:themeShade="BF"/>
          <w:spacing w:val="-1"/>
          <w:sz w:val="24"/>
          <w:szCs w:val="24"/>
        </w:rPr>
        <w:t>g</w:t>
      </w:r>
      <w:r w:rsidRPr="00010565">
        <w:rPr>
          <w:rFonts w:ascii="Arial" w:eastAsia="Arial" w:hAnsi="Arial" w:cs="Arial"/>
          <w:color w:val="2E74B5" w:themeColor="accent1" w:themeShade="BF"/>
          <w:spacing w:val="1"/>
          <w:sz w:val="24"/>
          <w:szCs w:val="24"/>
        </w:rPr>
        <w:t>a</w:t>
      </w:r>
      <w:r w:rsidRPr="00010565">
        <w:rPr>
          <w:rFonts w:ascii="Arial" w:eastAsia="Arial" w:hAnsi="Arial" w:cs="Arial"/>
          <w:color w:val="2E74B5" w:themeColor="accent1" w:themeShade="BF"/>
          <w:sz w:val="24"/>
          <w:szCs w:val="24"/>
        </w:rPr>
        <w:t>r</w:t>
      </w:r>
      <w:r w:rsidRPr="00010565">
        <w:rPr>
          <w:rFonts w:ascii="Arial" w:eastAsia="Arial" w:hAnsi="Arial" w:cs="Arial"/>
          <w:color w:val="2E74B5" w:themeColor="accent1" w:themeShade="BF"/>
          <w:spacing w:val="-5"/>
          <w:sz w:val="24"/>
          <w:szCs w:val="24"/>
        </w:rPr>
        <w:t xml:space="preserve"> </w:t>
      </w:r>
      <w:r w:rsidRPr="00010565">
        <w:rPr>
          <w:rFonts w:ascii="Arial" w:eastAsia="Arial" w:hAnsi="Arial" w:cs="Arial"/>
          <w:color w:val="2E74B5" w:themeColor="accent1" w:themeShade="BF"/>
          <w:sz w:val="24"/>
          <w:szCs w:val="24"/>
        </w:rPr>
        <w:t>a</w:t>
      </w:r>
      <w:r w:rsidRPr="00010565">
        <w:rPr>
          <w:rFonts w:ascii="Arial" w:eastAsia="Arial" w:hAnsi="Arial" w:cs="Arial"/>
          <w:color w:val="2E74B5" w:themeColor="accent1" w:themeShade="BF"/>
          <w:spacing w:val="2"/>
          <w:sz w:val="24"/>
          <w:szCs w:val="24"/>
        </w:rPr>
        <w:t xml:space="preserve"> </w:t>
      </w:r>
      <w:r w:rsidRPr="00010565">
        <w:rPr>
          <w:rFonts w:ascii="Arial" w:eastAsia="Arial" w:hAnsi="Arial" w:cs="Arial"/>
          <w:color w:val="2E74B5" w:themeColor="accent1" w:themeShade="BF"/>
          <w:spacing w:val="-1"/>
          <w:sz w:val="24"/>
          <w:szCs w:val="24"/>
        </w:rPr>
        <w:t>j</w:t>
      </w:r>
      <w:r w:rsidRPr="00010565">
        <w:rPr>
          <w:rFonts w:ascii="Arial" w:eastAsia="Arial" w:hAnsi="Arial" w:cs="Arial"/>
          <w:color w:val="2E74B5" w:themeColor="accent1" w:themeShade="BF"/>
          <w:spacing w:val="1"/>
          <w:sz w:val="24"/>
          <w:szCs w:val="24"/>
        </w:rPr>
        <w:t>u</w:t>
      </w:r>
      <w:r w:rsidRPr="00010565">
        <w:rPr>
          <w:rFonts w:ascii="Arial" w:eastAsia="Arial" w:hAnsi="Arial" w:cs="Arial"/>
          <w:color w:val="2E74B5" w:themeColor="accent1" w:themeShade="BF"/>
          <w:sz w:val="24"/>
          <w:szCs w:val="24"/>
        </w:rPr>
        <w:t>s</w:t>
      </w:r>
      <w:r w:rsidRPr="00010565">
        <w:rPr>
          <w:rFonts w:ascii="Arial" w:eastAsia="Arial" w:hAnsi="Arial" w:cs="Arial"/>
          <w:color w:val="2E74B5" w:themeColor="accent1" w:themeShade="BF"/>
          <w:spacing w:val="1"/>
          <w:sz w:val="24"/>
          <w:szCs w:val="24"/>
        </w:rPr>
        <w:t>t</w:t>
      </w:r>
      <w:r w:rsidRPr="00010565">
        <w:rPr>
          <w:rFonts w:ascii="Arial" w:eastAsia="Arial" w:hAnsi="Arial" w:cs="Arial"/>
          <w:color w:val="2E74B5" w:themeColor="accent1" w:themeShade="BF"/>
          <w:spacing w:val="-3"/>
          <w:sz w:val="24"/>
          <w:szCs w:val="24"/>
        </w:rPr>
        <w:t>i</w:t>
      </w:r>
      <w:r w:rsidRPr="00010565">
        <w:rPr>
          <w:rFonts w:ascii="Arial" w:eastAsia="Arial" w:hAnsi="Arial" w:cs="Arial"/>
          <w:color w:val="2E74B5" w:themeColor="accent1" w:themeShade="BF"/>
          <w:spacing w:val="5"/>
          <w:sz w:val="24"/>
          <w:szCs w:val="24"/>
        </w:rPr>
        <w:t>f</w:t>
      </w:r>
      <w:r w:rsidRPr="00010565">
        <w:rPr>
          <w:rFonts w:ascii="Arial" w:eastAsia="Arial" w:hAnsi="Arial" w:cs="Arial"/>
          <w:color w:val="2E74B5" w:themeColor="accent1" w:themeShade="BF"/>
          <w:spacing w:val="4"/>
          <w:sz w:val="24"/>
          <w:szCs w:val="24"/>
        </w:rPr>
        <w:t>i</w:t>
      </w:r>
      <w:r w:rsidRPr="00010565">
        <w:rPr>
          <w:rFonts w:ascii="Arial" w:eastAsia="Arial" w:hAnsi="Arial" w:cs="Arial"/>
          <w:color w:val="2E74B5" w:themeColor="accent1" w:themeShade="BF"/>
          <w:sz w:val="24"/>
          <w:szCs w:val="24"/>
        </w:rPr>
        <w:t>c</w:t>
      </w:r>
      <w:r w:rsidRPr="00010565">
        <w:rPr>
          <w:rFonts w:ascii="Arial" w:eastAsia="Arial" w:hAnsi="Arial" w:cs="Arial"/>
          <w:color w:val="2E74B5" w:themeColor="accent1" w:themeShade="BF"/>
          <w:spacing w:val="1"/>
          <w:sz w:val="24"/>
          <w:szCs w:val="24"/>
        </w:rPr>
        <w:t>a</w:t>
      </w:r>
      <w:r w:rsidRPr="00010565">
        <w:rPr>
          <w:rFonts w:ascii="Arial" w:eastAsia="Arial" w:hAnsi="Arial" w:cs="Arial"/>
          <w:color w:val="2E74B5" w:themeColor="accent1" w:themeShade="BF"/>
          <w:sz w:val="24"/>
          <w:szCs w:val="24"/>
        </w:rPr>
        <w:t>r su</w:t>
      </w:r>
      <w:r w:rsidRPr="00010565">
        <w:rPr>
          <w:rFonts w:ascii="Arial" w:eastAsia="Arial" w:hAnsi="Arial" w:cs="Arial"/>
          <w:color w:val="2E74B5" w:themeColor="accent1" w:themeShade="BF"/>
          <w:spacing w:val="2"/>
          <w:sz w:val="24"/>
          <w:szCs w:val="24"/>
        </w:rPr>
        <w:t xml:space="preserve"> </w:t>
      </w:r>
      <w:r w:rsidRPr="00010565">
        <w:rPr>
          <w:rFonts w:ascii="Arial" w:eastAsia="Arial" w:hAnsi="Arial" w:cs="Arial"/>
          <w:color w:val="2E74B5" w:themeColor="accent1" w:themeShade="BF"/>
          <w:sz w:val="24"/>
          <w:szCs w:val="24"/>
        </w:rPr>
        <w:t>c</w:t>
      </w:r>
      <w:r w:rsidRPr="00010565">
        <w:rPr>
          <w:rFonts w:ascii="Arial" w:eastAsia="Arial" w:hAnsi="Arial" w:cs="Arial"/>
          <w:color w:val="2E74B5" w:themeColor="accent1" w:themeShade="BF"/>
          <w:spacing w:val="-1"/>
          <w:sz w:val="24"/>
          <w:szCs w:val="24"/>
        </w:rPr>
        <w:t>l</w:t>
      </w:r>
      <w:r w:rsidRPr="00010565">
        <w:rPr>
          <w:rFonts w:ascii="Arial" w:eastAsia="Arial" w:hAnsi="Arial" w:cs="Arial"/>
          <w:color w:val="2E74B5" w:themeColor="accent1" w:themeShade="BF"/>
          <w:spacing w:val="1"/>
          <w:sz w:val="24"/>
          <w:szCs w:val="24"/>
        </w:rPr>
        <w:t>a</w:t>
      </w:r>
      <w:r w:rsidRPr="00010565">
        <w:rPr>
          <w:rFonts w:ascii="Arial" w:eastAsia="Arial" w:hAnsi="Arial" w:cs="Arial"/>
          <w:color w:val="2E74B5" w:themeColor="accent1" w:themeShade="BF"/>
          <w:sz w:val="24"/>
          <w:szCs w:val="24"/>
        </w:rPr>
        <w:t>s</w:t>
      </w:r>
      <w:r w:rsidRPr="00010565">
        <w:rPr>
          <w:rFonts w:ascii="Arial" w:eastAsia="Arial" w:hAnsi="Arial" w:cs="Arial"/>
          <w:color w:val="2E74B5" w:themeColor="accent1" w:themeShade="BF"/>
          <w:spacing w:val="-5"/>
          <w:sz w:val="24"/>
          <w:szCs w:val="24"/>
        </w:rPr>
        <w:t>i</w:t>
      </w:r>
      <w:r w:rsidRPr="00010565">
        <w:rPr>
          <w:rFonts w:ascii="Arial" w:eastAsia="Arial" w:hAnsi="Arial" w:cs="Arial"/>
          <w:color w:val="2E74B5" w:themeColor="accent1" w:themeShade="BF"/>
          <w:spacing w:val="5"/>
          <w:sz w:val="24"/>
          <w:szCs w:val="24"/>
        </w:rPr>
        <w:t>f</w:t>
      </w:r>
      <w:r w:rsidRPr="00010565">
        <w:rPr>
          <w:rFonts w:ascii="Arial" w:eastAsia="Arial" w:hAnsi="Arial" w:cs="Arial"/>
          <w:color w:val="2E74B5" w:themeColor="accent1" w:themeShade="BF"/>
          <w:sz w:val="24"/>
          <w:szCs w:val="24"/>
        </w:rPr>
        <w:t>ica</w:t>
      </w:r>
      <w:r w:rsidRPr="00010565">
        <w:rPr>
          <w:rFonts w:ascii="Arial" w:eastAsia="Arial" w:hAnsi="Arial" w:cs="Arial"/>
          <w:color w:val="2E74B5" w:themeColor="accent1" w:themeShade="BF"/>
          <w:spacing w:val="-5"/>
          <w:sz w:val="24"/>
          <w:szCs w:val="24"/>
        </w:rPr>
        <w:t>c</w:t>
      </w:r>
      <w:r w:rsidRPr="00010565">
        <w:rPr>
          <w:rFonts w:ascii="Arial" w:eastAsia="Arial" w:hAnsi="Arial" w:cs="Arial"/>
          <w:color w:val="2E74B5" w:themeColor="accent1" w:themeShade="BF"/>
          <w:sz w:val="24"/>
          <w:szCs w:val="24"/>
        </w:rPr>
        <w:t>i</w:t>
      </w:r>
      <w:r w:rsidRPr="00010565">
        <w:rPr>
          <w:rFonts w:ascii="Arial" w:eastAsia="Arial" w:hAnsi="Arial" w:cs="Arial"/>
          <w:color w:val="2E74B5" w:themeColor="accent1" w:themeShade="BF"/>
          <w:spacing w:val="1"/>
          <w:sz w:val="24"/>
          <w:szCs w:val="24"/>
        </w:rPr>
        <w:t>ó</w:t>
      </w:r>
      <w:r w:rsidRPr="00010565">
        <w:rPr>
          <w:rFonts w:ascii="Arial" w:eastAsia="Arial" w:hAnsi="Arial" w:cs="Arial"/>
          <w:color w:val="2E74B5" w:themeColor="accent1" w:themeShade="BF"/>
          <w:spacing w:val="3"/>
          <w:sz w:val="24"/>
          <w:szCs w:val="24"/>
        </w:rPr>
        <w:t>n</w:t>
      </w:r>
      <w:r w:rsidRPr="00010565">
        <w:rPr>
          <w:rFonts w:ascii="Arial" w:eastAsia="Arial" w:hAnsi="Arial" w:cs="Arial"/>
          <w:color w:val="2E74B5" w:themeColor="accent1" w:themeShade="BF"/>
          <w:sz w:val="24"/>
          <w:szCs w:val="24"/>
        </w:rPr>
        <w:t>.</w:t>
      </w:r>
    </w:p>
    <w:p w:rsidR="00010565" w:rsidRPr="00010565" w:rsidRDefault="00010565" w:rsidP="00010565">
      <w:pPr>
        <w:pStyle w:val="corte4fondo"/>
        <w:ind w:right="49" w:firstLine="0"/>
        <w:rPr>
          <w:rFonts w:cs="Arial"/>
          <w:color w:val="2E74B5" w:themeColor="accent1" w:themeShade="BF"/>
          <w:sz w:val="24"/>
          <w:szCs w:val="24"/>
        </w:rPr>
      </w:pPr>
    </w:p>
    <w:p w:rsidR="00010565" w:rsidRPr="00010565" w:rsidRDefault="00010565" w:rsidP="00010565">
      <w:pPr>
        <w:autoSpaceDE w:val="0"/>
        <w:autoSpaceDN w:val="0"/>
        <w:adjustRightInd w:val="0"/>
        <w:ind w:firstLine="708"/>
        <w:jc w:val="both"/>
        <w:rPr>
          <w:rFonts w:ascii="Arial" w:eastAsiaTheme="minorHAnsi" w:hAnsi="Arial" w:cs="Arial"/>
          <w:color w:val="2E74B5" w:themeColor="accent1" w:themeShade="BF"/>
          <w:sz w:val="24"/>
        </w:rPr>
      </w:pPr>
      <w:r w:rsidRPr="00010565">
        <w:rPr>
          <w:rFonts w:ascii="Arial" w:hAnsi="Arial" w:cs="Arial"/>
          <w:color w:val="2E74B5" w:themeColor="accent1" w:themeShade="BF"/>
          <w:sz w:val="24"/>
        </w:rPr>
        <w:t xml:space="preserve">Por otra parte, en cuanto al cuestionamiento referente a ¿cuál fue el motivo del término de relación laboral?, esta Comisión estima que al momento de emitir el presente fallo, no se cuenta con los elementos suficientes para estar en aptitud de determinar el </w:t>
      </w:r>
      <w:r w:rsidRPr="00010565">
        <w:rPr>
          <w:rFonts w:ascii="Arial" w:eastAsiaTheme="minorHAnsi" w:hAnsi="Arial" w:cs="Arial"/>
          <w:color w:val="2E74B5" w:themeColor="accent1" w:themeShade="BF"/>
          <w:sz w:val="24"/>
        </w:rPr>
        <w:t xml:space="preserve">análisis sobre la naturaleza pública, reservada o confidencial de la información que obre en las constancias las causales de la terminación laboral del funcionario aludido en su solicitud de información, por lo que con fundamento en los artículos 52 fracción I, 117, 118 y 119 de la ley de la materia el Ayuntamiento de San Luis Potosí, por actualizarse alguno de los supuestos de clasificación, el Comité de Transparencia deberá señalar las razones y motivos o circunstancias especiales que llevaron al Sujeto Obligado a concluir si es procedente o no, la actualización del supuesto previsto en la Ley de la materia y aplicar la prueba de daño bajo la justificación de que la información representa un riesgo real, demostrable e identificable de perjuicio significativo al interés público y que dicho </w:t>
      </w:r>
      <w:r w:rsidRPr="00010565">
        <w:rPr>
          <w:rFonts w:ascii="Arial" w:eastAsiaTheme="minorHAnsi" w:hAnsi="Arial" w:cs="Arial"/>
          <w:color w:val="2E74B5" w:themeColor="accent1" w:themeShade="BF"/>
          <w:sz w:val="24"/>
        </w:rPr>
        <w:lastRenderedPageBreak/>
        <w:t xml:space="preserve">riesgo de perjuicio que supondría la divulgación supera el interés público general de que se difunda, así como la limitación se adecua al principio de proporcionalidad y representa el medio menos restrictivo disponible para evitar el perjuicio. </w:t>
      </w:r>
    </w:p>
    <w:p w:rsidR="00010565" w:rsidRPr="00010565" w:rsidRDefault="00010565" w:rsidP="00010565">
      <w:pPr>
        <w:autoSpaceDE w:val="0"/>
        <w:autoSpaceDN w:val="0"/>
        <w:adjustRightInd w:val="0"/>
        <w:ind w:firstLine="708"/>
        <w:jc w:val="both"/>
        <w:rPr>
          <w:rFonts w:ascii="Arial" w:eastAsiaTheme="minorHAnsi" w:hAnsi="Arial" w:cs="Arial"/>
          <w:color w:val="2E74B5" w:themeColor="accent1" w:themeShade="BF"/>
          <w:sz w:val="24"/>
        </w:rPr>
      </w:pPr>
    </w:p>
    <w:p w:rsidR="00010565" w:rsidRPr="00010565" w:rsidRDefault="00F04FE3" w:rsidP="00010565">
      <w:pPr>
        <w:pStyle w:val="corte4fondo"/>
        <w:tabs>
          <w:tab w:val="left" w:pos="567"/>
        </w:tabs>
        <w:spacing w:line="276" w:lineRule="auto"/>
        <w:ind w:firstLine="0"/>
        <w:rPr>
          <w:rFonts w:cs="Arial"/>
          <w:color w:val="2E74B5" w:themeColor="accent1" w:themeShade="BF"/>
          <w:sz w:val="24"/>
          <w:szCs w:val="24"/>
        </w:rPr>
      </w:pPr>
      <w:r>
        <w:rPr>
          <w:rFonts w:cs="Arial"/>
          <w:b/>
          <w:color w:val="2E74B5" w:themeColor="accent1" w:themeShade="BF"/>
          <w:sz w:val="24"/>
          <w:szCs w:val="24"/>
        </w:rPr>
        <w:t>6</w:t>
      </w:r>
      <w:r w:rsidR="00010565" w:rsidRPr="00010565">
        <w:rPr>
          <w:rFonts w:cs="Arial"/>
          <w:b/>
          <w:color w:val="2E74B5" w:themeColor="accent1" w:themeShade="BF"/>
          <w:sz w:val="24"/>
          <w:szCs w:val="24"/>
        </w:rPr>
        <w:t>.3 Modalidad de entrega</w:t>
      </w:r>
      <w:r w:rsidR="00010565" w:rsidRPr="00010565">
        <w:rPr>
          <w:rFonts w:cs="Arial"/>
          <w:color w:val="2E74B5" w:themeColor="accent1" w:themeShade="BF"/>
          <w:sz w:val="24"/>
          <w:szCs w:val="24"/>
        </w:rPr>
        <w:t>.</w:t>
      </w:r>
    </w:p>
    <w:p w:rsidR="00010565" w:rsidRPr="00010565" w:rsidRDefault="00010565" w:rsidP="00010565">
      <w:pPr>
        <w:pStyle w:val="corte4fondo"/>
        <w:spacing w:line="276" w:lineRule="auto"/>
        <w:ind w:firstLine="0"/>
        <w:rPr>
          <w:rFonts w:cs="Arial"/>
          <w:color w:val="2E74B5" w:themeColor="accent1" w:themeShade="BF"/>
          <w:sz w:val="24"/>
          <w:szCs w:val="24"/>
        </w:rPr>
      </w:pPr>
    </w:p>
    <w:p w:rsidR="00010565" w:rsidRPr="00010565" w:rsidRDefault="00010565" w:rsidP="00010565">
      <w:pPr>
        <w:pStyle w:val="Prrafodelista"/>
        <w:ind w:left="0"/>
        <w:jc w:val="both"/>
        <w:rPr>
          <w:rFonts w:ascii="Arial" w:hAnsi="Arial" w:cs="Arial"/>
          <w:color w:val="2E74B5" w:themeColor="accent1" w:themeShade="BF"/>
          <w:sz w:val="24"/>
          <w:szCs w:val="24"/>
        </w:rPr>
      </w:pPr>
      <w:r w:rsidRPr="00010565">
        <w:rPr>
          <w:rFonts w:ascii="Arial" w:hAnsi="Arial" w:cs="Arial"/>
          <w:color w:val="2E74B5" w:themeColor="accent1" w:themeShade="BF"/>
          <w:sz w:val="24"/>
          <w:szCs w:val="24"/>
        </w:rPr>
        <w:tab/>
        <w:t>Sobre este tópico los artículos 17, 146, fracción V, primer párrafo y 155, de la Ley de Transparencia establecen que:</w:t>
      </w:r>
    </w:p>
    <w:p w:rsidR="00010565" w:rsidRPr="00010565" w:rsidRDefault="00010565" w:rsidP="00010565">
      <w:pPr>
        <w:pStyle w:val="Prrafodelista"/>
        <w:ind w:left="0"/>
        <w:jc w:val="both"/>
        <w:rPr>
          <w:rFonts w:ascii="Arial" w:hAnsi="Arial" w:cs="Arial"/>
          <w:color w:val="2E74B5" w:themeColor="accent1" w:themeShade="BF"/>
          <w:sz w:val="24"/>
          <w:szCs w:val="24"/>
        </w:rPr>
      </w:pPr>
    </w:p>
    <w:p w:rsidR="00010565" w:rsidRPr="00010565" w:rsidRDefault="00010565" w:rsidP="00010565">
      <w:pPr>
        <w:pStyle w:val="corte4fondo"/>
        <w:tabs>
          <w:tab w:val="left" w:pos="567"/>
        </w:tabs>
        <w:spacing w:line="276" w:lineRule="auto"/>
        <w:ind w:left="567" w:firstLine="0"/>
        <w:rPr>
          <w:rFonts w:cs="Arial"/>
          <w:i/>
          <w:color w:val="2E74B5" w:themeColor="accent1" w:themeShade="BF"/>
          <w:sz w:val="20"/>
          <w:szCs w:val="24"/>
        </w:rPr>
      </w:pPr>
      <w:r w:rsidRPr="00010565">
        <w:rPr>
          <w:rFonts w:cs="Arial"/>
          <w:b/>
          <w:bCs/>
          <w:i/>
          <w:color w:val="2E74B5" w:themeColor="accent1" w:themeShade="BF"/>
          <w:sz w:val="20"/>
          <w:szCs w:val="24"/>
        </w:rPr>
        <w:t xml:space="preserve">ARTÍCULO 17. </w:t>
      </w:r>
      <w:r w:rsidRPr="00010565">
        <w:rPr>
          <w:rFonts w:cs="Arial"/>
          <w:i/>
          <w:color w:val="2E74B5" w:themeColor="accent1" w:themeShade="BF"/>
          <w:sz w:val="20"/>
          <w:szCs w:val="24"/>
        </w:rPr>
        <w:t xml:space="preserve">El ejercicio del derecho de acceso a la información es gratuito y sólo podrá requerirse el cobro correspondiente a la modalidad de reproducción y entrega solicitada. </w:t>
      </w:r>
    </w:p>
    <w:p w:rsidR="00010565" w:rsidRPr="00010565" w:rsidRDefault="00010565" w:rsidP="00010565">
      <w:pPr>
        <w:pStyle w:val="corte4fondo"/>
        <w:tabs>
          <w:tab w:val="left" w:pos="567"/>
        </w:tabs>
        <w:spacing w:line="276" w:lineRule="auto"/>
        <w:ind w:left="567" w:firstLine="0"/>
        <w:rPr>
          <w:rFonts w:cs="Arial"/>
          <w:i/>
          <w:color w:val="2E74B5" w:themeColor="accent1" w:themeShade="BF"/>
          <w:sz w:val="20"/>
          <w:szCs w:val="24"/>
        </w:rPr>
      </w:pPr>
      <w:r w:rsidRPr="00010565">
        <w:rPr>
          <w:rFonts w:cs="Arial"/>
          <w:i/>
          <w:color w:val="2E74B5" w:themeColor="accent1" w:themeShade="BF"/>
          <w:sz w:val="20"/>
          <w:szCs w:val="24"/>
        </w:rPr>
        <w:t>En ningún caso los ajustes razonables que se realicen para el acceso de la información de solicitantes con discapacidad, será con costo a los mismos.</w:t>
      </w:r>
    </w:p>
    <w:p w:rsidR="00010565" w:rsidRPr="00010565" w:rsidRDefault="00010565" w:rsidP="00010565">
      <w:pPr>
        <w:pStyle w:val="corte4fondo"/>
        <w:tabs>
          <w:tab w:val="left" w:pos="567"/>
        </w:tabs>
        <w:spacing w:line="276" w:lineRule="auto"/>
        <w:ind w:left="567" w:firstLine="0"/>
        <w:rPr>
          <w:rFonts w:cs="Arial"/>
          <w:i/>
          <w:color w:val="2E74B5" w:themeColor="accent1" w:themeShade="BF"/>
          <w:sz w:val="20"/>
          <w:szCs w:val="24"/>
        </w:rPr>
      </w:pPr>
    </w:p>
    <w:p w:rsidR="00010565" w:rsidRPr="00010565" w:rsidRDefault="00010565" w:rsidP="00010565">
      <w:pPr>
        <w:pStyle w:val="corte4fondo"/>
        <w:tabs>
          <w:tab w:val="left" w:pos="567"/>
        </w:tabs>
        <w:spacing w:line="276" w:lineRule="auto"/>
        <w:ind w:left="567" w:firstLine="0"/>
        <w:rPr>
          <w:rFonts w:cs="Arial"/>
          <w:i/>
          <w:color w:val="2E74B5" w:themeColor="accent1" w:themeShade="BF"/>
          <w:sz w:val="20"/>
          <w:szCs w:val="24"/>
        </w:rPr>
      </w:pPr>
      <w:r w:rsidRPr="00010565">
        <w:rPr>
          <w:rFonts w:cs="Arial"/>
          <w:b/>
          <w:bCs/>
          <w:i/>
          <w:color w:val="2E74B5" w:themeColor="accent1" w:themeShade="BF"/>
          <w:sz w:val="20"/>
          <w:szCs w:val="24"/>
        </w:rPr>
        <w:t xml:space="preserve">ARTÍCULO 146. </w:t>
      </w:r>
      <w:r w:rsidRPr="00010565">
        <w:rPr>
          <w:rFonts w:cs="Arial"/>
          <w:i/>
          <w:color w:val="2E74B5" w:themeColor="accent1" w:themeShade="BF"/>
          <w:sz w:val="20"/>
          <w:szCs w:val="24"/>
        </w:rPr>
        <w:t xml:space="preserve">Para presentar una solicitud no se podrán exigir mayores requisitos que los siguientes: </w:t>
      </w:r>
    </w:p>
    <w:p w:rsidR="00010565" w:rsidRPr="00010565" w:rsidRDefault="00010565" w:rsidP="00010565">
      <w:pPr>
        <w:pStyle w:val="corte4fondo"/>
        <w:tabs>
          <w:tab w:val="left" w:pos="567"/>
        </w:tabs>
        <w:spacing w:line="276" w:lineRule="auto"/>
        <w:ind w:left="567" w:firstLine="0"/>
        <w:rPr>
          <w:rFonts w:cs="Arial"/>
          <w:i/>
          <w:color w:val="2E74B5" w:themeColor="accent1" w:themeShade="BF"/>
          <w:sz w:val="20"/>
          <w:szCs w:val="24"/>
        </w:rPr>
      </w:pPr>
      <w:r w:rsidRPr="00010565">
        <w:rPr>
          <w:rFonts w:cs="Arial"/>
          <w:bCs/>
          <w:i/>
          <w:color w:val="2E74B5" w:themeColor="accent1" w:themeShade="BF"/>
          <w:sz w:val="20"/>
          <w:szCs w:val="24"/>
        </w:rPr>
        <w:t>[…]</w:t>
      </w:r>
    </w:p>
    <w:p w:rsidR="00010565" w:rsidRPr="00010565" w:rsidRDefault="00010565" w:rsidP="00010565">
      <w:pPr>
        <w:pStyle w:val="corte4fondo"/>
        <w:tabs>
          <w:tab w:val="left" w:pos="567"/>
        </w:tabs>
        <w:spacing w:line="276" w:lineRule="auto"/>
        <w:ind w:left="567" w:firstLine="0"/>
        <w:rPr>
          <w:rFonts w:cs="Arial"/>
          <w:i/>
          <w:color w:val="2E74B5" w:themeColor="accent1" w:themeShade="BF"/>
          <w:sz w:val="20"/>
          <w:szCs w:val="24"/>
        </w:rPr>
      </w:pPr>
      <w:r w:rsidRPr="00010565">
        <w:rPr>
          <w:rFonts w:cs="Arial"/>
          <w:b/>
          <w:bCs/>
          <w:i/>
          <w:color w:val="2E74B5" w:themeColor="accent1" w:themeShade="BF"/>
          <w:sz w:val="20"/>
          <w:szCs w:val="24"/>
        </w:rPr>
        <w:t xml:space="preserve">V. </w:t>
      </w:r>
      <w:r w:rsidRPr="00010565">
        <w:rPr>
          <w:rFonts w:cs="Arial"/>
          <w:i/>
          <w:color w:val="2E74B5" w:themeColor="accent1" w:themeShade="BF"/>
          <w:sz w:val="20"/>
          <w:szCs w:val="24"/>
        </w:rPr>
        <w:t>La modalidad en la que prefiere se otorgue el acceso a la información, la cual podrá ser verbal, siempre y cuando sea para fines de orientación, mediante consulta directa, mediante la expedición de copias simples o certificadas o la reproducción en cualquier otro medio, incluidos los electrónicos…</w:t>
      </w:r>
    </w:p>
    <w:p w:rsidR="00010565" w:rsidRPr="00010565" w:rsidRDefault="00010565" w:rsidP="00010565">
      <w:pPr>
        <w:pStyle w:val="corte4fondo"/>
        <w:tabs>
          <w:tab w:val="left" w:pos="567"/>
        </w:tabs>
        <w:spacing w:line="276" w:lineRule="auto"/>
        <w:ind w:left="567" w:firstLine="0"/>
        <w:jc w:val="center"/>
        <w:rPr>
          <w:rFonts w:cs="Arial"/>
          <w:i/>
          <w:color w:val="2E74B5" w:themeColor="accent1" w:themeShade="BF"/>
          <w:sz w:val="24"/>
          <w:szCs w:val="24"/>
        </w:rPr>
      </w:pPr>
    </w:p>
    <w:p w:rsidR="00010565" w:rsidRPr="00010565" w:rsidRDefault="00010565" w:rsidP="00010565">
      <w:pPr>
        <w:pStyle w:val="corte4fondo"/>
        <w:tabs>
          <w:tab w:val="left" w:pos="567"/>
        </w:tabs>
        <w:spacing w:line="276" w:lineRule="auto"/>
        <w:ind w:left="567" w:firstLine="0"/>
        <w:rPr>
          <w:rFonts w:cs="Arial"/>
          <w:i/>
          <w:color w:val="2E74B5" w:themeColor="accent1" w:themeShade="BF"/>
          <w:sz w:val="20"/>
          <w:szCs w:val="24"/>
        </w:rPr>
      </w:pPr>
      <w:r w:rsidRPr="00010565">
        <w:rPr>
          <w:rFonts w:cs="Arial"/>
          <w:b/>
          <w:i/>
          <w:color w:val="2E74B5" w:themeColor="accent1" w:themeShade="BF"/>
          <w:sz w:val="20"/>
          <w:szCs w:val="24"/>
        </w:rPr>
        <w:t>ARTÍCULO 155.</w:t>
      </w:r>
      <w:r w:rsidRPr="00010565">
        <w:rPr>
          <w:rFonts w:cs="Arial"/>
          <w:i/>
          <w:color w:val="2E74B5" w:themeColor="accent1" w:themeShade="BF"/>
          <w:sz w:val="20"/>
          <w:szCs w:val="24"/>
        </w:rPr>
        <w:t xml:space="preserve"> El acceso se dará en la modalidad de entrega y, en su caso, de envío elegidos por el solicitante. Cuando la información no pueda entregarse o enviarse en la modalidad elegida, el sujeto obligado deberá ofrecer otra u otras modalidades de entrega.</w:t>
      </w:r>
    </w:p>
    <w:p w:rsidR="00010565" w:rsidRPr="00010565" w:rsidRDefault="00010565" w:rsidP="00010565">
      <w:pPr>
        <w:pStyle w:val="corte4fondo"/>
        <w:tabs>
          <w:tab w:val="left" w:pos="567"/>
        </w:tabs>
        <w:spacing w:line="276" w:lineRule="auto"/>
        <w:ind w:left="567" w:firstLine="0"/>
        <w:rPr>
          <w:rFonts w:cs="Arial"/>
          <w:i/>
          <w:color w:val="2E74B5" w:themeColor="accent1" w:themeShade="BF"/>
          <w:sz w:val="20"/>
          <w:szCs w:val="24"/>
        </w:rPr>
      </w:pPr>
      <w:r w:rsidRPr="00010565">
        <w:rPr>
          <w:rFonts w:cs="Arial"/>
          <w:i/>
          <w:color w:val="2E74B5" w:themeColor="accent1" w:themeShade="BF"/>
          <w:sz w:val="20"/>
          <w:szCs w:val="24"/>
        </w:rPr>
        <w:t>En cualquier caso, se deberá fundar y motivar la necesidad de ofrecer otras modalidades.</w:t>
      </w:r>
    </w:p>
    <w:p w:rsidR="00010565" w:rsidRPr="00010565" w:rsidRDefault="00010565" w:rsidP="00010565">
      <w:pPr>
        <w:pStyle w:val="corte4fondo"/>
        <w:tabs>
          <w:tab w:val="left" w:pos="567"/>
        </w:tabs>
        <w:spacing w:line="276" w:lineRule="auto"/>
        <w:ind w:left="567" w:firstLine="0"/>
        <w:rPr>
          <w:rFonts w:cs="Arial"/>
          <w:i/>
          <w:color w:val="2E74B5" w:themeColor="accent1" w:themeShade="BF"/>
          <w:sz w:val="24"/>
          <w:szCs w:val="24"/>
        </w:rPr>
      </w:pPr>
    </w:p>
    <w:p w:rsidR="00010565" w:rsidRPr="00010565" w:rsidRDefault="00010565" w:rsidP="00010565">
      <w:pPr>
        <w:pStyle w:val="corte4fondo"/>
        <w:spacing w:line="276" w:lineRule="auto"/>
        <w:ind w:firstLine="0"/>
        <w:rPr>
          <w:rFonts w:cs="Arial"/>
          <w:color w:val="2E74B5" w:themeColor="accent1" w:themeShade="BF"/>
          <w:sz w:val="24"/>
          <w:szCs w:val="24"/>
        </w:rPr>
      </w:pPr>
      <w:r w:rsidRPr="00010565">
        <w:rPr>
          <w:rFonts w:cs="Arial"/>
          <w:color w:val="2E74B5" w:themeColor="accent1" w:themeShade="BF"/>
          <w:sz w:val="24"/>
          <w:szCs w:val="24"/>
        </w:rPr>
        <w:tab/>
        <w:t>Por eso, el acceso se dará en la modalidad de entrega elegido por el solicitante y que cuando la información no pueda entregarse o enviarse en la modalidad elegida, el sujeto obligado deberá ofrecer otra u otras modalidades de entrega ya que, de no ser así, en cualquier caso, se deberá fundar y motivar la necesidad de ofrecer otras modalidades.</w:t>
      </w:r>
    </w:p>
    <w:p w:rsidR="00010565" w:rsidRPr="00010565" w:rsidRDefault="00010565" w:rsidP="00010565">
      <w:pPr>
        <w:pStyle w:val="corte4fondo"/>
        <w:spacing w:line="276" w:lineRule="auto"/>
        <w:ind w:firstLine="0"/>
        <w:rPr>
          <w:rFonts w:cs="Arial"/>
          <w:color w:val="2E74B5" w:themeColor="accent1" w:themeShade="BF"/>
          <w:sz w:val="24"/>
          <w:szCs w:val="24"/>
        </w:rPr>
      </w:pPr>
    </w:p>
    <w:p w:rsidR="00010565" w:rsidRPr="00010565" w:rsidRDefault="00010565" w:rsidP="00010565">
      <w:pPr>
        <w:pStyle w:val="corte4fondo"/>
        <w:spacing w:line="276" w:lineRule="auto"/>
        <w:ind w:firstLine="0"/>
        <w:rPr>
          <w:rFonts w:cs="Arial"/>
          <w:color w:val="2E74B5" w:themeColor="accent1" w:themeShade="BF"/>
          <w:sz w:val="24"/>
          <w:szCs w:val="24"/>
        </w:rPr>
      </w:pPr>
      <w:r w:rsidRPr="00010565">
        <w:rPr>
          <w:rFonts w:cs="Arial"/>
          <w:color w:val="2E74B5" w:themeColor="accent1" w:themeShade="BF"/>
          <w:sz w:val="24"/>
          <w:szCs w:val="24"/>
        </w:rPr>
        <w:tab/>
        <w:t>Y que, por lo tanto, el ejercicio del derecho de acceso a la información es gratuito y sólo podrá requerirse el cobro correspondiente a la modalidad de reproducción y entrega solicitada.</w:t>
      </w:r>
    </w:p>
    <w:p w:rsidR="00010565" w:rsidRPr="00010565" w:rsidRDefault="00010565" w:rsidP="00010565">
      <w:pPr>
        <w:pStyle w:val="corte4fondo"/>
        <w:spacing w:line="276" w:lineRule="auto"/>
        <w:ind w:firstLine="0"/>
        <w:rPr>
          <w:rFonts w:cs="Arial"/>
          <w:color w:val="2E74B5" w:themeColor="accent1" w:themeShade="BF"/>
          <w:sz w:val="24"/>
          <w:szCs w:val="24"/>
        </w:rPr>
      </w:pPr>
      <w:r w:rsidRPr="00010565">
        <w:rPr>
          <w:rFonts w:cs="Arial"/>
          <w:color w:val="2E74B5" w:themeColor="accent1" w:themeShade="BF"/>
          <w:sz w:val="24"/>
          <w:szCs w:val="24"/>
        </w:rPr>
        <w:t xml:space="preserve"> </w:t>
      </w:r>
    </w:p>
    <w:p w:rsidR="00010565" w:rsidRPr="00010565" w:rsidRDefault="00010565" w:rsidP="00010565">
      <w:pPr>
        <w:pStyle w:val="corte4fondo"/>
        <w:tabs>
          <w:tab w:val="left" w:pos="0"/>
        </w:tabs>
        <w:spacing w:line="276" w:lineRule="auto"/>
        <w:ind w:firstLine="0"/>
        <w:rPr>
          <w:rFonts w:cs="Arial"/>
          <w:color w:val="2E74B5" w:themeColor="accent1" w:themeShade="BF"/>
          <w:sz w:val="24"/>
          <w:szCs w:val="24"/>
        </w:rPr>
      </w:pPr>
      <w:r w:rsidRPr="00010565">
        <w:rPr>
          <w:rFonts w:cs="Arial"/>
          <w:color w:val="2E74B5" w:themeColor="accent1" w:themeShade="BF"/>
          <w:sz w:val="24"/>
          <w:szCs w:val="24"/>
        </w:rPr>
        <w:tab/>
        <w:t xml:space="preserve">De ahí que para presentar una solicitud no se podrán exigir mayores requisitos, entre lo que se encuentra el de la modalidad en la que prefiere se otorgue el acceso a la información, por ello, </w:t>
      </w:r>
      <w:r w:rsidRPr="00010565">
        <w:rPr>
          <w:rFonts w:cs="Arial"/>
          <w:color w:val="2E74B5" w:themeColor="accent1" w:themeShade="BF"/>
          <w:sz w:val="24"/>
          <w:szCs w:val="24"/>
          <w:u w:val="single"/>
        </w:rPr>
        <w:t xml:space="preserve">la regla es que el acceso se dará en la modalidad de solicitada </w:t>
      </w:r>
      <w:r w:rsidRPr="00010565">
        <w:rPr>
          <w:rFonts w:cs="Arial"/>
          <w:color w:val="2E74B5" w:themeColor="accent1" w:themeShade="BF"/>
          <w:sz w:val="24"/>
          <w:szCs w:val="24"/>
        </w:rPr>
        <w:t xml:space="preserve">y, en su caso, de envío elegidos por el solicitante y, la excepción es cuando la información no pueda entregarse o enviarse en la modalidad elegida, el sujeto obligado deberá ofrecer otra u otras modalidades de entrega. </w:t>
      </w:r>
    </w:p>
    <w:p w:rsidR="00010565" w:rsidRPr="00010565" w:rsidRDefault="00010565" w:rsidP="00010565">
      <w:pPr>
        <w:pStyle w:val="corte4fondo"/>
        <w:tabs>
          <w:tab w:val="left" w:pos="0"/>
        </w:tabs>
        <w:spacing w:line="276" w:lineRule="auto"/>
        <w:ind w:firstLine="0"/>
        <w:rPr>
          <w:rFonts w:cs="Arial"/>
          <w:color w:val="2E74B5" w:themeColor="accent1" w:themeShade="BF"/>
          <w:sz w:val="24"/>
          <w:szCs w:val="24"/>
        </w:rPr>
      </w:pPr>
    </w:p>
    <w:p w:rsidR="00010565" w:rsidRPr="00010565" w:rsidRDefault="00010565" w:rsidP="00010565">
      <w:pPr>
        <w:pStyle w:val="corte4fondo"/>
        <w:tabs>
          <w:tab w:val="left" w:pos="0"/>
        </w:tabs>
        <w:spacing w:line="276" w:lineRule="auto"/>
        <w:ind w:firstLine="0"/>
        <w:rPr>
          <w:rFonts w:cs="Arial"/>
          <w:color w:val="2E74B5" w:themeColor="accent1" w:themeShade="BF"/>
          <w:sz w:val="24"/>
          <w:szCs w:val="24"/>
        </w:rPr>
      </w:pPr>
      <w:r w:rsidRPr="00010565">
        <w:rPr>
          <w:rFonts w:cs="Arial"/>
          <w:color w:val="2E74B5" w:themeColor="accent1" w:themeShade="BF"/>
          <w:sz w:val="24"/>
          <w:szCs w:val="24"/>
        </w:rPr>
        <w:tab/>
        <w:t xml:space="preserve">En el caso, la solicitud de información fue realizada por el solicitante a través de la Plataforma Nacional de Transparencia y, si éste presentó la solicitud </w:t>
      </w:r>
      <w:r w:rsidRPr="00010565">
        <w:rPr>
          <w:rFonts w:cs="Arial"/>
          <w:color w:val="2E74B5" w:themeColor="accent1" w:themeShade="BF"/>
          <w:sz w:val="24"/>
          <w:szCs w:val="24"/>
        </w:rPr>
        <w:lastRenderedPageBreak/>
        <w:t>de información por medios electrónicos, entonces, se está en el supuesto de que la autoridad debe entregar la información peticionada por ese mismo medio.</w:t>
      </w:r>
    </w:p>
    <w:p w:rsidR="00010565" w:rsidRPr="00010565" w:rsidRDefault="00010565" w:rsidP="00010565">
      <w:pPr>
        <w:pStyle w:val="corte4fondo"/>
        <w:tabs>
          <w:tab w:val="left" w:pos="0"/>
        </w:tabs>
        <w:spacing w:line="276" w:lineRule="auto"/>
        <w:ind w:firstLine="0"/>
        <w:rPr>
          <w:rFonts w:cs="Arial"/>
          <w:color w:val="2E74B5" w:themeColor="accent1" w:themeShade="BF"/>
          <w:sz w:val="24"/>
          <w:szCs w:val="24"/>
        </w:rPr>
      </w:pPr>
    </w:p>
    <w:p w:rsidR="00010565" w:rsidRPr="00010565" w:rsidRDefault="00010565" w:rsidP="00010565">
      <w:pPr>
        <w:jc w:val="both"/>
        <w:rPr>
          <w:rFonts w:ascii="Arial" w:hAnsi="Arial" w:cs="Arial"/>
          <w:color w:val="2E74B5" w:themeColor="accent1" w:themeShade="BF"/>
          <w:sz w:val="24"/>
          <w:szCs w:val="24"/>
        </w:rPr>
      </w:pPr>
      <w:r w:rsidRPr="00010565">
        <w:rPr>
          <w:rFonts w:ascii="Arial" w:hAnsi="Arial" w:cs="Arial"/>
          <w:color w:val="2E74B5" w:themeColor="accent1" w:themeShade="BF"/>
          <w:sz w:val="24"/>
          <w:szCs w:val="24"/>
        </w:rPr>
        <w:tab/>
        <w:t>Lo anterior, incluso encuentra sustento en el criterio 03/2008 emitido por el Comité de Acceso a la Información Pública y Protección de Datos Personales de la Suprema Corte de Justicia de la Nación, publicado en la Compilación de Normas y Criterios en Materia de Transparencia, Acceso a la Información Pública y Protección de Datos Personales de la Suprema Corte de Justicia de la Nación, Novena Edición, página 919, México 2013 cuyo rubro y texto es:</w:t>
      </w:r>
    </w:p>
    <w:p w:rsidR="00010565" w:rsidRPr="00010565" w:rsidRDefault="00010565" w:rsidP="00010565">
      <w:pPr>
        <w:jc w:val="both"/>
        <w:rPr>
          <w:rFonts w:ascii="Arial" w:hAnsi="Arial" w:cs="Arial"/>
          <w:color w:val="2E74B5" w:themeColor="accent1" w:themeShade="BF"/>
          <w:sz w:val="24"/>
          <w:szCs w:val="24"/>
        </w:rPr>
      </w:pPr>
    </w:p>
    <w:p w:rsidR="00010565" w:rsidRPr="00010565" w:rsidRDefault="00010565" w:rsidP="00010565">
      <w:pPr>
        <w:autoSpaceDE w:val="0"/>
        <w:autoSpaceDN w:val="0"/>
        <w:adjustRightInd w:val="0"/>
        <w:ind w:left="708"/>
        <w:jc w:val="both"/>
        <w:rPr>
          <w:rFonts w:ascii="Arial" w:hAnsi="Arial" w:cs="Arial"/>
          <w:color w:val="2E74B5" w:themeColor="accent1" w:themeShade="BF"/>
          <w:sz w:val="20"/>
          <w:szCs w:val="24"/>
          <w:lang w:eastAsia="es-MX"/>
        </w:rPr>
      </w:pPr>
      <w:r w:rsidRPr="00010565">
        <w:rPr>
          <w:rFonts w:ascii="Arial" w:hAnsi="Arial" w:cs="Arial"/>
          <w:b/>
          <w:bCs/>
          <w:color w:val="2E74B5" w:themeColor="accent1" w:themeShade="BF"/>
          <w:sz w:val="20"/>
          <w:szCs w:val="24"/>
          <w:lang w:eastAsia="es-MX"/>
        </w:rPr>
        <w:t xml:space="preserve">“MODALIDAD ELECTRÓNICA DE ACCESO A LA INFORMACIÓN. SI SE RECIBE UNA SOLICITUD POR MEDIOS ELECTRÓNICOS SIN PRECISAR LA MODALIDAD DE PREFERENCIA DEBE PRESUMIRSE QUE SE REQUIRIÓ EL ACCESO POR ESA MISMA VÍA. </w:t>
      </w:r>
      <w:r w:rsidRPr="00010565">
        <w:rPr>
          <w:rFonts w:ascii="Arial" w:hAnsi="Arial" w:cs="Arial"/>
          <w:color w:val="2E74B5" w:themeColor="accent1" w:themeShade="BF"/>
          <w:sz w:val="20"/>
          <w:szCs w:val="24"/>
          <w:lang w:eastAsia="es-MX"/>
        </w:rPr>
        <w:t>El ejercicio del derecho</w:t>
      </w:r>
      <w:r w:rsidRPr="00010565">
        <w:rPr>
          <w:rFonts w:ascii="Arial" w:hAnsi="Arial" w:cs="Arial"/>
          <w:b/>
          <w:bCs/>
          <w:color w:val="2E74B5" w:themeColor="accent1" w:themeShade="BF"/>
          <w:sz w:val="20"/>
          <w:szCs w:val="24"/>
          <w:lang w:eastAsia="es-MX"/>
        </w:rPr>
        <w:t xml:space="preserve"> </w:t>
      </w:r>
      <w:r w:rsidRPr="00010565">
        <w:rPr>
          <w:rFonts w:ascii="Arial" w:hAnsi="Arial" w:cs="Arial"/>
          <w:color w:val="2E74B5" w:themeColor="accent1" w:themeShade="BF"/>
          <w:sz w:val="20"/>
          <w:szCs w:val="24"/>
          <w:lang w:eastAsia="es-MX"/>
        </w:rPr>
        <w:t>de acceso a la información gubernamental no se entiende</w:t>
      </w:r>
      <w:r w:rsidRPr="00010565">
        <w:rPr>
          <w:rFonts w:ascii="Arial" w:hAnsi="Arial" w:cs="Arial"/>
          <w:b/>
          <w:bCs/>
          <w:color w:val="2E74B5" w:themeColor="accent1" w:themeShade="BF"/>
          <w:sz w:val="20"/>
          <w:szCs w:val="24"/>
          <w:lang w:eastAsia="es-MX"/>
        </w:rPr>
        <w:t xml:space="preserve"> </w:t>
      </w:r>
      <w:r w:rsidRPr="00010565">
        <w:rPr>
          <w:rFonts w:ascii="Arial" w:hAnsi="Arial" w:cs="Arial"/>
          <w:color w:val="2E74B5" w:themeColor="accent1" w:themeShade="BF"/>
          <w:sz w:val="20"/>
          <w:szCs w:val="24"/>
          <w:lang w:eastAsia="es-MX"/>
        </w:rPr>
        <w:t>de forma abstracta y desvinculada a la forma en que los</w:t>
      </w:r>
      <w:r w:rsidRPr="00010565">
        <w:rPr>
          <w:rFonts w:ascii="Arial" w:hAnsi="Arial" w:cs="Arial"/>
          <w:b/>
          <w:bCs/>
          <w:color w:val="2E74B5" w:themeColor="accent1" w:themeShade="BF"/>
          <w:sz w:val="20"/>
          <w:szCs w:val="24"/>
          <w:lang w:eastAsia="es-MX"/>
        </w:rPr>
        <w:t xml:space="preserve"> </w:t>
      </w:r>
      <w:r w:rsidRPr="00010565">
        <w:rPr>
          <w:rFonts w:ascii="Arial" w:hAnsi="Arial" w:cs="Arial"/>
          <w:color w:val="2E74B5" w:themeColor="accent1" w:themeShade="BF"/>
          <w:sz w:val="20"/>
          <w:szCs w:val="24"/>
          <w:lang w:eastAsia="es-MX"/>
        </w:rPr>
        <w:t>gobernados pueden allegarse de aquélla; destacándose que</w:t>
      </w:r>
      <w:r w:rsidRPr="00010565">
        <w:rPr>
          <w:rFonts w:ascii="Arial" w:hAnsi="Arial" w:cs="Arial"/>
          <w:b/>
          <w:bCs/>
          <w:color w:val="2E74B5" w:themeColor="accent1" w:themeShade="BF"/>
          <w:sz w:val="20"/>
          <w:szCs w:val="24"/>
          <w:lang w:eastAsia="es-MX"/>
        </w:rPr>
        <w:t xml:space="preserve"> </w:t>
      </w:r>
      <w:r w:rsidRPr="00010565">
        <w:rPr>
          <w:rFonts w:ascii="Arial" w:hAnsi="Arial" w:cs="Arial"/>
          <w:color w:val="2E74B5" w:themeColor="accent1" w:themeShade="BF"/>
          <w:sz w:val="20"/>
          <w:szCs w:val="24"/>
          <w:lang w:eastAsia="es-MX"/>
        </w:rPr>
        <w:t>la modalidad de entrega de la información resulta de especial</w:t>
      </w:r>
      <w:r w:rsidRPr="00010565">
        <w:rPr>
          <w:rFonts w:ascii="Arial" w:hAnsi="Arial" w:cs="Arial"/>
          <w:b/>
          <w:bCs/>
          <w:color w:val="2E74B5" w:themeColor="accent1" w:themeShade="BF"/>
          <w:sz w:val="20"/>
          <w:szCs w:val="24"/>
          <w:lang w:eastAsia="es-MX"/>
        </w:rPr>
        <w:t xml:space="preserve"> </w:t>
      </w:r>
      <w:r w:rsidRPr="00010565">
        <w:rPr>
          <w:rFonts w:ascii="Arial" w:hAnsi="Arial" w:cs="Arial"/>
          <w:color w:val="2E74B5" w:themeColor="accent1" w:themeShade="BF"/>
          <w:sz w:val="20"/>
          <w:szCs w:val="24"/>
          <w:lang w:eastAsia="es-MX"/>
        </w:rPr>
        <w:t>interés para hacer efectivo este derecho. En este sentido,</w:t>
      </w:r>
      <w:r w:rsidRPr="00010565">
        <w:rPr>
          <w:rFonts w:ascii="Arial" w:hAnsi="Arial" w:cs="Arial"/>
          <w:b/>
          <w:bCs/>
          <w:color w:val="2E74B5" w:themeColor="accent1" w:themeShade="BF"/>
          <w:sz w:val="20"/>
          <w:szCs w:val="24"/>
          <w:lang w:eastAsia="es-MX"/>
        </w:rPr>
        <w:t xml:space="preserve"> </w:t>
      </w:r>
      <w:r w:rsidRPr="00010565">
        <w:rPr>
          <w:rFonts w:ascii="Arial" w:hAnsi="Arial" w:cs="Arial"/>
          <w:color w:val="2E74B5" w:themeColor="accent1" w:themeShade="BF"/>
          <w:sz w:val="20"/>
          <w:szCs w:val="24"/>
          <w:lang w:eastAsia="es-MX"/>
        </w:rPr>
        <w:t>la Comisión para la Transparencia y Acceso a la Información</w:t>
      </w:r>
      <w:r w:rsidRPr="00010565">
        <w:rPr>
          <w:rFonts w:ascii="Arial" w:hAnsi="Arial" w:cs="Arial"/>
          <w:b/>
          <w:bCs/>
          <w:color w:val="2E74B5" w:themeColor="accent1" w:themeShade="BF"/>
          <w:sz w:val="20"/>
          <w:szCs w:val="24"/>
          <w:lang w:eastAsia="es-MX"/>
        </w:rPr>
        <w:t xml:space="preserve"> </w:t>
      </w:r>
      <w:r w:rsidRPr="00010565">
        <w:rPr>
          <w:rFonts w:ascii="Arial" w:hAnsi="Arial" w:cs="Arial"/>
          <w:color w:val="2E74B5" w:themeColor="accent1" w:themeShade="BF"/>
          <w:sz w:val="20"/>
          <w:szCs w:val="24"/>
          <w:lang w:eastAsia="es-MX"/>
        </w:rPr>
        <w:t>de la Suprema Corte de Justicia de la Nación (recurso de</w:t>
      </w:r>
      <w:r w:rsidRPr="00010565">
        <w:rPr>
          <w:rFonts w:ascii="Arial" w:hAnsi="Arial" w:cs="Arial"/>
          <w:b/>
          <w:bCs/>
          <w:color w:val="2E74B5" w:themeColor="accent1" w:themeShade="BF"/>
          <w:sz w:val="20"/>
          <w:szCs w:val="24"/>
          <w:lang w:eastAsia="es-MX"/>
        </w:rPr>
        <w:t xml:space="preserve"> </w:t>
      </w:r>
      <w:r w:rsidRPr="00010565">
        <w:rPr>
          <w:rFonts w:ascii="Arial" w:hAnsi="Arial" w:cs="Arial"/>
          <w:color w:val="2E74B5" w:themeColor="accent1" w:themeShade="BF"/>
          <w:sz w:val="20"/>
          <w:szCs w:val="24"/>
          <w:lang w:eastAsia="es-MX"/>
        </w:rPr>
        <w:t>revisión 1/2005) determinó que el acceso a la información</w:t>
      </w:r>
      <w:r w:rsidRPr="00010565">
        <w:rPr>
          <w:rFonts w:ascii="Arial" w:hAnsi="Arial" w:cs="Arial"/>
          <w:b/>
          <w:bCs/>
          <w:color w:val="2E74B5" w:themeColor="accent1" w:themeShade="BF"/>
          <w:sz w:val="20"/>
          <w:szCs w:val="24"/>
          <w:lang w:eastAsia="es-MX"/>
        </w:rPr>
        <w:t xml:space="preserve"> </w:t>
      </w:r>
      <w:r w:rsidRPr="00010565">
        <w:rPr>
          <w:rFonts w:ascii="Arial" w:hAnsi="Arial" w:cs="Arial"/>
          <w:color w:val="2E74B5" w:themeColor="accent1" w:themeShade="BF"/>
          <w:sz w:val="20"/>
          <w:szCs w:val="24"/>
          <w:lang w:eastAsia="es-MX"/>
        </w:rPr>
        <w:t>no se cumple de forma íntegra cuando se entrega la información al peticionario en una modalidad diversa a la solicitada,</w:t>
      </w:r>
      <w:r w:rsidRPr="00010565">
        <w:rPr>
          <w:rFonts w:ascii="Arial" w:hAnsi="Arial" w:cs="Arial"/>
          <w:b/>
          <w:bCs/>
          <w:color w:val="2E74B5" w:themeColor="accent1" w:themeShade="BF"/>
          <w:sz w:val="20"/>
          <w:szCs w:val="24"/>
          <w:lang w:eastAsia="es-MX"/>
        </w:rPr>
        <w:t xml:space="preserve"> </w:t>
      </w:r>
      <w:r w:rsidRPr="00010565">
        <w:rPr>
          <w:rFonts w:ascii="Arial" w:hAnsi="Arial" w:cs="Arial"/>
          <w:color w:val="2E74B5" w:themeColor="accent1" w:themeShade="BF"/>
          <w:sz w:val="20"/>
          <w:szCs w:val="24"/>
          <w:lang w:eastAsia="es-MX"/>
        </w:rPr>
        <w:t>cuando esta fue la remisión por medios electrónicos,</w:t>
      </w:r>
      <w:r w:rsidRPr="00010565">
        <w:rPr>
          <w:rFonts w:ascii="Arial" w:hAnsi="Arial" w:cs="Arial"/>
          <w:b/>
          <w:bCs/>
          <w:color w:val="2E74B5" w:themeColor="accent1" w:themeShade="BF"/>
          <w:sz w:val="20"/>
          <w:szCs w:val="24"/>
          <w:lang w:eastAsia="es-MX"/>
        </w:rPr>
        <w:t xml:space="preserve"> </w:t>
      </w:r>
      <w:r w:rsidRPr="00010565">
        <w:rPr>
          <w:rFonts w:ascii="Arial" w:hAnsi="Arial" w:cs="Arial"/>
          <w:color w:val="2E74B5" w:themeColor="accent1" w:themeShade="BF"/>
          <w:sz w:val="20"/>
          <w:szCs w:val="24"/>
          <w:lang w:eastAsia="es-MX"/>
        </w:rPr>
        <w:t>toda vez que el otorgamiento en una diversa puede constituir</w:t>
      </w:r>
      <w:r w:rsidRPr="00010565">
        <w:rPr>
          <w:rFonts w:ascii="Arial" w:hAnsi="Arial" w:cs="Arial"/>
          <w:b/>
          <w:bCs/>
          <w:color w:val="2E74B5" w:themeColor="accent1" w:themeShade="BF"/>
          <w:sz w:val="20"/>
          <w:szCs w:val="24"/>
          <w:lang w:eastAsia="es-MX"/>
        </w:rPr>
        <w:t xml:space="preserve"> </w:t>
      </w:r>
      <w:r w:rsidRPr="00010565">
        <w:rPr>
          <w:rFonts w:ascii="Arial" w:hAnsi="Arial" w:cs="Arial"/>
          <w:color w:val="2E74B5" w:themeColor="accent1" w:themeShade="BF"/>
          <w:sz w:val="20"/>
          <w:szCs w:val="24"/>
          <w:lang w:eastAsia="es-MX"/>
        </w:rPr>
        <w:t>un obstáculo material para el ejercicio del derecho</w:t>
      </w:r>
      <w:r w:rsidRPr="00010565">
        <w:rPr>
          <w:rFonts w:ascii="Arial" w:hAnsi="Arial" w:cs="Arial"/>
          <w:b/>
          <w:bCs/>
          <w:color w:val="2E74B5" w:themeColor="accent1" w:themeShade="BF"/>
          <w:sz w:val="20"/>
          <w:szCs w:val="24"/>
          <w:lang w:eastAsia="es-MX"/>
        </w:rPr>
        <w:t xml:space="preserve"> </w:t>
      </w:r>
      <w:r w:rsidRPr="00010565">
        <w:rPr>
          <w:rFonts w:ascii="Arial" w:hAnsi="Arial" w:cs="Arial"/>
          <w:color w:val="2E74B5" w:themeColor="accent1" w:themeShade="BF"/>
          <w:sz w:val="20"/>
          <w:szCs w:val="24"/>
          <w:lang w:eastAsia="es-MX"/>
        </w:rPr>
        <w:t>de acceso a la información tutelado en el artículo 6° constitucional.</w:t>
      </w:r>
      <w:r w:rsidRPr="00010565">
        <w:rPr>
          <w:rFonts w:ascii="Arial" w:hAnsi="Arial" w:cs="Arial"/>
          <w:b/>
          <w:bCs/>
          <w:color w:val="2E74B5" w:themeColor="accent1" w:themeShade="BF"/>
          <w:sz w:val="20"/>
          <w:szCs w:val="24"/>
          <w:lang w:eastAsia="es-MX"/>
        </w:rPr>
        <w:t xml:space="preserve"> </w:t>
      </w:r>
      <w:r w:rsidRPr="00010565">
        <w:rPr>
          <w:rFonts w:ascii="Arial" w:hAnsi="Arial" w:cs="Arial"/>
          <w:color w:val="2E74B5" w:themeColor="accent1" w:themeShade="BF"/>
          <w:sz w:val="20"/>
          <w:szCs w:val="24"/>
          <w:lang w:eastAsia="es-MX"/>
        </w:rPr>
        <w:t>Por lo tanto, si el peticionario solicita por vía</w:t>
      </w:r>
      <w:r w:rsidRPr="00010565">
        <w:rPr>
          <w:rFonts w:ascii="Arial" w:hAnsi="Arial" w:cs="Arial"/>
          <w:b/>
          <w:bCs/>
          <w:color w:val="2E74B5" w:themeColor="accent1" w:themeShade="BF"/>
          <w:sz w:val="20"/>
          <w:szCs w:val="24"/>
          <w:lang w:eastAsia="es-MX"/>
        </w:rPr>
        <w:t xml:space="preserve"> </w:t>
      </w:r>
      <w:r w:rsidRPr="00010565">
        <w:rPr>
          <w:rFonts w:ascii="Arial" w:hAnsi="Arial" w:cs="Arial"/>
          <w:color w:val="2E74B5" w:themeColor="accent1" w:themeShade="BF"/>
          <w:sz w:val="20"/>
          <w:szCs w:val="24"/>
          <w:lang w:eastAsia="es-MX"/>
        </w:rPr>
        <w:t>electrónica determinada información sin precisar la modalidad</w:t>
      </w:r>
      <w:r w:rsidRPr="00010565">
        <w:rPr>
          <w:rFonts w:ascii="Arial" w:hAnsi="Arial" w:cs="Arial"/>
          <w:b/>
          <w:bCs/>
          <w:color w:val="2E74B5" w:themeColor="accent1" w:themeShade="BF"/>
          <w:sz w:val="20"/>
          <w:szCs w:val="24"/>
          <w:lang w:eastAsia="es-MX"/>
        </w:rPr>
        <w:t xml:space="preserve"> </w:t>
      </w:r>
      <w:r w:rsidRPr="00010565">
        <w:rPr>
          <w:rFonts w:ascii="Arial" w:hAnsi="Arial" w:cs="Arial"/>
          <w:color w:val="2E74B5" w:themeColor="accent1" w:themeShade="BF"/>
          <w:sz w:val="20"/>
          <w:szCs w:val="24"/>
          <w:lang w:eastAsia="es-MX"/>
        </w:rPr>
        <w:t>de su preferencia debe presumirse que la requiere</w:t>
      </w:r>
      <w:r w:rsidRPr="00010565">
        <w:rPr>
          <w:rFonts w:ascii="Arial" w:hAnsi="Arial" w:cs="Arial"/>
          <w:b/>
          <w:bCs/>
          <w:color w:val="2E74B5" w:themeColor="accent1" w:themeShade="BF"/>
          <w:sz w:val="20"/>
          <w:szCs w:val="24"/>
          <w:lang w:eastAsia="es-MX"/>
        </w:rPr>
        <w:t xml:space="preserve"> </w:t>
      </w:r>
      <w:r w:rsidRPr="00010565">
        <w:rPr>
          <w:rFonts w:ascii="Arial" w:hAnsi="Arial" w:cs="Arial"/>
          <w:color w:val="2E74B5" w:themeColor="accent1" w:themeShade="BF"/>
          <w:sz w:val="20"/>
          <w:szCs w:val="24"/>
          <w:lang w:eastAsia="es-MX"/>
        </w:rPr>
        <w:t>por esa misma vía.”</w:t>
      </w:r>
    </w:p>
    <w:p w:rsidR="00010565" w:rsidRPr="00010565" w:rsidRDefault="00010565" w:rsidP="00010565">
      <w:pPr>
        <w:autoSpaceDE w:val="0"/>
        <w:autoSpaceDN w:val="0"/>
        <w:adjustRightInd w:val="0"/>
        <w:jc w:val="both"/>
        <w:rPr>
          <w:rFonts w:ascii="Arial" w:hAnsi="Arial" w:cs="Arial"/>
          <w:bCs/>
          <w:color w:val="2E74B5" w:themeColor="accent1" w:themeShade="BF"/>
          <w:sz w:val="24"/>
          <w:szCs w:val="24"/>
          <w:lang w:eastAsia="es-MX"/>
        </w:rPr>
      </w:pPr>
      <w:r w:rsidRPr="00010565">
        <w:rPr>
          <w:rFonts w:ascii="Arial" w:hAnsi="Arial" w:cs="Arial"/>
          <w:bCs/>
          <w:color w:val="2E74B5" w:themeColor="accent1" w:themeShade="BF"/>
          <w:sz w:val="24"/>
          <w:szCs w:val="24"/>
          <w:lang w:eastAsia="es-MX"/>
        </w:rPr>
        <w:tab/>
        <w:t>Criterio que de conformidad con el artículo 7°</w:t>
      </w:r>
      <w:r w:rsidRPr="00010565">
        <w:rPr>
          <w:rFonts w:ascii="Arial" w:hAnsi="Arial" w:cs="Arial"/>
          <w:bCs/>
          <w:color w:val="2E74B5" w:themeColor="accent1" w:themeShade="BF"/>
          <w:sz w:val="24"/>
          <w:szCs w:val="24"/>
          <w:vertAlign w:val="superscript"/>
          <w:lang w:eastAsia="es-MX"/>
        </w:rPr>
        <w:footnoteReference w:id="4"/>
      </w:r>
      <w:r w:rsidRPr="00010565">
        <w:rPr>
          <w:rFonts w:ascii="Arial" w:hAnsi="Arial" w:cs="Arial"/>
          <w:bCs/>
          <w:color w:val="2E74B5" w:themeColor="accent1" w:themeShade="BF"/>
          <w:sz w:val="24"/>
          <w:szCs w:val="24"/>
          <w:lang w:eastAsia="es-MX"/>
        </w:rPr>
        <w:t xml:space="preserve"> de la Ley de Transparencia resulta aplicable al caso concreto, pues el mismo es para hacer efectivo el derecho de acceso a la información pública, ya que orienta a esta Comisión de Transparencia para favorecer el principio de máxima publicidad y disponibilidad de la información en posesión del sujeto obligado.</w:t>
      </w:r>
    </w:p>
    <w:p w:rsidR="00010565" w:rsidRPr="00010565" w:rsidRDefault="00010565" w:rsidP="00010565">
      <w:pPr>
        <w:autoSpaceDE w:val="0"/>
        <w:autoSpaceDN w:val="0"/>
        <w:adjustRightInd w:val="0"/>
        <w:ind w:firstLine="708"/>
        <w:jc w:val="both"/>
        <w:rPr>
          <w:rFonts w:ascii="Arial" w:hAnsi="Arial" w:cs="Arial"/>
          <w:color w:val="2E74B5" w:themeColor="accent1" w:themeShade="BF"/>
          <w:sz w:val="24"/>
          <w:szCs w:val="24"/>
        </w:rPr>
      </w:pPr>
      <w:r w:rsidRPr="00010565">
        <w:rPr>
          <w:rFonts w:ascii="Arial" w:hAnsi="Arial" w:cs="Arial"/>
          <w:bCs/>
          <w:color w:val="2E74B5" w:themeColor="accent1" w:themeShade="BF"/>
          <w:sz w:val="24"/>
          <w:szCs w:val="24"/>
          <w:lang w:eastAsia="es-MX"/>
        </w:rPr>
        <w:t xml:space="preserve">Además, de que sólo en caso de que la autoridad no tenga la información en la modalidad solicitada, entonces </w:t>
      </w:r>
      <w:r w:rsidRPr="00010565">
        <w:rPr>
          <w:rFonts w:ascii="Arial" w:hAnsi="Arial" w:cs="Arial"/>
          <w:color w:val="2E74B5" w:themeColor="accent1" w:themeShade="BF"/>
          <w:sz w:val="24"/>
          <w:szCs w:val="24"/>
        </w:rPr>
        <w:t>debe pronunciarse sobre la imposición del artículo 165</w:t>
      </w:r>
      <w:r w:rsidRPr="00010565">
        <w:rPr>
          <w:rStyle w:val="Refdenotaalpie"/>
          <w:rFonts w:ascii="Arial" w:hAnsi="Arial" w:cs="Arial"/>
          <w:color w:val="2E74B5" w:themeColor="accent1" w:themeShade="BF"/>
          <w:sz w:val="24"/>
          <w:szCs w:val="24"/>
        </w:rPr>
        <w:footnoteReference w:id="5"/>
      </w:r>
      <w:r w:rsidRPr="00010565">
        <w:rPr>
          <w:rFonts w:ascii="Arial" w:hAnsi="Arial" w:cs="Arial"/>
          <w:color w:val="2E74B5" w:themeColor="accent1" w:themeShade="BF"/>
          <w:sz w:val="24"/>
          <w:szCs w:val="24"/>
        </w:rPr>
        <w:t xml:space="preserve">, segundo párrafo, de la Ley de Transparencia, que le impone la obligación de que, en caso de no poder entregar la información en la modalidad solicitada, entonces debe de expresar en su respuesta que la información va a ser </w:t>
      </w:r>
      <w:r w:rsidRPr="00010565">
        <w:rPr>
          <w:rFonts w:ascii="Arial" w:hAnsi="Arial" w:cs="Arial"/>
          <w:color w:val="2E74B5" w:themeColor="accent1" w:themeShade="BF"/>
          <w:sz w:val="24"/>
          <w:szCs w:val="24"/>
        </w:rPr>
        <w:lastRenderedPageBreak/>
        <w:t>entregada, sin costo –cuando implique la entrega de no más de veinte hojas simples, esto es, veinte hojas serán de forma gratuita, ello para garantizar el acceso a la información en cuanto al principio de gratuidad.</w:t>
      </w:r>
    </w:p>
    <w:p w:rsidR="00010565" w:rsidRPr="00010565" w:rsidRDefault="00010565" w:rsidP="00010565">
      <w:pPr>
        <w:spacing w:after="160" w:line="259" w:lineRule="auto"/>
        <w:jc w:val="both"/>
        <w:rPr>
          <w:rFonts w:ascii="Arial" w:hAnsi="Arial" w:cs="Arial"/>
          <w:color w:val="2E74B5" w:themeColor="accent1" w:themeShade="BF"/>
          <w:sz w:val="24"/>
        </w:rPr>
      </w:pPr>
    </w:p>
    <w:p w:rsidR="00010565" w:rsidRPr="00010565" w:rsidRDefault="00F04FE3" w:rsidP="00010565">
      <w:pPr>
        <w:pStyle w:val="corte4fondo"/>
        <w:tabs>
          <w:tab w:val="left" w:pos="567"/>
        </w:tabs>
        <w:spacing w:line="276" w:lineRule="auto"/>
        <w:ind w:firstLine="0"/>
        <w:rPr>
          <w:rFonts w:cs="Arial"/>
          <w:color w:val="2E74B5" w:themeColor="accent1" w:themeShade="BF"/>
          <w:sz w:val="24"/>
          <w:szCs w:val="24"/>
        </w:rPr>
      </w:pPr>
      <w:r>
        <w:rPr>
          <w:rFonts w:cs="Arial"/>
          <w:b/>
          <w:color w:val="2E74B5" w:themeColor="accent1" w:themeShade="BF"/>
          <w:sz w:val="24"/>
          <w:szCs w:val="24"/>
        </w:rPr>
        <w:tab/>
        <w:t>6.4</w:t>
      </w:r>
      <w:r w:rsidR="00010565" w:rsidRPr="00010565">
        <w:rPr>
          <w:rFonts w:cs="Arial"/>
          <w:b/>
          <w:color w:val="2E74B5" w:themeColor="accent1" w:themeShade="BF"/>
          <w:sz w:val="24"/>
          <w:szCs w:val="24"/>
        </w:rPr>
        <w:t>. Sentido y Efecto de esta resolución</w:t>
      </w:r>
      <w:r w:rsidR="00010565" w:rsidRPr="00010565">
        <w:rPr>
          <w:rFonts w:cs="Arial"/>
          <w:color w:val="2E74B5" w:themeColor="accent1" w:themeShade="BF"/>
          <w:sz w:val="24"/>
          <w:szCs w:val="24"/>
        </w:rPr>
        <w:t xml:space="preserve">. </w:t>
      </w:r>
    </w:p>
    <w:p w:rsidR="00010565" w:rsidRPr="00010565" w:rsidRDefault="00010565" w:rsidP="00010565">
      <w:pPr>
        <w:pStyle w:val="corte4fondo"/>
        <w:spacing w:line="276" w:lineRule="auto"/>
        <w:ind w:firstLine="0"/>
        <w:rPr>
          <w:rFonts w:cs="Arial"/>
          <w:color w:val="2E74B5" w:themeColor="accent1" w:themeShade="BF"/>
          <w:sz w:val="24"/>
          <w:szCs w:val="24"/>
        </w:rPr>
      </w:pPr>
    </w:p>
    <w:p w:rsidR="00010565" w:rsidRPr="00010565" w:rsidRDefault="00010565" w:rsidP="00010565">
      <w:pPr>
        <w:pStyle w:val="corte4fondo"/>
        <w:tabs>
          <w:tab w:val="left" w:pos="567"/>
        </w:tabs>
        <w:spacing w:line="276" w:lineRule="auto"/>
        <w:rPr>
          <w:rFonts w:cs="Arial"/>
          <w:color w:val="2E74B5" w:themeColor="accent1" w:themeShade="BF"/>
          <w:sz w:val="24"/>
          <w:szCs w:val="24"/>
        </w:rPr>
      </w:pPr>
      <w:r w:rsidRPr="00010565">
        <w:rPr>
          <w:rFonts w:cs="Arial"/>
          <w:color w:val="2E74B5" w:themeColor="accent1" w:themeShade="BF"/>
          <w:sz w:val="24"/>
          <w:szCs w:val="24"/>
        </w:rPr>
        <w:t xml:space="preserve">En las condiciones anotadas y, al haber resultado fundado el agravio que hizo valer el recurrente, lo procedente es que esta Comisión Estatal de Garantía de Acceso a la Información Pública de conformidad con el artículo 175, fracción III, de la Ley de Transparencia y Acceso a la Información Pública del Estado </w:t>
      </w:r>
      <w:r w:rsidRPr="00010565">
        <w:rPr>
          <w:rFonts w:cs="Arial"/>
          <w:b/>
          <w:color w:val="2E74B5" w:themeColor="accent1" w:themeShade="BF"/>
          <w:sz w:val="24"/>
          <w:szCs w:val="24"/>
        </w:rPr>
        <w:t xml:space="preserve">Modifica </w:t>
      </w:r>
      <w:r w:rsidRPr="00010565">
        <w:rPr>
          <w:rFonts w:cs="Arial"/>
          <w:color w:val="2E74B5" w:themeColor="accent1" w:themeShade="BF"/>
          <w:sz w:val="24"/>
          <w:szCs w:val="24"/>
        </w:rPr>
        <w:t>la respuesta del sujeto obligado</w:t>
      </w:r>
      <w:r w:rsidRPr="00010565">
        <w:rPr>
          <w:rFonts w:cs="Arial"/>
          <w:b/>
          <w:color w:val="2E74B5" w:themeColor="accent1" w:themeShade="BF"/>
          <w:sz w:val="24"/>
          <w:szCs w:val="24"/>
        </w:rPr>
        <w:t xml:space="preserve"> </w:t>
      </w:r>
      <w:r w:rsidRPr="00010565">
        <w:rPr>
          <w:rFonts w:cs="Arial"/>
          <w:color w:val="2E74B5" w:themeColor="accent1" w:themeShade="BF"/>
          <w:sz w:val="24"/>
          <w:szCs w:val="24"/>
        </w:rPr>
        <w:t xml:space="preserve">y, por lo tanto, lo </w:t>
      </w:r>
      <w:r w:rsidRPr="00010565">
        <w:rPr>
          <w:rFonts w:cs="Arial"/>
          <w:b/>
          <w:color w:val="2E74B5" w:themeColor="accent1" w:themeShade="BF"/>
          <w:sz w:val="24"/>
          <w:szCs w:val="24"/>
        </w:rPr>
        <w:t>conmina</w:t>
      </w:r>
      <w:r w:rsidRPr="00010565">
        <w:rPr>
          <w:rFonts w:cs="Arial"/>
          <w:color w:val="2E74B5" w:themeColor="accent1" w:themeShade="BF"/>
          <w:sz w:val="24"/>
          <w:szCs w:val="24"/>
        </w:rPr>
        <w:t xml:space="preserve"> para que emita una nueva respuesta en la que:</w:t>
      </w:r>
    </w:p>
    <w:p w:rsidR="00010565" w:rsidRPr="00010565" w:rsidRDefault="00010565" w:rsidP="00010565">
      <w:pPr>
        <w:pStyle w:val="corte4fondo"/>
        <w:tabs>
          <w:tab w:val="left" w:pos="567"/>
        </w:tabs>
        <w:spacing w:line="276" w:lineRule="auto"/>
        <w:rPr>
          <w:rFonts w:cs="Arial"/>
          <w:color w:val="2E74B5" w:themeColor="accent1" w:themeShade="BF"/>
          <w:sz w:val="24"/>
          <w:szCs w:val="24"/>
        </w:rPr>
      </w:pPr>
    </w:p>
    <w:p w:rsidR="00010565" w:rsidRPr="00010565" w:rsidRDefault="00010565" w:rsidP="00010565">
      <w:pPr>
        <w:pStyle w:val="corte4fondo"/>
        <w:ind w:firstLine="0"/>
        <w:rPr>
          <w:rFonts w:cs="Arial"/>
          <w:color w:val="2E74B5" w:themeColor="accent1" w:themeShade="BF"/>
          <w:sz w:val="24"/>
          <w:szCs w:val="24"/>
        </w:rPr>
      </w:pPr>
    </w:p>
    <w:p w:rsidR="00010565" w:rsidRPr="00010565" w:rsidRDefault="00010565" w:rsidP="00F04FE3">
      <w:pPr>
        <w:pStyle w:val="corte4fondo"/>
        <w:numPr>
          <w:ilvl w:val="0"/>
          <w:numId w:val="24"/>
        </w:numPr>
        <w:spacing w:line="240" w:lineRule="auto"/>
        <w:rPr>
          <w:rFonts w:cs="Arial"/>
          <w:color w:val="2E74B5" w:themeColor="accent1" w:themeShade="BF"/>
          <w:sz w:val="24"/>
          <w:szCs w:val="24"/>
        </w:rPr>
      </w:pPr>
      <w:r w:rsidRPr="00010565">
        <w:rPr>
          <w:rFonts w:cs="Arial"/>
          <w:color w:val="2E74B5" w:themeColor="accent1" w:themeShade="BF"/>
          <w:sz w:val="24"/>
          <w:szCs w:val="24"/>
        </w:rPr>
        <w:t xml:space="preserve">Entregue la información solicitada respecto al servidor público aludido en su  solicitud, es decir: </w:t>
      </w:r>
      <w:r w:rsidRPr="00010565">
        <w:rPr>
          <w:rFonts w:cs="Arial"/>
          <w:color w:val="2E74B5" w:themeColor="accent1" w:themeShade="BF"/>
          <w:sz w:val="24"/>
        </w:rPr>
        <w:t>¿si se desempeña como trabajador?,  ¿cuál es o fue el departamento de adscripción?, ¿hasta cuándo laboró?</w:t>
      </w:r>
    </w:p>
    <w:p w:rsidR="00010565" w:rsidRPr="00010565" w:rsidRDefault="00010565" w:rsidP="00F04FE3">
      <w:pPr>
        <w:pStyle w:val="corte4fondo"/>
        <w:spacing w:line="240" w:lineRule="auto"/>
        <w:ind w:left="2136" w:firstLine="0"/>
        <w:rPr>
          <w:rFonts w:cs="Arial"/>
          <w:color w:val="2E74B5" w:themeColor="accent1" w:themeShade="BF"/>
          <w:sz w:val="24"/>
          <w:szCs w:val="24"/>
        </w:rPr>
      </w:pPr>
    </w:p>
    <w:p w:rsidR="00010565" w:rsidRPr="00010565" w:rsidRDefault="00010565" w:rsidP="00F04FE3">
      <w:pPr>
        <w:pStyle w:val="corte4fondo"/>
        <w:numPr>
          <w:ilvl w:val="0"/>
          <w:numId w:val="24"/>
        </w:numPr>
        <w:spacing w:line="240" w:lineRule="auto"/>
        <w:rPr>
          <w:rFonts w:cs="Arial"/>
          <w:color w:val="2E74B5" w:themeColor="accent1" w:themeShade="BF"/>
          <w:sz w:val="24"/>
          <w:szCs w:val="24"/>
        </w:rPr>
      </w:pPr>
      <w:r w:rsidRPr="00010565">
        <w:rPr>
          <w:rFonts w:cs="Arial"/>
          <w:color w:val="2E74B5" w:themeColor="accent1" w:themeShade="BF"/>
          <w:sz w:val="24"/>
          <w:szCs w:val="24"/>
        </w:rPr>
        <w:t xml:space="preserve">En cuanto a </w:t>
      </w:r>
      <w:r>
        <w:rPr>
          <w:rFonts w:cs="Arial"/>
          <w:color w:val="2E74B5" w:themeColor="accent1" w:themeShade="BF"/>
          <w:sz w:val="24"/>
          <w:szCs w:val="24"/>
        </w:rPr>
        <w:t>¿</w:t>
      </w:r>
      <w:r w:rsidRPr="00010565">
        <w:rPr>
          <w:rFonts w:cs="Arial"/>
          <w:color w:val="2E74B5" w:themeColor="accent1" w:themeShade="BF"/>
          <w:sz w:val="24"/>
          <w:szCs w:val="24"/>
        </w:rPr>
        <w:t>Cuál fue el motivo de la terminación laboral de dicho funcionario? por actualizarse alguno de los supuestos de clasificación, el Comité de Transparencia del Ayuntamiento de San Luis Potosí deberá señalar las razones y motivos o circunstancias para determinar si es procedente o no, la actualización del supuesto previsto en los artículos 117, 118, 119 y demás relativos de la Ley de la materia y aplicar la respectiva prueba de daño.</w:t>
      </w:r>
    </w:p>
    <w:p w:rsidR="00010565" w:rsidRPr="00010565" w:rsidRDefault="00010565" w:rsidP="00010565">
      <w:pPr>
        <w:pStyle w:val="corte4fondo"/>
        <w:tabs>
          <w:tab w:val="left" w:pos="567"/>
        </w:tabs>
        <w:spacing w:line="276" w:lineRule="auto"/>
        <w:rPr>
          <w:rFonts w:cs="Arial"/>
          <w:color w:val="2E74B5" w:themeColor="accent1" w:themeShade="BF"/>
          <w:sz w:val="24"/>
          <w:szCs w:val="24"/>
        </w:rPr>
      </w:pPr>
    </w:p>
    <w:p w:rsidR="00010565" w:rsidRPr="00010565" w:rsidRDefault="00F04FE3" w:rsidP="00010565">
      <w:pPr>
        <w:pStyle w:val="NormalWeb"/>
        <w:spacing w:before="0" w:beforeAutospacing="0" w:after="0" w:afterAutospacing="0" w:line="276" w:lineRule="auto"/>
        <w:ind w:firstLine="360"/>
        <w:jc w:val="both"/>
        <w:rPr>
          <w:rFonts w:ascii="Arial" w:hAnsi="Arial" w:cs="Arial"/>
          <w:b/>
          <w:color w:val="2E74B5" w:themeColor="accent1" w:themeShade="BF"/>
        </w:rPr>
      </w:pPr>
      <w:r>
        <w:rPr>
          <w:rFonts w:ascii="Arial" w:hAnsi="Arial" w:cs="Arial"/>
          <w:b/>
          <w:color w:val="2E74B5" w:themeColor="accent1" w:themeShade="BF"/>
        </w:rPr>
        <w:t>6.5</w:t>
      </w:r>
      <w:r w:rsidR="00010565" w:rsidRPr="00010565">
        <w:rPr>
          <w:rFonts w:ascii="Arial" w:hAnsi="Arial" w:cs="Arial"/>
          <w:b/>
          <w:color w:val="2E74B5" w:themeColor="accent1" w:themeShade="BF"/>
        </w:rPr>
        <w:t>. Precisiones de esta resolución.</w:t>
      </w:r>
    </w:p>
    <w:p w:rsidR="00010565" w:rsidRPr="00010565" w:rsidRDefault="00010565" w:rsidP="00010565">
      <w:pPr>
        <w:pStyle w:val="corte4fondo"/>
        <w:tabs>
          <w:tab w:val="left" w:pos="567"/>
        </w:tabs>
        <w:spacing w:line="276" w:lineRule="auto"/>
        <w:ind w:firstLine="0"/>
        <w:rPr>
          <w:rFonts w:cs="Arial"/>
          <w:color w:val="2E74B5" w:themeColor="accent1" w:themeShade="BF"/>
          <w:sz w:val="24"/>
          <w:szCs w:val="24"/>
        </w:rPr>
      </w:pPr>
    </w:p>
    <w:p w:rsidR="00010565" w:rsidRPr="00010565" w:rsidRDefault="00010565" w:rsidP="00010565">
      <w:pPr>
        <w:pStyle w:val="corte4fondo"/>
        <w:tabs>
          <w:tab w:val="left" w:pos="567"/>
        </w:tabs>
        <w:spacing w:line="276" w:lineRule="auto"/>
        <w:ind w:firstLine="0"/>
        <w:rPr>
          <w:rFonts w:cs="Arial"/>
          <w:color w:val="2E74B5" w:themeColor="accent1" w:themeShade="BF"/>
          <w:sz w:val="24"/>
          <w:szCs w:val="24"/>
        </w:rPr>
      </w:pPr>
      <w:r w:rsidRPr="00010565">
        <w:rPr>
          <w:rFonts w:cs="Arial"/>
          <w:color w:val="2E74B5" w:themeColor="accent1" w:themeShade="BF"/>
          <w:sz w:val="24"/>
          <w:szCs w:val="24"/>
        </w:rPr>
        <w:tab/>
        <w:t>De conformidad con la última parte del artículo 175 de la Ley de Transparencia está Comisión de Transparencia establece los siguientes términos para el cumplimiento de la resolución.</w:t>
      </w:r>
    </w:p>
    <w:p w:rsidR="00010565" w:rsidRPr="00010565" w:rsidRDefault="00010565" w:rsidP="00010565">
      <w:pPr>
        <w:pStyle w:val="corte4fondo"/>
        <w:tabs>
          <w:tab w:val="left" w:pos="567"/>
        </w:tabs>
        <w:spacing w:line="276" w:lineRule="auto"/>
        <w:ind w:firstLine="0"/>
        <w:rPr>
          <w:rFonts w:cs="Arial"/>
          <w:color w:val="2E74B5" w:themeColor="accent1" w:themeShade="BF"/>
          <w:sz w:val="24"/>
          <w:szCs w:val="24"/>
        </w:rPr>
      </w:pPr>
    </w:p>
    <w:p w:rsidR="00010565" w:rsidRPr="00010565" w:rsidRDefault="00010565" w:rsidP="00010565">
      <w:pPr>
        <w:pStyle w:val="corte4fondo"/>
        <w:numPr>
          <w:ilvl w:val="0"/>
          <w:numId w:val="25"/>
        </w:numPr>
        <w:tabs>
          <w:tab w:val="left" w:pos="567"/>
        </w:tabs>
        <w:spacing w:line="276" w:lineRule="auto"/>
        <w:rPr>
          <w:rFonts w:cs="Arial"/>
          <w:color w:val="2E74B5" w:themeColor="accent1" w:themeShade="BF"/>
          <w:sz w:val="24"/>
          <w:szCs w:val="24"/>
        </w:rPr>
      </w:pPr>
      <w:r w:rsidRPr="00010565">
        <w:rPr>
          <w:rFonts w:cs="Arial"/>
          <w:color w:val="2E74B5" w:themeColor="accent1" w:themeShade="BF"/>
          <w:sz w:val="24"/>
          <w:szCs w:val="24"/>
        </w:rPr>
        <w:t>En cuanto a lo ordenado, se reitera que la información debe de entregarse en la modalidad solicitada, en la inteligencia de que en virtud de que la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y/o domicilio señalado por el particular para oír y recibir notificaciones.</w:t>
      </w:r>
    </w:p>
    <w:p w:rsidR="00010565" w:rsidRPr="00010565" w:rsidRDefault="00010565" w:rsidP="00010565">
      <w:pPr>
        <w:pStyle w:val="corte4fondo"/>
        <w:tabs>
          <w:tab w:val="left" w:pos="567"/>
        </w:tabs>
        <w:spacing w:line="276" w:lineRule="auto"/>
        <w:ind w:left="720" w:firstLine="0"/>
        <w:rPr>
          <w:rFonts w:cs="Arial"/>
          <w:color w:val="2E74B5" w:themeColor="accent1" w:themeShade="BF"/>
          <w:sz w:val="24"/>
          <w:szCs w:val="24"/>
        </w:rPr>
      </w:pPr>
    </w:p>
    <w:p w:rsidR="00010565" w:rsidRPr="00010565" w:rsidRDefault="00010565" w:rsidP="00010565">
      <w:pPr>
        <w:pStyle w:val="corte4fondo"/>
        <w:numPr>
          <w:ilvl w:val="0"/>
          <w:numId w:val="25"/>
        </w:numPr>
        <w:tabs>
          <w:tab w:val="left" w:pos="567"/>
        </w:tabs>
        <w:spacing w:line="276" w:lineRule="auto"/>
        <w:rPr>
          <w:rFonts w:cs="Arial"/>
          <w:color w:val="2E74B5" w:themeColor="accent1" w:themeShade="BF"/>
          <w:sz w:val="24"/>
          <w:szCs w:val="24"/>
        </w:rPr>
      </w:pPr>
      <w:r w:rsidRPr="00010565">
        <w:rPr>
          <w:rFonts w:cs="Arial"/>
          <w:color w:val="2E74B5" w:themeColor="accent1" w:themeShade="BF"/>
          <w:sz w:val="24"/>
          <w:szCs w:val="24"/>
        </w:rPr>
        <w:t>El sujeto obligado deberá de cuidar en todo momento que la información que entregará no contenga datos personales o confidenciales, pues en caso de contener información con esos datos, deberá de elaborar la versión pública.</w:t>
      </w:r>
    </w:p>
    <w:p w:rsidR="00010565" w:rsidRPr="00010565" w:rsidRDefault="00010565" w:rsidP="00010565">
      <w:pPr>
        <w:pStyle w:val="Prrafodelista"/>
        <w:tabs>
          <w:tab w:val="left" w:pos="567"/>
        </w:tabs>
        <w:spacing w:after="0"/>
        <w:ind w:left="709"/>
        <w:jc w:val="both"/>
        <w:rPr>
          <w:rFonts w:cs="Arial"/>
          <w:color w:val="2E74B5" w:themeColor="accent1" w:themeShade="BF"/>
          <w:sz w:val="24"/>
          <w:szCs w:val="24"/>
        </w:rPr>
      </w:pPr>
    </w:p>
    <w:p w:rsidR="00010565" w:rsidRPr="00010565" w:rsidRDefault="00010565" w:rsidP="00010565">
      <w:pPr>
        <w:pStyle w:val="Prrafodelista"/>
        <w:tabs>
          <w:tab w:val="left" w:pos="567"/>
        </w:tabs>
        <w:spacing w:after="0"/>
        <w:ind w:left="709"/>
        <w:jc w:val="both"/>
        <w:rPr>
          <w:rFonts w:cs="Arial"/>
          <w:color w:val="2E74B5" w:themeColor="accent1" w:themeShade="BF"/>
          <w:sz w:val="24"/>
          <w:szCs w:val="24"/>
        </w:rPr>
      </w:pPr>
    </w:p>
    <w:p w:rsidR="00010565" w:rsidRPr="00010565" w:rsidRDefault="00F04FE3" w:rsidP="00F04FE3">
      <w:pPr>
        <w:pStyle w:val="NormalWeb"/>
        <w:spacing w:before="0" w:beforeAutospacing="0" w:after="0" w:afterAutospacing="0" w:line="276" w:lineRule="auto"/>
        <w:jc w:val="both"/>
        <w:rPr>
          <w:rFonts w:ascii="Arial" w:hAnsi="Arial" w:cs="Arial"/>
          <w:b/>
          <w:color w:val="2E74B5" w:themeColor="accent1" w:themeShade="BF"/>
        </w:rPr>
      </w:pPr>
      <w:r>
        <w:rPr>
          <w:rFonts w:ascii="Arial" w:hAnsi="Arial" w:cs="Arial"/>
          <w:b/>
          <w:color w:val="2E74B5" w:themeColor="accent1" w:themeShade="BF"/>
        </w:rPr>
        <w:t>6.6</w:t>
      </w:r>
      <w:r w:rsidR="00010565" w:rsidRPr="00010565">
        <w:rPr>
          <w:rFonts w:ascii="Arial" w:hAnsi="Arial" w:cs="Arial"/>
          <w:b/>
          <w:color w:val="2E74B5" w:themeColor="accent1" w:themeShade="BF"/>
        </w:rPr>
        <w:t>. Plazo de diez días hábiles para el cumplimento de esta resolución.</w:t>
      </w:r>
    </w:p>
    <w:p w:rsidR="00010565" w:rsidRPr="00010565" w:rsidRDefault="00010565" w:rsidP="00010565">
      <w:pPr>
        <w:pStyle w:val="NormalWeb"/>
        <w:spacing w:before="0" w:beforeAutospacing="0" w:after="0" w:afterAutospacing="0" w:line="276" w:lineRule="auto"/>
        <w:jc w:val="both"/>
        <w:rPr>
          <w:rFonts w:ascii="Arial" w:hAnsi="Arial" w:cs="Arial"/>
          <w:color w:val="2E74B5" w:themeColor="accent1" w:themeShade="BF"/>
        </w:rPr>
      </w:pPr>
    </w:p>
    <w:p w:rsidR="00010565" w:rsidRPr="00010565" w:rsidRDefault="00010565" w:rsidP="00010565">
      <w:pPr>
        <w:pStyle w:val="NormalWeb"/>
        <w:spacing w:before="0" w:beforeAutospacing="0" w:after="0" w:afterAutospacing="0" w:line="276" w:lineRule="auto"/>
        <w:ind w:firstLine="708"/>
        <w:jc w:val="both"/>
        <w:rPr>
          <w:rFonts w:ascii="Arial" w:hAnsi="Arial" w:cs="Arial"/>
          <w:color w:val="2E74B5" w:themeColor="accent1" w:themeShade="BF"/>
        </w:rPr>
      </w:pPr>
      <w:r w:rsidRPr="00010565">
        <w:rPr>
          <w:rFonts w:ascii="Arial" w:hAnsi="Arial" w:cs="Arial"/>
          <w:color w:val="2E74B5" w:themeColor="accent1" w:themeShade="BF"/>
        </w:rPr>
        <w:lastRenderedPageBreak/>
        <w:t>Con fundamento en el artículo 175 de la Ley de Transparencia y Acceso a la Información Pública del Estado, este órgano colegiado le concede al sujeto obligado el plazo de diez días para la entrega de la información, plazo que es el que está Comisión de Transparencia considera que es suficiente, ya que es el máximo autorizado por el citado precepto.</w:t>
      </w:r>
    </w:p>
    <w:p w:rsidR="00010565" w:rsidRPr="00010565" w:rsidRDefault="00010565" w:rsidP="00010565">
      <w:pPr>
        <w:pStyle w:val="NormalWeb"/>
        <w:spacing w:before="0" w:beforeAutospacing="0" w:after="0" w:afterAutospacing="0" w:line="276" w:lineRule="auto"/>
        <w:jc w:val="both"/>
        <w:rPr>
          <w:rFonts w:ascii="Arial" w:hAnsi="Arial" w:cs="Arial"/>
          <w:color w:val="2E74B5" w:themeColor="accent1" w:themeShade="BF"/>
        </w:rPr>
      </w:pPr>
    </w:p>
    <w:p w:rsidR="00010565" w:rsidRPr="00010565" w:rsidRDefault="00F04FE3" w:rsidP="00010565">
      <w:pPr>
        <w:pStyle w:val="NormalWeb"/>
        <w:spacing w:before="0" w:beforeAutospacing="0" w:after="0" w:afterAutospacing="0" w:line="276" w:lineRule="auto"/>
        <w:ind w:firstLine="708"/>
        <w:jc w:val="both"/>
        <w:rPr>
          <w:rFonts w:ascii="Arial" w:hAnsi="Arial" w:cs="Arial"/>
          <w:b/>
          <w:color w:val="2E74B5" w:themeColor="accent1" w:themeShade="BF"/>
        </w:rPr>
      </w:pPr>
      <w:r>
        <w:rPr>
          <w:rFonts w:ascii="Arial" w:hAnsi="Arial" w:cs="Arial"/>
          <w:b/>
          <w:color w:val="2E74B5" w:themeColor="accent1" w:themeShade="BF"/>
        </w:rPr>
        <w:t>6.7</w:t>
      </w:r>
      <w:r w:rsidR="00010565" w:rsidRPr="00010565">
        <w:rPr>
          <w:rFonts w:ascii="Arial" w:hAnsi="Arial" w:cs="Arial"/>
          <w:b/>
          <w:color w:val="2E74B5" w:themeColor="accent1" w:themeShade="BF"/>
        </w:rPr>
        <w:t>. Informe sobre el cumplimento a la resolución dentro del plazo de tres días hábiles.</w:t>
      </w:r>
    </w:p>
    <w:p w:rsidR="00010565" w:rsidRPr="00010565" w:rsidRDefault="00010565" w:rsidP="00010565">
      <w:pPr>
        <w:pStyle w:val="NormalWeb"/>
        <w:spacing w:before="0" w:beforeAutospacing="0" w:after="0" w:afterAutospacing="0" w:line="276" w:lineRule="auto"/>
        <w:jc w:val="both"/>
        <w:rPr>
          <w:rFonts w:ascii="Arial" w:hAnsi="Arial" w:cs="Arial"/>
          <w:b/>
          <w:color w:val="2E74B5" w:themeColor="accent1" w:themeShade="BF"/>
        </w:rPr>
      </w:pPr>
    </w:p>
    <w:p w:rsidR="00010565" w:rsidRPr="00010565" w:rsidRDefault="00010565" w:rsidP="00010565">
      <w:pPr>
        <w:pStyle w:val="NormalWeb"/>
        <w:spacing w:before="0" w:beforeAutospacing="0" w:after="0" w:afterAutospacing="0" w:line="276" w:lineRule="auto"/>
        <w:ind w:firstLine="708"/>
        <w:jc w:val="both"/>
        <w:rPr>
          <w:rFonts w:ascii="Arial" w:hAnsi="Arial" w:cs="Arial"/>
          <w:color w:val="2E74B5" w:themeColor="accent1" w:themeShade="BF"/>
        </w:rPr>
      </w:pPr>
      <w:r w:rsidRPr="00010565">
        <w:rPr>
          <w:rFonts w:ascii="Arial" w:hAnsi="Arial" w:cs="Arial"/>
          <w:color w:val="2E74B5" w:themeColor="accent1" w:themeShade="BF"/>
        </w:rPr>
        <w:t>De conformidad con el artículo 177, segundo párrafo, el sujeto obligado deberá de informar a esta Comisión de Transparencia el cumplimento a la presente resolución en un plazo que no deberá de exceder de tres días siguientes a los diez días que tiene para la entrega de la información en donde justificará con los documentos necesarios el cumplimento a lo aquí ordenado.</w:t>
      </w:r>
    </w:p>
    <w:p w:rsidR="00010565" w:rsidRPr="00010565" w:rsidRDefault="00010565" w:rsidP="00010565">
      <w:pPr>
        <w:pStyle w:val="NormalWeb"/>
        <w:spacing w:before="0" w:beforeAutospacing="0" w:after="0" w:afterAutospacing="0" w:line="276" w:lineRule="auto"/>
        <w:ind w:firstLine="708"/>
        <w:jc w:val="both"/>
        <w:rPr>
          <w:rFonts w:ascii="Arial" w:hAnsi="Arial" w:cs="Arial"/>
          <w:color w:val="2E74B5" w:themeColor="accent1" w:themeShade="BF"/>
        </w:rPr>
      </w:pPr>
    </w:p>
    <w:p w:rsidR="00010565" w:rsidRPr="00010565" w:rsidRDefault="00F04FE3" w:rsidP="00010565">
      <w:pPr>
        <w:pStyle w:val="NormalWeb"/>
        <w:spacing w:before="0" w:beforeAutospacing="0" w:after="0" w:afterAutospacing="0" w:line="276" w:lineRule="auto"/>
        <w:ind w:firstLine="708"/>
        <w:jc w:val="both"/>
        <w:rPr>
          <w:rFonts w:ascii="Arial" w:hAnsi="Arial" w:cs="Arial"/>
          <w:b/>
          <w:color w:val="2E74B5" w:themeColor="accent1" w:themeShade="BF"/>
        </w:rPr>
      </w:pPr>
      <w:r>
        <w:rPr>
          <w:rFonts w:ascii="Arial" w:hAnsi="Arial" w:cs="Arial"/>
          <w:b/>
          <w:color w:val="2E74B5" w:themeColor="accent1" w:themeShade="BF"/>
        </w:rPr>
        <w:t>6.8</w:t>
      </w:r>
      <w:r w:rsidR="00010565" w:rsidRPr="00010565">
        <w:rPr>
          <w:rFonts w:ascii="Arial" w:hAnsi="Arial" w:cs="Arial"/>
          <w:b/>
          <w:color w:val="2E74B5" w:themeColor="accent1" w:themeShade="BF"/>
        </w:rPr>
        <w:t>. Medida de apremio en caso de incumplimiento a la resolución.</w:t>
      </w:r>
    </w:p>
    <w:p w:rsidR="00010565" w:rsidRPr="00010565" w:rsidRDefault="00010565" w:rsidP="00010565">
      <w:pPr>
        <w:pStyle w:val="NormalWeb"/>
        <w:spacing w:before="0" w:beforeAutospacing="0" w:after="0" w:afterAutospacing="0" w:line="276" w:lineRule="auto"/>
        <w:jc w:val="both"/>
        <w:rPr>
          <w:rFonts w:ascii="Arial" w:hAnsi="Arial" w:cs="Arial"/>
          <w:color w:val="2E74B5" w:themeColor="accent1" w:themeShade="BF"/>
        </w:rPr>
      </w:pPr>
    </w:p>
    <w:p w:rsidR="00010565" w:rsidRPr="00010565" w:rsidRDefault="00010565" w:rsidP="00010565">
      <w:pPr>
        <w:pStyle w:val="corte4fondo"/>
        <w:tabs>
          <w:tab w:val="left" w:pos="567"/>
        </w:tabs>
        <w:spacing w:line="276" w:lineRule="auto"/>
        <w:rPr>
          <w:rFonts w:cs="Arial"/>
          <w:color w:val="2E74B5" w:themeColor="accent1" w:themeShade="BF"/>
          <w:sz w:val="24"/>
          <w:szCs w:val="24"/>
        </w:rPr>
      </w:pPr>
      <w:r w:rsidRPr="00010565">
        <w:rPr>
          <w:rFonts w:cs="Arial"/>
          <w:color w:val="2E74B5" w:themeColor="accent1" w:themeShade="BF"/>
          <w:sz w:val="24"/>
          <w:szCs w:val="24"/>
        </w:rPr>
        <w:t xml:space="preserve">Esta Comisión Estatal de Garantía de Acceso a la Información Pública apercibe al sujeto obligado que, en caso de no acatar la presente resolución, podrá ser acreedor de alguna de las medidas de apremio establecidas en el artículo 190 de la Ley de Transparencia, en virtud de que este Órgano Colegiado debe de garantizar el debido cumplimiento al derecho humano de acceso a la información pública.  </w:t>
      </w:r>
    </w:p>
    <w:p w:rsidR="00010565" w:rsidRPr="00010565" w:rsidRDefault="00010565" w:rsidP="00010565">
      <w:pPr>
        <w:pStyle w:val="NormalWeb"/>
        <w:spacing w:before="0" w:beforeAutospacing="0" w:after="0" w:afterAutospacing="0" w:line="276" w:lineRule="auto"/>
        <w:ind w:firstLine="708"/>
        <w:jc w:val="both"/>
        <w:rPr>
          <w:rFonts w:ascii="Arial" w:hAnsi="Arial" w:cs="Arial"/>
          <w:color w:val="2E74B5" w:themeColor="accent1" w:themeShade="BF"/>
        </w:rPr>
      </w:pPr>
    </w:p>
    <w:p w:rsidR="00010565" w:rsidRPr="00010565" w:rsidRDefault="00010565" w:rsidP="00010565">
      <w:pPr>
        <w:pStyle w:val="NormalWeb"/>
        <w:spacing w:before="0" w:beforeAutospacing="0" w:after="0" w:afterAutospacing="0" w:line="276" w:lineRule="auto"/>
        <w:ind w:firstLine="708"/>
        <w:jc w:val="both"/>
        <w:rPr>
          <w:rFonts w:ascii="Arial" w:hAnsi="Arial" w:cs="Arial"/>
          <w:color w:val="2E74B5" w:themeColor="accent1" w:themeShade="BF"/>
        </w:rPr>
      </w:pPr>
    </w:p>
    <w:p w:rsidR="00010565" w:rsidRPr="00010565" w:rsidRDefault="00010565" w:rsidP="00010565">
      <w:pPr>
        <w:pStyle w:val="NormalWeb"/>
        <w:spacing w:before="0" w:beforeAutospacing="0" w:after="0" w:afterAutospacing="0" w:line="276" w:lineRule="auto"/>
        <w:ind w:firstLine="708"/>
        <w:jc w:val="center"/>
        <w:rPr>
          <w:rFonts w:ascii="Arial" w:hAnsi="Arial" w:cs="Arial"/>
          <w:b/>
          <w:color w:val="2E74B5" w:themeColor="accent1" w:themeShade="BF"/>
        </w:rPr>
      </w:pPr>
      <w:r w:rsidRPr="00010565">
        <w:rPr>
          <w:rFonts w:ascii="Arial" w:hAnsi="Arial" w:cs="Arial"/>
          <w:b/>
          <w:color w:val="2E74B5" w:themeColor="accent1" w:themeShade="BF"/>
        </w:rPr>
        <w:t>RESOLUTIVOS</w:t>
      </w:r>
    </w:p>
    <w:p w:rsidR="00010565" w:rsidRPr="00010565" w:rsidRDefault="00010565" w:rsidP="00010565">
      <w:pPr>
        <w:pStyle w:val="NormalWeb"/>
        <w:spacing w:before="0" w:beforeAutospacing="0" w:after="0" w:afterAutospacing="0" w:line="276" w:lineRule="auto"/>
        <w:jc w:val="center"/>
        <w:rPr>
          <w:rFonts w:ascii="Arial" w:hAnsi="Arial" w:cs="Arial"/>
          <w:b/>
          <w:color w:val="2E74B5" w:themeColor="accent1" w:themeShade="BF"/>
        </w:rPr>
      </w:pPr>
    </w:p>
    <w:p w:rsidR="00010565" w:rsidRPr="00010565" w:rsidRDefault="00010565" w:rsidP="00010565">
      <w:pPr>
        <w:pStyle w:val="NormalWeb"/>
        <w:spacing w:before="0" w:beforeAutospacing="0" w:after="0" w:afterAutospacing="0" w:line="276" w:lineRule="auto"/>
        <w:ind w:firstLine="708"/>
        <w:jc w:val="both"/>
        <w:rPr>
          <w:rFonts w:ascii="Arial" w:hAnsi="Arial" w:cs="Arial"/>
          <w:color w:val="2E74B5" w:themeColor="accent1" w:themeShade="BF"/>
        </w:rPr>
      </w:pPr>
      <w:r w:rsidRPr="00010565">
        <w:rPr>
          <w:rFonts w:ascii="Arial" w:hAnsi="Arial" w:cs="Arial"/>
          <w:color w:val="2E74B5" w:themeColor="accent1" w:themeShade="BF"/>
        </w:rPr>
        <w:t>Por lo expuesto y fundado, SE RESUELVE:</w:t>
      </w:r>
    </w:p>
    <w:p w:rsidR="00010565" w:rsidRPr="00010565" w:rsidRDefault="00010565" w:rsidP="00010565">
      <w:pPr>
        <w:pStyle w:val="NormalWeb"/>
        <w:spacing w:before="0" w:beforeAutospacing="0" w:after="0" w:afterAutospacing="0" w:line="276" w:lineRule="auto"/>
        <w:jc w:val="both"/>
        <w:rPr>
          <w:rFonts w:ascii="Arial" w:hAnsi="Arial" w:cs="Arial"/>
          <w:b/>
          <w:color w:val="2E74B5" w:themeColor="accent1" w:themeShade="BF"/>
        </w:rPr>
      </w:pPr>
    </w:p>
    <w:p w:rsidR="00010565" w:rsidRPr="00010565" w:rsidRDefault="00010565" w:rsidP="00010565">
      <w:pPr>
        <w:pStyle w:val="corte4fondo"/>
        <w:spacing w:line="276" w:lineRule="auto"/>
        <w:rPr>
          <w:rFonts w:cs="Arial"/>
          <w:color w:val="2E74B5" w:themeColor="accent1" w:themeShade="BF"/>
          <w:sz w:val="24"/>
          <w:szCs w:val="24"/>
        </w:rPr>
      </w:pPr>
      <w:r w:rsidRPr="00010565">
        <w:rPr>
          <w:rFonts w:cs="Arial"/>
          <w:b/>
          <w:color w:val="2E74B5" w:themeColor="accent1" w:themeShade="BF"/>
          <w:sz w:val="24"/>
          <w:szCs w:val="24"/>
        </w:rPr>
        <w:t xml:space="preserve">ÚNICO. </w:t>
      </w:r>
      <w:r w:rsidRPr="00010565">
        <w:rPr>
          <w:rFonts w:cs="Arial"/>
          <w:color w:val="2E74B5" w:themeColor="accent1" w:themeShade="BF"/>
          <w:sz w:val="24"/>
          <w:szCs w:val="24"/>
        </w:rPr>
        <w:t xml:space="preserve">Se </w:t>
      </w:r>
      <w:r w:rsidRPr="00010565">
        <w:rPr>
          <w:rFonts w:cs="Arial"/>
          <w:b/>
          <w:color w:val="2E74B5" w:themeColor="accent1" w:themeShade="BF"/>
          <w:sz w:val="24"/>
          <w:szCs w:val="24"/>
        </w:rPr>
        <w:t>Modifica la</w:t>
      </w:r>
      <w:r w:rsidRPr="00010565">
        <w:rPr>
          <w:rFonts w:cs="Arial"/>
          <w:color w:val="2E74B5" w:themeColor="accent1" w:themeShade="BF"/>
          <w:sz w:val="24"/>
          <w:szCs w:val="24"/>
        </w:rPr>
        <w:t xml:space="preserve"> respuesta del sujeto obligado por las razones y fundamentos expuestos en el considerando </w:t>
      </w:r>
      <w:r w:rsidR="00F04FE3">
        <w:rPr>
          <w:rFonts w:cs="Arial"/>
          <w:color w:val="2E74B5" w:themeColor="accent1" w:themeShade="BF"/>
          <w:sz w:val="24"/>
          <w:szCs w:val="24"/>
        </w:rPr>
        <w:t>sexto</w:t>
      </w:r>
      <w:r w:rsidRPr="00010565">
        <w:rPr>
          <w:rFonts w:cs="Arial"/>
          <w:color w:val="2E74B5" w:themeColor="accent1" w:themeShade="BF"/>
          <w:sz w:val="24"/>
          <w:szCs w:val="24"/>
        </w:rPr>
        <w:t xml:space="preserve"> de la presente resolución.</w:t>
      </w:r>
    </w:p>
    <w:p w:rsidR="00010565" w:rsidRPr="00010565" w:rsidRDefault="00010565" w:rsidP="00010565">
      <w:pPr>
        <w:pStyle w:val="corte4fondo"/>
        <w:tabs>
          <w:tab w:val="left" w:pos="567"/>
        </w:tabs>
        <w:spacing w:line="276" w:lineRule="auto"/>
        <w:rPr>
          <w:rFonts w:cs="Arial"/>
          <w:color w:val="2E74B5" w:themeColor="accent1" w:themeShade="BF"/>
          <w:sz w:val="24"/>
          <w:szCs w:val="24"/>
        </w:rPr>
      </w:pPr>
    </w:p>
    <w:p w:rsidR="00010565" w:rsidRPr="00010565" w:rsidRDefault="00010565" w:rsidP="00010565">
      <w:pPr>
        <w:pStyle w:val="corte4fondo"/>
        <w:tabs>
          <w:tab w:val="left" w:pos="567"/>
        </w:tabs>
        <w:spacing w:line="276" w:lineRule="auto"/>
        <w:rPr>
          <w:rFonts w:cs="Arial"/>
          <w:color w:val="2E74B5" w:themeColor="accent1" w:themeShade="BF"/>
          <w:sz w:val="24"/>
          <w:szCs w:val="24"/>
        </w:rPr>
      </w:pPr>
    </w:p>
    <w:p w:rsidR="00010565" w:rsidRPr="00010565" w:rsidRDefault="00010565" w:rsidP="00010565">
      <w:pPr>
        <w:pStyle w:val="corte4fondo"/>
        <w:tabs>
          <w:tab w:val="left" w:pos="567"/>
        </w:tabs>
        <w:spacing w:line="276" w:lineRule="auto"/>
        <w:rPr>
          <w:rFonts w:cs="Arial"/>
          <w:color w:val="2E74B5" w:themeColor="accent1" w:themeShade="BF"/>
          <w:sz w:val="24"/>
          <w:szCs w:val="24"/>
        </w:rPr>
      </w:pPr>
      <w:r w:rsidRPr="00010565">
        <w:rPr>
          <w:rFonts w:cs="Arial"/>
          <w:b/>
          <w:color w:val="2E74B5" w:themeColor="accent1" w:themeShade="BF"/>
          <w:sz w:val="24"/>
          <w:szCs w:val="24"/>
        </w:rPr>
        <w:t xml:space="preserve">Notifíquese; </w:t>
      </w:r>
      <w:r w:rsidRPr="00010565">
        <w:rPr>
          <w:rFonts w:cs="Arial"/>
          <w:color w:val="2E74B5" w:themeColor="accent1" w:themeShade="BF"/>
          <w:sz w:val="24"/>
          <w:szCs w:val="24"/>
        </w:rPr>
        <w:t>por oficio a las autoridades</w:t>
      </w:r>
      <w:r w:rsidRPr="00010565">
        <w:rPr>
          <w:rFonts w:cs="Arial"/>
          <w:b/>
          <w:color w:val="2E74B5" w:themeColor="accent1" w:themeShade="BF"/>
          <w:sz w:val="24"/>
          <w:szCs w:val="24"/>
        </w:rPr>
        <w:t xml:space="preserve"> </w:t>
      </w:r>
      <w:r w:rsidRPr="00010565">
        <w:rPr>
          <w:rFonts w:cs="Arial"/>
          <w:color w:val="2E74B5" w:themeColor="accent1" w:themeShade="BF"/>
          <w:sz w:val="24"/>
          <w:szCs w:val="24"/>
        </w:rPr>
        <w:t>y al recurrente por el medio que designó.</w:t>
      </w:r>
    </w:p>
    <w:p w:rsidR="00010565" w:rsidRPr="00010565" w:rsidRDefault="00010565" w:rsidP="00010565">
      <w:pPr>
        <w:pStyle w:val="corte4fondo"/>
        <w:tabs>
          <w:tab w:val="left" w:pos="567"/>
        </w:tabs>
        <w:spacing w:line="276" w:lineRule="auto"/>
        <w:rPr>
          <w:rFonts w:cs="Arial"/>
          <w:color w:val="2E74B5" w:themeColor="accent1" w:themeShade="BF"/>
          <w:sz w:val="24"/>
          <w:szCs w:val="24"/>
        </w:rPr>
      </w:pPr>
    </w:p>
    <w:p w:rsidR="00010565" w:rsidRPr="00010565" w:rsidRDefault="00010565" w:rsidP="00010565">
      <w:pPr>
        <w:pStyle w:val="corte4fondo"/>
        <w:tabs>
          <w:tab w:val="left" w:pos="567"/>
        </w:tabs>
        <w:spacing w:line="276" w:lineRule="auto"/>
        <w:rPr>
          <w:rFonts w:eastAsia="Arial Unicode MS" w:cs="Arial"/>
          <w:color w:val="2E74B5" w:themeColor="accent1" w:themeShade="BF"/>
          <w:sz w:val="24"/>
          <w:szCs w:val="24"/>
        </w:rPr>
      </w:pPr>
      <w:r w:rsidRPr="00010565">
        <w:rPr>
          <w:rFonts w:cs="Arial"/>
          <w:color w:val="2E74B5" w:themeColor="accent1" w:themeShade="BF"/>
          <w:sz w:val="24"/>
          <w:szCs w:val="24"/>
        </w:rPr>
        <w:t xml:space="preserve">Así, por unanimidad de votos lo resolvió la Comisión Estatal de Garantía de Acceso a la Información Pública, integrada por los Comisionados Licenciados Mariajosé González Zarzosa, Mtro. Alejandro Lafuente Torres, Paulina Sánchez Pérez del Pozo, Presidente, siendo ponente la última de los nombrados, quienes, en unión de la Licenciada Rosa María Motilla García, Secretaria de Pleno que da fe, firman esta resolución. </w:t>
      </w:r>
      <w:r w:rsidRPr="00010565">
        <w:rPr>
          <w:rFonts w:eastAsia="Arial Unicode MS" w:cs="Arial"/>
          <w:color w:val="2E74B5" w:themeColor="accent1" w:themeShade="BF"/>
          <w:sz w:val="24"/>
          <w:szCs w:val="24"/>
        </w:rPr>
        <w:t xml:space="preserve">   </w:t>
      </w:r>
    </w:p>
    <w:p w:rsidR="00010565" w:rsidRPr="00010565" w:rsidRDefault="00010565" w:rsidP="00010565">
      <w:pPr>
        <w:pStyle w:val="corte4fondo"/>
        <w:tabs>
          <w:tab w:val="left" w:pos="567"/>
        </w:tabs>
        <w:spacing w:line="276" w:lineRule="auto"/>
        <w:rPr>
          <w:rFonts w:cs="Arial"/>
          <w:color w:val="2E74B5" w:themeColor="accent1" w:themeShade="BF"/>
          <w:sz w:val="24"/>
          <w:szCs w:val="24"/>
        </w:rPr>
      </w:pPr>
    </w:p>
    <w:p w:rsidR="00010565" w:rsidRPr="00010565" w:rsidRDefault="00010565" w:rsidP="00010565">
      <w:pPr>
        <w:tabs>
          <w:tab w:val="center" w:pos="2213"/>
        </w:tabs>
        <w:spacing w:after="0"/>
        <w:rPr>
          <w:rFonts w:ascii="Arial" w:eastAsia="Arial Unicode MS" w:hAnsi="Arial" w:cs="Arial"/>
          <w:b/>
          <w:color w:val="2E74B5" w:themeColor="accent1" w:themeShade="BF"/>
          <w:sz w:val="24"/>
          <w:szCs w:val="24"/>
        </w:rPr>
      </w:pPr>
    </w:p>
    <w:p w:rsidR="00010565" w:rsidRPr="00010565" w:rsidRDefault="00010565" w:rsidP="00010565">
      <w:pPr>
        <w:spacing w:after="0"/>
        <w:ind w:left="360" w:firstLine="900"/>
        <w:jc w:val="both"/>
        <w:rPr>
          <w:rFonts w:ascii="Arial" w:eastAsia="Arial Unicode MS" w:hAnsi="Arial" w:cs="Arial"/>
          <w:b/>
          <w:color w:val="2E74B5" w:themeColor="accent1" w:themeShade="BF"/>
          <w:sz w:val="24"/>
          <w:szCs w:val="24"/>
        </w:rPr>
      </w:pPr>
    </w:p>
    <w:p w:rsidR="00010565" w:rsidRPr="00010565" w:rsidRDefault="00010565" w:rsidP="00010565">
      <w:pPr>
        <w:spacing w:after="0"/>
        <w:ind w:left="360" w:firstLine="900"/>
        <w:jc w:val="both"/>
        <w:rPr>
          <w:rFonts w:ascii="Arial" w:eastAsia="Arial Unicode MS" w:hAnsi="Arial" w:cs="Arial"/>
          <w:b/>
          <w:color w:val="2E74B5" w:themeColor="accent1" w:themeShade="BF"/>
          <w:sz w:val="24"/>
          <w:szCs w:val="24"/>
        </w:rPr>
      </w:pPr>
    </w:p>
    <w:tbl>
      <w:tblPr>
        <w:tblpPr w:leftFromText="141" w:rightFromText="141" w:bottomFromText="160" w:vertAnchor="text" w:horzAnchor="margin" w:tblpY="-386"/>
        <w:tblW w:w="9517" w:type="dxa"/>
        <w:tblLook w:val="01E0"/>
      </w:tblPr>
      <w:tblGrid>
        <w:gridCol w:w="4376"/>
        <w:gridCol w:w="86"/>
        <w:gridCol w:w="235"/>
        <w:gridCol w:w="4820"/>
      </w:tblGrid>
      <w:tr w:rsidR="00010565" w:rsidRPr="00010565" w:rsidTr="00293902">
        <w:trPr>
          <w:trHeight w:val="1690"/>
        </w:trPr>
        <w:tc>
          <w:tcPr>
            <w:tcW w:w="4462" w:type="dxa"/>
            <w:gridSpan w:val="2"/>
          </w:tcPr>
          <w:p w:rsidR="00010565" w:rsidRPr="00010565" w:rsidRDefault="00010565" w:rsidP="00293902">
            <w:pPr>
              <w:spacing w:after="0"/>
              <w:jc w:val="center"/>
              <w:rPr>
                <w:rFonts w:ascii="Arial" w:eastAsia="Arial Unicode MS" w:hAnsi="Arial" w:cs="Arial"/>
                <w:b/>
                <w:color w:val="2E74B5" w:themeColor="accent1" w:themeShade="BF"/>
                <w:sz w:val="24"/>
                <w:szCs w:val="24"/>
              </w:rPr>
            </w:pPr>
            <w:r w:rsidRPr="00010565">
              <w:rPr>
                <w:rFonts w:ascii="Arial" w:eastAsia="Arial Unicode MS" w:hAnsi="Arial" w:cs="Arial"/>
                <w:b/>
                <w:color w:val="2E74B5" w:themeColor="accent1" w:themeShade="BF"/>
                <w:sz w:val="24"/>
                <w:szCs w:val="24"/>
              </w:rPr>
              <w:lastRenderedPageBreak/>
              <w:t xml:space="preserve">        COMISIONADA </w:t>
            </w:r>
          </w:p>
          <w:p w:rsidR="00010565" w:rsidRPr="00010565" w:rsidRDefault="00010565" w:rsidP="00293902">
            <w:pPr>
              <w:spacing w:after="0"/>
              <w:ind w:left="360" w:firstLine="708"/>
              <w:jc w:val="center"/>
              <w:rPr>
                <w:rFonts w:ascii="Arial" w:eastAsia="Arial Unicode MS" w:hAnsi="Arial" w:cs="Arial"/>
                <w:b/>
                <w:color w:val="2E74B5" w:themeColor="accent1" w:themeShade="BF"/>
                <w:sz w:val="24"/>
                <w:szCs w:val="24"/>
              </w:rPr>
            </w:pPr>
          </w:p>
          <w:p w:rsidR="00010565" w:rsidRPr="00010565" w:rsidRDefault="00010565" w:rsidP="00293902">
            <w:pPr>
              <w:spacing w:after="0"/>
              <w:ind w:left="360" w:firstLine="708"/>
              <w:jc w:val="center"/>
              <w:rPr>
                <w:rFonts w:ascii="Arial" w:eastAsia="Arial Unicode MS" w:hAnsi="Arial" w:cs="Arial"/>
                <w:b/>
                <w:color w:val="2E74B5" w:themeColor="accent1" w:themeShade="BF"/>
                <w:sz w:val="24"/>
                <w:szCs w:val="24"/>
              </w:rPr>
            </w:pPr>
          </w:p>
          <w:p w:rsidR="00010565" w:rsidRPr="00010565" w:rsidRDefault="00010565" w:rsidP="00293902">
            <w:pPr>
              <w:tabs>
                <w:tab w:val="left" w:pos="1358"/>
              </w:tabs>
              <w:spacing w:after="0"/>
              <w:ind w:firstLine="36"/>
              <w:jc w:val="center"/>
              <w:rPr>
                <w:rFonts w:ascii="Arial" w:eastAsia="Arial Unicode MS" w:hAnsi="Arial" w:cs="Arial"/>
                <w:b/>
                <w:color w:val="2E74B5" w:themeColor="accent1" w:themeShade="BF"/>
                <w:sz w:val="24"/>
                <w:szCs w:val="24"/>
              </w:rPr>
            </w:pPr>
            <w:r w:rsidRPr="00010565">
              <w:rPr>
                <w:rFonts w:ascii="Arial" w:eastAsia="Arial Unicode MS" w:hAnsi="Arial" w:cs="Arial"/>
                <w:b/>
                <w:color w:val="2E74B5" w:themeColor="accent1" w:themeShade="BF"/>
                <w:sz w:val="24"/>
                <w:szCs w:val="24"/>
              </w:rPr>
              <w:t xml:space="preserve">MARIAJOSÉ </w:t>
            </w:r>
          </w:p>
          <w:p w:rsidR="00010565" w:rsidRPr="00010565" w:rsidRDefault="00010565" w:rsidP="00293902">
            <w:pPr>
              <w:spacing w:after="0"/>
              <w:ind w:left="360" w:firstLine="36"/>
              <w:jc w:val="center"/>
              <w:rPr>
                <w:rFonts w:ascii="Arial" w:eastAsia="Arial Unicode MS" w:hAnsi="Arial" w:cs="Arial"/>
                <w:b/>
                <w:color w:val="2E74B5" w:themeColor="accent1" w:themeShade="BF"/>
                <w:sz w:val="24"/>
                <w:szCs w:val="24"/>
              </w:rPr>
            </w:pPr>
            <w:r w:rsidRPr="00010565">
              <w:rPr>
                <w:rFonts w:ascii="Arial" w:eastAsia="Arial Unicode MS" w:hAnsi="Arial" w:cs="Arial"/>
                <w:b/>
                <w:color w:val="2E74B5" w:themeColor="accent1" w:themeShade="BF"/>
                <w:sz w:val="24"/>
                <w:szCs w:val="24"/>
              </w:rPr>
              <w:t xml:space="preserve">GONZÁLEZ ZARZOSA </w:t>
            </w:r>
          </w:p>
          <w:p w:rsidR="00010565" w:rsidRPr="00010565" w:rsidRDefault="00010565" w:rsidP="00293902">
            <w:pPr>
              <w:pStyle w:val="Textonotapie"/>
              <w:ind w:right="-4077"/>
              <w:rPr>
                <w:rFonts w:ascii="Arial" w:eastAsia="Arial Unicode MS" w:hAnsi="Arial" w:cs="Arial"/>
                <w:b/>
                <w:color w:val="2E74B5" w:themeColor="accent1" w:themeShade="BF"/>
                <w:sz w:val="24"/>
                <w:szCs w:val="24"/>
              </w:rPr>
            </w:pPr>
            <w:r w:rsidRPr="00010565">
              <w:rPr>
                <w:rFonts w:ascii="Arial" w:eastAsia="Arial Unicode MS" w:hAnsi="Arial" w:cs="Arial"/>
                <w:b/>
                <w:color w:val="2E74B5" w:themeColor="accent1" w:themeShade="BF"/>
                <w:sz w:val="24"/>
                <w:szCs w:val="24"/>
              </w:rPr>
              <w:t xml:space="preserve"> </w:t>
            </w:r>
          </w:p>
        </w:tc>
        <w:tc>
          <w:tcPr>
            <w:tcW w:w="5055" w:type="dxa"/>
            <w:gridSpan w:val="2"/>
          </w:tcPr>
          <w:p w:rsidR="00010565" w:rsidRPr="00010565" w:rsidRDefault="00010565" w:rsidP="00293902">
            <w:pPr>
              <w:spacing w:after="0"/>
              <w:ind w:left="360" w:firstLine="708"/>
              <w:rPr>
                <w:rFonts w:ascii="Arial" w:eastAsia="Arial Unicode MS" w:hAnsi="Arial" w:cs="Arial"/>
                <w:b/>
                <w:color w:val="2E74B5" w:themeColor="accent1" w:themeShade="BF"/>
                <w:sz w:val="24"/>
                <w:szCs w:val="24"/>
              </w:rPr>
            </w:pPr>
            <w:r w:rsidRPr="00010565">
              <w:rPr>
                <w:rFonts w:ascii="Arial" w:eastAsia="Arial Unicode MS" w:hAnsi="Arial" w:cs="Arial"/>
                <w:b/>
                <w:color w:val="2E74B5" w:themeColor="accent1" w:themeShade="BF"/>
                <w:sz w:val="24"/>
                <w:szCs w:val="24"/>
              </w:rPr>
              <w:t xml:space="preserve">              COMISIONADO </w:t>
            </w:r>
          </w:p>
          <w:p w:rsidR="00010565" w:rsidRPr="00010565" w:rsidRDefault="00010565" w:rsidP="00293902">
            <w:pPr>
              <w:spacing w:after="0"/>
              <w:ind w:left="360" w:firstLine="708"/>
              <w:jc w:val="center"/>
              <w:rPr>
                <w:rFonts w:ascii="Arial" w:eastAsia="Arial Unicode MS" w:hAnsi="Arial" w:cs="Arial"/>
                <w:b/>
                <w:color w:val="2E74B5" w:themeColor="accent1" w:themeShade="BF"/>
                <w:sz w:val="24"/>
                <w:szCs w:val="24"/>
              </w:rPr>
            </w:pPr>
          </w:p>
          <w:p w:rsidR="00010565" w:rsidRPr="00010565" w:rsidRDefault="00010565" w:rsidP="00293902">
            <w:pPr>
              <w:spacing w:after="0"/>
              <w:ind w:left="360" w:firstLine="708"/>
              <w:jc w:val="center"/>
              <w:rPr>
                <w:rFonts w:ascii="Arial" w:eastAsia="Arial Unicode MS" w:hAnsi="Arial" w:cs="Arial"/>
                <w:b/>
                <w:color w:val="2E74B5" w:themeColor="accent1" w:themeShade="BF"/>
                <w:sz w:val="24"/>
                <w:szCs w:val="24"/>
              </w:rPr>
            </w:pPr>
          </w:p>
          <w:p w:rsidR="00010565" w:rsidRPr="00010565" w:rsidRDefault="00010565" w:rsidP="00293902">
            <w:pPr>
              <w:spacing w:after="0"/>
              <w:rPr>
                <w:rFonts w:ascii="Arial" w:eastAsia="Arial Unicode MS" w:hAnsi="Arial" w:cs="Arial"/>
                <w:b/>
                <w:color w:val="2E74B5" w:themeColor="accent1" w:themeShade="BF"/>
                <w:sz w:val="24"/>
                <w:szCs w:val="24"/>
              </w:rPr>
            </w:pPr>
            <w:r w:rsidRPr="00010565">
              <w:rPr>
                <w:rFonts w:ascii="Arial" w:eastAsia="Arial Unicode MS" w:hAnsi="Arial" w:cs="Arial"/>
                <w:b/>
                <w:color w:val="2E74B5" w:themeColor="accent1" w:themeShade="BF"/>
                <w:sz w:val="24"/>
                <w:szCs w:val="24"/>
              </w:rPr>
              <w:t xml:space="preserve">                     MTRO. ALEJANDRO </w:t>
            </w:r>
          </w:p>
          <w:p w:rsidR="00010565" w:rsidRPr="00010565" w:rsidRDefault="00010565" w:rsidP="00293902">
            <w:pPr>
              <w:pStyle w:val="corte4fondo"/>
              <w:tabs>
                <w:tab w:val="left" w:pos="567"/>
              </w:tabs>
              <w:spacing w:line="276" w:lineRule="auto"/>
              <w:ind w:firstLine="0"/>
              <w:rPr>
                <w:rFonts w:cs="Arial"/>
                <w:i/>
                <w:color w:val="2E74B5" w:themeColor="accent1" w:themeShade="BF"/>
                <w:sz w:val="10"/>
                <w:szCs w:val="10"/>
                <w:lang w:eastAsia="en-US"/>
              </w:rPr>
            </w:pPr>
            <w:r w:rsidRPr="00010565">
              <w:rPr>
                <w:rFonts w:eastAsia="Arial Unicode MS" w:cs="Arial"/>
                <w:b/>
                <w:color w:val="2E74B5" w:themeColor="accent1" w:themeShade="BF"/>
                <w:sz w:val="24"/>
                <w:szCs w:val="24"/>
                <w:lang w:eastAsia="en-US"/>
              </w:rPr>
              <w:t xml:space="preserve">                    LAFUENTE TORRES</w:t>
            </w:r>
          </w:p>
          <w:p w:rsidR="00010565" w:rsidRPr="00010565" w:rsidRDefault="00010565" w:rsidP="00293902">
            <w:pPr>
              <w:spacing w:after="0"/>
              <w:ind w:left="360" w:firstLine="708"/>
              <w:jc w:val="center"/>
              <w:rPr>
                <w:rFonts w:ascii="Arial" w:eastAsia="Arial Unicode MS" w:hAnsi="Arial" w:cs="Arial"/>
                <w:b/>
                <w:color w:val="2E74B5" w:themeColor="accent1" w:themeShade="BF"/>
                <w:sz w:val="24"/>
                <w:szCs w:val="24"/>
              </w:rPr>
            </w:pPr>
          </w:p>
          <w:p w:rsidR="00010565" w:rsidRPr="00010565" w:rsidRDefault="00010565" w:rsidP="00293902">
            <w:pPr>
              <w:pStyle w:val="corte4fondo"/>
              <w:tabs>
                <w:tab w:val="left" w:pos="567"/>
              </w:tabs>
              <w:spacing w:line="276" w:lineRule="auto"/>
              <w:ind w:firstLine="0"/>
              <w:rPr>
                <w:rFonts w:eastAsia="Arial Unicode MS" w:cs="Arial"/>
                <w:b/>
                <w:color w:val="2E74B5" w:themeColor="accent1" w:themeShade="BF"/>
                <w:sz w:val="24"/>
                <w:szCs w:val="24"/>
                <w:lang w:eastAsia="en-US"/>
              </w:rPr>
            </w:pPr>
            <w:r w:rsidRPr="00010565">
              <w:rPr>
                <w:rFonts w:eastAsia="Arial Unicode MS" w:cs="Arial"/>
                <w:b/>
                <w:color w:val="2E74B5" w:themeColor="accent1" w:themeShade="BF"/>
                <w:sz w:val="24"/>
                <w:szCs w:val="24"/>
                <w:lang w:eastAsia="en-US"/>
              </w:rPr>
              <w:t xml:space="preserve">                                                                                                             </w:t>
            </w:r>
          </w:p>
          <w:p w:rsidR="00010565" w:rsidRPr="00010565" w:rsidRDefault="00010565" w:rsidP="00293902">
            <w:pPr>
              <w:pStyle w:val="corte4fondo"/>
              <w:tabs>
                <w:tab w:val="left" w:pos="567"/>
              </w:tabs>
              <w:spacing w:line="276" w:lineRule="auto"/>
              <w:ind w:left="743" w:firstLine="0"/>
              <w:jc w:val="left"/>
              <w:rPr>
                <w:rFonts w:eastAsia="Arial Unicode MS" w:cs="Arial"/>
                <w:b/>
                <w:color w:val="2E74B5" w:themeColor="accent1" w:themeShade="BF"/>
                <w:sz w:val="24"/>
                <w:szCs w:val="24"/>
                <w:lang w:eastAsia="en-US"/>
              </w:rPr>
            </w:pPr>
          </w:p>
          <w:p w:rsidR="00010565" w:rsidRPr="00010565" w:rsidRDefault="00010565" w:rsidP="00293902">
            <w:pPr>
              <w:ind w:left="176"/>
              <w:rPr>
                <w:color w:val="2E74B5" w:themeColor="accent1" w:themeShade="BF"/>
                <w:lang w:eastAsia="es-MX"/>
              </w:rPr>
            </w:pPr>
          </w:p>
        </w:tc>
      </w:tr>
      <w:tr w:rsidR="00010565" w:rsidRPr="00010565" w:rsidTr="00293902">
        <w:trPr>
          <w:trHeight w:val="1328"/>
        </w:trPr>
        <w:tc>
          <w:tcPr>
            <w:tcW w:w="4376" w:type="dxa"/>
          </w:tcPr>
          <w:p w:rsidR="00010565" w:rsidRPr="00010565" w:rsidRDefault="00010565" w:rsidP="00293902">
            <w:pPr>
              <w:spacing w:after="0"/>
              <w:ind w:left="360" w:hanging="360"/>
              <w:jc w:val="center"/>
              <w:rPr>
                <w:rFonts w:ascii="Arial" w:eastAsia="Arial Unicode MS" w:hAnsi="Arial" w:cs="Arial"/>
                <w:b/>
                <w:color w:val="2E74B5" w:themeColor="accent1" w:themeShade="BF"/>
                <w:sz w:val="24"/>
                <w:szCs w:val="24"/>
              </w:rPr>
            </w:pPr>
            <w:r w:rsidRPr="00010565">
              <w:rPr>
                <w:rFonts w:ascii="Arial" w:eastAsia="Arial Unicode MS" w:hAnsi="Arial" w:cs="Arial"/>
                <w:b/>
                <w:color w:val="2E74B5" w:themeColor="accent1" w:themeShade="BF"/>
                <w:sz w:val="24"/>
                <w:szCs w:val="24"/>
              </w:rPr>
              <w:t>COMISIONADA PRESIDENTE</w:t>
            </w:r>
          </w:p>
          <w:p w:rsidR="00010565" w:rsidRPr="00010565" w:rsidRDefault="00010565" w:rsidP="00293902">
            <w:pPr>
              <w:spacing w:after="0"/>
              <w:ind w:left="360"/>
              <w:rPr>
                <w:rFonts w:ascii="Arial" w:eastAsia="Arial Unicode MS" w:hAnsi="Arial" w:cs="Arial"/>
                <w:b/>
                <w:color w:val="2E74B5" w:themeColor="accent1" w:themeShade="BF"/>
                <w:sz w:val="24"/>
                <w:szCs w:val="24"/>
              </w:rPr>
            </w:pPr>
          </w:p>
          <w:p w:rsidR="00010565" w:rsidRPr="00010565" w:rsidRDefault="00010565" w:rsidP="00293902">
            <w:pPr>
              <w:spacing w:after="0"/>
              <w:ind w:left="360"/>
              <w:rPr>
                <w:rFonts w:ascii="Arial" w:eastAsia="Arial Unicode MS" w:hAnsi="Arial" w:cs="Arial"/>
                <w:b/>
                <w:color w:val="2E74B5" w:themeColor="accent1" w:themeShade="BF"/>
                <w:sz w:val="24"/>
                <w:szCs w:val="24"/>
              </w:rPr>
            </w:pPr>
          </w:p>
          <w:p w:rsidR="00010565" w:rsidRPr="00010565" w:rsidRDefault="00010565" w:rsidP="00293902">
            <w:pPr>
              <w:spacing w:after="0"/>
              <w:ind w:left="360"/>
              <w:rPr>
                <w:rFonts w:ascii="Arial" w:eastAsia="Arial Unicode MS" w:hAnsi="Arial" w:cs="Arial"/>
                <w:b/>
                <w:color w:val="2E74B5" w:themeColor="accent1" w:themeShade="BF"/>
                <w:sz w:val="24"/>
                <w:szCs w:val="24"/>
              </w:rPr>
            </w:pPr>
          </w:p>
          <w:p w:rsidR="00010565" w:rsidRPr="00010565" w:rsidRDefault="00010565" w:rsidP="00293902">
            <w:pPr>
              <w:spacing w:after="0"/>
              <w:jc w:val="center"/>
              <w:rPr>
                <w:rFonts w:ascii="Arial" w:eastAsia="Arial Unicode MS" w:hAnsi="Arial" w:cs="Arial"/>
                <w:b/>
                <w:color w:val="2E74B5" w:themeColor="accent1" w:themeShade="BF"/>
                <w:sz w:val="24"/>
                <w:szCs w:val="24"/>
              </w:rPr>
            </w:pPr>
            <w:r w:rsidRPr="00010565">
              <w:rPr>
                <w:rFonts w:ascii="Arial" w:eastAsia="Arial Unicode MS" w:hAnsi="Arial" w:cs="Arial"/>
                <w:b/>
                <w:color w:val="2E74B5" w:themeColor="accent1" w:themeShade="BF"/>
                <w:sz w:val="24"/>
                <w:szCs w:val="24"/>
              </w:rPr>
              <w:t xml:space="preserve">LIC. PAULINA SÁNCHEZ </w:t>
            </w:r>
          </w:p>
          <w:p w:rsidR="00010565" w:rsidRPr="00010565" w:rsidRDefault="00010565" w:rsidP="00293902">
            <w:pPr>
              <w:spacing w:after="0"/>
              <w:jc w:val="center"/>
              <w:rPr>
                <w:rFonts w:ascii="Arial" w:eastAsia="Arial Unicode MS" w:hAnsi="Arial" w:cs="Arial"/>
                <w:b/>
                <w:color w:val="2E74B5" w:themeColor="accent1" w:themeShade="BF"/>
                <w:sz w:val="24"/>
                <w:szCs w:val="24"/>
              </w:rPr>
            </w:pPr>
            <w:r w:rsidRPr="00010565">
              <w:rPr>
                <w:rFonts w:ascii="Arial" w:eastAsia="Arial Unicode MS" w:hAnsi="Arial" w:cs="Arial"/>
                <w:b/>
                <w:color w:val="2E74B5" w:themeColor="accent1" w:themeShade="BF"/>
                <w:sz w:val="24"/>
                <w:szCs w:val="24"/>
              </w:rPr>
              <w:t>PÉREZ DEL POZO</w:t>
            </w:r>
          </w:p>
          <w:p w:rsidR="00010565" w:rsidRPr="00010565" w:rsidRDefault="00010565" w:rsidP="00293902">
            <w:pPr>
              <w:spacing w:after="0"/>
              <w:ind w:left="360" w:firstLine="36"/>
              <w:jc w:val="center"/>
              <w:rPr>
                <w:rFonts w:ascii="Arial" w:eastAsia="Arial Unicode MS" w:hAnsi="Arial" w:cs="Arial"/>
                <w:b/>
                <w:color w:val="2E74B5" w:themeColor="accent1" w:themeShade="BF"/>
                <w:sz w:val="24"/>
                <w:szCs w:val="24"/>
              </w:rPr>
            </w:pPr>
          </w:p>
        </w:tc>
        <w:tc>
          <w:tcPr>
            <w:tcW w:w="321" w:type="dxa"/>
            <w:gridSpan w:val="2"/>
          </w:tcPr>
          <w:p w:rsidR="00010565" w:rsidRPr="00010565" w:rsidRDefault="00010565" w:rsidP="00293902">
            <w:pPr>
              <w:spacing w:after="0"/>
              <w:ind w:left="360" w:firstLine="708"/>
              <w:jc w:val="center"/>
              <w:rPr>
                <w:rFonts w:ascii="Arial" w:eastAsia="Arial Unicode MS" w:hAnsi="Arial" w:cs="Arial"/>
                <w:b/>
                <w:color w:val="2E74B5" w:themeColor="accent1" w:themeShade="BF"/>
                <w:sz w:val="24"/>
                <w:szCs w:val="24"/>
              </w:rPr>
            </w:pPr>
          </w:p>
        </w:tc>
        <w:tc>
          <w:tcPr>
            <w:tcW w:w="4820" w:type="dxa"/>
          </w:tcPr>
          <w:p w:rsidR="00010565" w:rsidRPr="00010565" w:rsidRDefault="00010565" w:rsidP="00293902">
            <w:pPr>
              <w:spacing w:after="0"/>
              <w:ind w:left="360" w:firstLine="708"/>
              <w:rPr>
                <w:rFonts w:ascii="Arial" w:eastAsia="Arial Unicode MS" w:hAnsi="Arial" w:cs="Arial"/>
                <w:b/>
                <w:color w:val="2E74B5" w:themeColor="accent1" w:themeShade="BF"/>
                <w:sz w:val="24"/>
                <w:szCs w:val="24"/>
              </w:rPr>
            </w:pPr>
            <w:r w:rsidRPr="00010565">
              <w:rPr>
                <w:rFonts w:ascii="Arial" w:eastAsia="Arial Unicode MS" w:hAnsi="Arial" w:cs="Arial"/>
                <w:b/>
                <w:color w:val="2E74B5" w:themeColor="accent1" w:themeShade="BF"/>
                <w:sz w:val="24"/>
                <w:szCs w:val="24"/>
              </w:rPr>
              <w:t>SECRETARIA DE PLENO</w:t>
            </w:r>
          </w:p>
          <w:p w:rsidR="00010565" w:rsidRPr="00010565" w:rsidRDefault="00010565" w:rsidP="00293902">
            <w:pPr>
              <w:spacing w:after="0"/>
              <w:ind w:left="360" w:firstLine="708"/>
              <w:jc w:val="center"/>
              <w:rPr>
                <w:rFonts w:ascii="Arial" w:eastAsia="Arial Unicode MS" w:hAnsi="Arial" w:cs="Arial"/>
                <w:b/>
                <w:color w:val="2E74B5" w:themeColor="accent1" w:themeShade="BF"/>
                <w:sz w:val="24"/>
                <w:szCs w:val="24"/>
              </w:rPr>
            </w:pPr>
          </w:p>
          <w:p w:rsidR="00010565" w:rsidRPr="00010565" w:rsidRDefault="00010565" w:rsidP="00293902">
            <w:pPr>
              <w:spacing w:after="0"/>
              <w:ind w:left="360" w:firstLine="708"/>
              <w:jc w:val="center"/>
              <w:rPr>
                <w:rFonts w:ascii="Arial" w:eastAsia="Arial Unicode MS" w:hAnsi="Arial" w:cs="Arial"/>
                <w:b/>
                <w:color w:val="2E74B5" w:themeColor="accent1" w:themeShade="BF"/>
                <w:sz w:val="24"/>
                <w:szCs w:val="24"/>
              </w:rPr>
            </w:pPr>
          </w:p>
          <w:p w:rsidR="00010565" w:rsidRPr="00010565" w:rsidRDefault="00010565" w:rsidP="00293902">
            <w:pPr>
              <w:spacing w:after="0"/>
              <w:ind w:left="360" w:firstLine="708"/>
              <w:jc w:val="center"/>
              <w:rPr>
                <w:rFonts w:ascii="Arial" w:eastAsia="Arial Unicode MS" w:hAnsi="Arial" w:cs="Arial"/>
                <w:b/>
                <w:color w:val="2E74B5" w:themeColor="accent1" w:themeShade="BF"/>
                <w:sz w:val="24"/>
                <w:szCs w:val="24"/>
              </w:rPr>
            </w:pPr>
          </w:p>
          <w:p w:rsidR="00010565" w:rsidRPr="00010565" w:rsidRDefault="00010565" w:rsidP="00293902">
            <w:pPr>
              <w:spacing w:after="0"/>
              <w:ind w:left="360" w:hanging="360"/>
              <w:jc w:val="center"/>
              <w:rPr>
                <w:rFonts w:ascii="Arial" w:eastAsia="Arial Unicode MS" w:hAnsi="Arial" w:cs="Arial"/>
                <w:b/>
                <w:color w:val="2E74B5" w:themeColor="accent1" w:themeShade="BF"/>
                <w:sz w:val="24"/>
                <w:szCs w:val="24"/>
              </w:rPr>
            </w:pPr>
            <w:r w:rsidRPr="00010565">
              <w:rPr>
                <w:rFonts w:ascii="Arial" w:eastAsia="Arial Unicode MS" w:hAnsi="Arial" w:cs="Arial"/>
                <w:b/>
                <w:color w:val="2E74B5" w:themeColor="accent1" w:themeShade="BF"/>
                <w:sz w:val="24"/>
                <w:szCs w:val="24"/>
              </w:rPr>
              <w:t xml:space="preserve">LIC. ROSA MARÍA MOTILLA GARCÍA </w:t>
            </w:r>
          </w:p>
        </w:tc>
      </w:tr>
    </w:tbl>
    <w:p w:rsidR="00010565" w:rsidRPr="00010565" w:rsidRDefault="00010565" w:rsidP="00010565">
      <w:pPr>
        <w:pStyle w:val="corte4fondo"/>
        <w:tabs>
          <w:tab w:val="left" w:pos="567"/>
        </w:tabs>
        <w:spacing w:line="276" w:lineRule="auto"/>
        <w:ind w:firstLine="0"/>
        <w:rPr>
          <w:rFonts w:cs="Arial"/>
          <w:color w:val="2E74B5" w:themeColor="accent1" w:themeShade="BF"/>
          <w:sz w:val="12"/>
          <w:szCs w:val="12"/>
        </w:rPr>
      </w:pPr>
    </w:p>
    <w:p w:rsidR="00010565" w:rsidRPr="00010565" w:rsidRDefault="00010565" w:rsidP="00010565">
      <w:pPr>
        <w:pStyle w:val="corte4fondo"/>
        <w:tabs>
          <w:tab w:val="left" w:pos="567"/>
        </w:tabs>
        <w:spacing w:line="276" w:lineRule="auto"/>
        <w:ind w:firstLine="0"/>
        <w:rPr>
          <w:rFonts w:cs="Arial"/>
          <w:color w:val="2E74B5" w:themeColor="accent1" w:themeShade="BF"/>
          <w:sz w:val="12"/>
          <w:szCs w:val="12"/>
        </w:rPr>
      </w:pPr>
      <w:r w:rsidRPr="00010565">
        <w:rPr>
          <w:rFonts w:cs="Arial"/>
          <w:color w:val="2E74B5" w:themeColor="accent1" w:themeShade="BF"/>
          <w:sz w:val="12"/>
          <w:szCs w:val="12"/>
        </w:rPr>
        <w:t>*ESTAS FIRMAS PERTENECEN A LA RESOLUCIÓN DE LA REVISIÓN 65</w:t>
      </w:r>
      <w:r w:rsidR="00915AFD">
        <w:rPr>
          <w:rFonts w:cs="Arial"/>
          <w:color w:val="2E74B5" w:themeColor="accent1" w:themeShade="BF"/>
          <w:sz w:val="12"/>
          <w:szCs w:val="12"/>
        </w:rPr>
        <w:t>6</w:t>
      </w:r>
      <w:r w:rsidRPr="00010565">
        <w:rPr>
          <w:rFonts w:cs="Arial"/>
          <w:color w:val="2E74B5" w:themeColor="accent1" w:themeShade="BF"/>
          <w:sz w:val="12"/>
          <w:szCs w:val="12"/>
        </w:rPr>
        <w:t>/201</w:t>
      </w:r>
      <w:r w:rsidR="00915AFD">
        <w:rPr>
          <w:rFonts w:cs="Arial"/>
          <w:color w:val="2E74B5" w:themeColor="accent1" w:themeShade="BF"/>
          <w:sz w:val="12"/>
          <w:szCs w:val="12"/>
        </w:rPr>
        <w:t xml:space="preserve">9-2 QUE FUE INTERPUESTO CONTRA </w:t>
      </w:r>
      <w:r w:rsidRPr="00010565">
        <w:rPr>
          <w:rFonts w:cs="Arial"/>
          <w:color w:val="2E74B5" w:themeColor="accent1" w:themeShade="BF"/>
          <w:sz w:val="12"/>
          <w:szCs w:val="12"/>
        </w:rPr>
        <w:t xml:space="preserve">EL  H. AYUNTAMIENTO DE SAN LUIS POTOSÍ, Y QUE FUE APROBADA EN LA SESIÓN EXTRAORDINARIA DE 15  QUINCE  DE AGOSTO DE 2019 DOS MIL DIECINUEVE.             </w:t>
      </w:r>
    </w:p>
    <w:p w:rsidR="00010565" w:rsidRPr="00010565" w:rsidRDefault="00010565" w:rsidP="00010565">
      <w:pPr>
        <w:pStyle w:val="corte4fondo"/>
        <w:tabs>
          <w:tab w:val="left" w:pos="567"/>
        </w:tabs>
        <w:spacing w:line="276" w:lineRule="auto"/>
        <w:ind w:firstLine="0"/>
        <w:rPr>
          <w:rFonts w:cs="Arial"/>
          <w:color w:val="2E74B5" w:themeColor="accent1" w:themeShade="BF"/>
          <w:sz w:val="12"/>
          <w:szCs w:val="12"/>
        </w:rPr>
      </w:pPr>
    </w:p>
    <w:p w:rsidR="00010565" w:rsidRPr="00010565" w:rsidRDefault="00010565" w:rsidP="00010565">
      <w:pPr>
        <w:pStyle w:val="corte4fondo"/>
        <w:tabs>
          <w:tab w:val="left" w:pos="567"/>
        </w:tabs>
        <w:spacing w:line="276" w:lineRule="auto"/>
        <w:ind w:firstLine="0"/>
        <w:rPr>
          <w:rFonts w:cs="Arial"/>
          <w:color w:val="2E74B5" w:themeColor="accent1" w:themeShade="BF"/>
          <w:sz w:val="12"/>
          <w:szCs w:val="12"/>
        </w:rPr>
      </w:pPr>
    </w:p>
    <w:p w:rsidR="00010565" w:rsidRPr="00010565" w:rsidRDefault="00010565" w:rsidP="00010565">
      <w:pPr>
        <w:pStyle w:val="corte4fondo"/>
        <w:tabs>
          <w:tab w:val="left" w:pos="567"/>
        </w:tabs>
        <w:spacing w:line="276" w:lineRule="auto"/>
        <w:ind w:firstLine="0"/>
        <w:rPr>
          <w:rFonts w:cs="Arial"/>
          <w:color w:val="2E74B5" w:themeColor="accent1" w:themeShade="BF"/>
          <w:sz w:val="14"/>
          <w:szCs w:val="16"/>
        </w:rPr>
      </w:pPr>
    </w:p>
    <w:p w:rsidR="00010565" w:rsidRPr="00010565" w:rsidRDefault="00010565" w:rsidP="00010565">
      <w:pPr>
        <w:pStyle w:val="corte4fondo"/>
        <w:tabs>
          <w:tab w:val="left" w:pos="567"/>
        </w:tabs>
        <w:spacing w:line="276" w:lineRule="auto"/>
        <w:ind w:firstLine="0"/>
        <w:rPr>
          <w:color w:val="2E74B5" w:themeColor="accent1" w:themeShade="BF"/>
        </w:rPr>
      </w:pPr>
      <w:r w:rsidRPr="00010565">
        <w:rPr>
          <w:rFonts w:cs="Arial"/>
          <w:i/>
          <w:color w:val="2E74B5" w:themeColor="accent1" w:themeShade="BF"/>
          <w:sz w:val="10"/>
          <w:szCs w:val="10"/>
        </w:rPr>
        <w:t xml:space="preserve">*ECMG </w:t>
      </w:r>
    </w:p>
    <w:p w:rsidR="00E07F73" w:rsidRPr="002868AD" w:rsidRDefault="00E07F73" w:rsidP="00451110">
      <w:pPr>
        <w:pStyle w:val="corte4fondo"/>
        <w:spacing w:line="276" w:lineRule="auto"/>
        <w:ind w:firstLine="0"/>
        <w:jc w:val="left"/>
        <w:rPr>
          <w:rFonts w:cs="Arial"/>
          <w:i/>
          <w:color w:val="2E74B5" w:themeColor="accent1" w:themeShade="BF"/>
          <w:sz w:val="20"/>
        </w:rPr>
      </w:pPr>
    </w:p>
    <w:sectPr w:rsidR="00E07F73" w:rsidRPr="002868AD" w:rsidSect="0041100E">
      <w:headerReference w:type="default" r:id="rId10"/>
      <w:footerReference w:type="default" r:id="rId11"/>
      <w:pgSz w:w="12240" w:h="20160" w:code="5"/>
      <w:pgMar w:top="2835" w:right="851" w:bottom="2268" w:left="2552"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6B55" w:rsidRDefault="00196B55" w:rsidP="0082319B">
      <w:pPr>
        <w:spacing w:after="0" w:line="240" w:lineRule="auto"/>
      </w:pPr>
      <w:r>
        <w:separator/>
      </w:r>
    </w:p>
  </w:endnote>
  <w:endnote w:type="continuationSeparator" w:id="0">
    <w:p w:rsidR="00196B55" w:rsidRDefault="00196B55" w:rsidP="0082319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5E96" w:rsidRDefault="003A5E96" w:rsidP="00387B0C">
    <w:pPr>
      <w:pStyle w:val="Piedepgina"/>
    </w:pPr>
  </w:p>
  <w:p w:rsidR="003A5E96" w:rsidRDefault="003A5E96">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6B55" w:rsidRDefault="00196B55" w:rsidP="0082319B">
      <w:pPr>
        <w:spacing w:after="0" w:line="240" w:lineRule="auto"/>
      </w:pPr>
      <w:r>
        <w:separator/>
      </w:r>
    </w:p>
  </w:footnote>
  <w:footnote w:type="continuationSeparator" w:id="0">
    <w:p w:rsidR="00196B55" w:rsidRDefault="00196B55" w:rsidP="0082319B">
      <w:pPr>
        <w:spacing w:after="0" w:line="240" w:lineRule="auto"/>
      </w:pPr>
      <w:r>
        <w:continuationSeparator/>
      </w:r>
    </w:p>
  </w:footnote>
  <w:footnote w:id="1">
    <w:p w:rsidR="00B3221C" w:rsidRDefault="00B3221C">
      <w:pPr>
        <w:pStyle w:val="Textonotapie"/>
      </w:pPr>
      <w:r>
        <w:rPr>
          <w:rStyle w:val="Refdenotaalpie"/>
        </w:rPr>
        <w:footnoteRef/>
      </w:r>
      <w:r>
        <w:t xml:space="preserve"> </w:t>
      </w:r>
      <w:r>
        <w:rPr>
          <w:rFonts w:ascii="Arial" w:hAnsi="Arial" w:cs="Arial"/>
          <w:color w:val="1F4E79" w:themeColor="accent1" w:themeShade="80"/>
          <w:sz w:val="16"/>
          <w:szCs w:val="16"/>
        </w:rPr>
        <w:t xml:space="preserve">Visible a foja 18 </w:t>
      </w:r>
      <w:r w:rsidRPr="000403B1">
        <w:rPr>
          <w:rFonts w:ascii="Arial" w:hAnsi="Arial" w:cs="Arial"/>
          <w:color w:val="1F4E79" w:themeColor="accent1" w:themeShade="80"/>
          <w:sz w:val="16"/>
          <w:szCs w:val="16"/>
        </w:rPr>
        <w:t>de autos</w:t>
      </w:r>
    </w:p>
  </w:footnote>
  <w:footnote w:id="2">
    <w:p w:rsidR="003A5E96" w:rsidRPr="003B7B47" w:rsidRDefault="003A5E96" w:rsidP="0082319B">
      <w:pPr>
        <w:pStyle w:val="Textonotapie"/>
        <w:jc w:val="both"/>
        <w:rPr>
          <w:rFonts w:ascii="Arial" w:hAnsi="Arial" w:cs="Arial"/>
          <w:sz w:val="16"/>
          <w:szCs w:val="16"/>
        </w:rPr>
      </w:pPr>
      <w:r w:rsidRPr="000403B1">
        <w:rPr>
          <w:rStyle w:val="Refdenotaalpie"/>
          <w:rFonts w:ascii="Arial" w:hAnsi="Arial" w:cs="Arial"/>
          <w:color w:val="1F4E79" w:themeColor="accent1" w:themeShade="80"/>
          <w:sz w:val="16"/>
          <w:szCs w:val="16"/>
        </w:rPr>
        <w:footnoteRef/>
      </w:r>
      <w:r w:rsidR="0052220E">
        <w:rPr>
          <w:rFonts w:ascii="Arial" w:hAnsi="Arial" w:cs="Arial"/>
          <w:color w:val="1F4E79" w:themeColor="accent1" w:themeShade="80"/>
          <w:sz w:val="16"/>
          <w:szCs w:val="16"/>
        </w:rPr>
        <w:t xml:space="preserve">Visible a fojas 22, </w:t>
      </w:r>
      <w:r w:rsidR="00826230">
        <w:rPr>
          <w:rFonts w:ascii="Arial" w:hAnsi="Arial" w:cs="Arial"/>
          <w:color w:val="1F4E79" w:themeColor="accent1" w:themeShade="80"/>
          <w:sz w:val="16"/>
          <w:szCs w:val="16"/>
        </w:rPr>
        <w:t>23</w:t>
      </w:r>
      <w:r w:rsidR="0052220E">
        <w:rPr>
          <w:rFonts w:ascii="Arial" w:hAnsi="Arial" w:cs="Arial"/>
          <w:color w:val="1F4E79" w:themeColor="accent1" w:themeShade="80"/>
          <w:sz w:val="16"/>
          <w:szCs w:val="16"/>
        </w:rPr>
        <w:t xml:space="preserve"> y 24</w:t>
      </w:r>
      <w:r w:rsidRPr="000403B1">
        <w:rPr>
          <w:rFonts w:ascii="Arial" w:hAnsi="Arial" w:cs="Arial"/>
          <w:color w:val="1F4E79" w:themeColor="accent1" w:themeShade="80"/>
          <w:sz w:val="16"/>
          <w:szCs w:val="16"/>
        </w:rPr>
        <w:t xml:space="preserve"> de autos.</w:t>
      </w:r>
      <w:r w:rsidRPr="00386E70">
        <w:rPr>
          <w:rFonts w:ascii="Arial" w:hAnsi="Arial" w:cs="Arial"/>
          <w:color w:val="2E74B5" w:themeColor="accent1" w:themeShade="BF"/>
          <w:sz w:val="16"/>
          <w:szCs w:val="16"/>
        </w:rPr>
        <w:t xml:space="preserve"> </w:t>
      </w:r>
    </w:p>
  </w:footnote>
  <w:footnote w:id="3">
    <w:p w:rsidR="00010565" w:rsidRPr="00E13C2B" w:rsidRDefault="00010565" w:rsidP="00010565">
      <w:pPr>
        <w:pStyle w:val="corte4fondo"/>
        <w:spacing w:line="240" w:lineRule="auto"/>
        <w:ind w:right="49" w:firstLine="0"/>
        <w:rPr>
          <w:rFonts w:cs="Arial"/>
          <w:color w:val="5B9BD5" w:themeColor="accent1"/>
          <w:sz w:val="24"/>
          <w:szCs w:val="24"/>
        </w:rPr>
      </w:pPr>
      <w:r w:rsidRPr="00E13C2B">
        <w:rPr>
          <w:rStyle w:val="Refdenotaalpie"/>
          <w:color w:val="5B9BD5" w:themeColor="accent1"/>
          <w:sz w:val="16"/>
          <w:szCs w:val="16"/>
        </w:rPr>
        <w:footnoteRef/>
      </w:r>
      <w:r w:rsidRPr="00E13C2B">
        <w:rPr>
          <w:color w:val="5B9BD5" w:themeColor="accent1"/>
          <w:sz w:val="16"/>
          <w:szCs w:val="16"/>
        </w:rPr>
        <w:t xml:space="preserve"> </w:t>
      </w:r>
      <w:r w:rsidRPr="00E13C2B">
        <w:rPr>
          <w:rFonts w:cs="Arial"/>
          <w:color w:val="5B9BD5" w:themeColor="accent1"/>
          <w:sz w:val="16"/>
          <w:szCs w:val="16"/>
        </w:rPr>
        <w:t>Jurisprudencia número I.10o.A.79 A (10a.), visible en la Décima Época, de la Gaceta del Semanario Judicial de la Federación, Libro 60, Noviembre de 2018, Tomo III, p. 2318. Instancia: Tribunales Colegiados de Circuito, con Registro electrónico: 180023.</w:t>
      </w:r>
    </w:p>
  </w:footnote>
  <w:footnote w:id="4">
    <w:p w:rsidR="00010565" w:rsidRPr="008345BB" w:rsidRDefault="00010565" w:rsidP="00010565">
      <w:pPr>
        <w:pStyle w:val="Textonotapie"/>
        <w:jc w:val="both"/>
        <w:rPr>
          <w:rFonts w:ascii="Arial" w:hAnsi="Arial" w:cs="Arial"/>
          <w:color w:val="5B9BD5" w:themeColor="accent1"/>
          <w:sz w:val="14"/>
          <w:szCs w:val="14"/>
        </w:rPr>
      </w:pPr>
      <w:r w:rsidRPr="008345BB">
        <w:rPr>
          <w:rStyle w:val="Refdenotaalpie"/>
          <w:rFonts w:cs="Arial"/>
          <w:color w:val="5B9BD5" w:themeColor="accent1"/>
          <w:sz w:val="14"/>
          <w:szCs w:val="14"/>
        </w:rPr>
        <w:footnoteRef/>
      </w:r>
      <w:r w:rsidRPr="008345BB">
        <w:rPr>
          <w:rFonts w:ascii="Arial" w:hAnsi="Arial" w:cs="Arial"/>
          <w:color w:val="5B9BD5" w:themeColor="accent1"/>
          <w:sz w:val="14"/>
          <w:szCs w:val="14"/>
        </w:rPr>
        <w:t xml:space="preserve"> </w:t>
      </w:r>
      <w:r w:rsidRPr="008345BB">
        <w:rPr>
          <w:rFonts w:ascii="Arial" w:hAnsi="Arial" w:cs="Arial"/>
          <w:b/>
          <w:bCs/>
          <w:color w:val="5B9BD5" w:themeColor="accent1"/>
          <w:sz w:val="14"/>
          <w:szCs w:val="14"/>
        </w:rPr>
        <w:t xml:space="preserve">ARTICULO 7. </w:t>
      </w:r>
      <w:r w:rsidRPr="008345BB">
        <w:rPr>
          <w:rFonts w:ascii="Arial" w:hAnsi="Arial" w:cs="Arial"/>
          <w:color w:val="5B9BD5" w:themeColor="accent1"/>
          <w:sz w:val="14"/>
          <w:szCs w:val="14"/>
        </w:rPr>
        <w:t>El derecho de acceso a la información o la clasificación de la información se interpretarán bajo los principios establecidos en la Constitución Política de los Estados Unidos Mexicanos; los tratados internacionales de los que el Estado mexicano sea parte; y la presente Ley. En la aplicación e interpretación de la presente Ley deberá prevalecer el principio de máxima publicidad, conforme a lo dispuesto en la Constitución Política de los Estados Unidos Mexicanos; en los tratados internacionales de los que el Estado mexicano sea parte; así como en las resoluciones y sentencias vinculantes que emitan los órganos nacionales e internacionales especializados, favoreciendo en todo tiempo a las personas la protección más amplia. Para el caso de la interpretación, se podrá tomar en cuenta los criterios, determinaciones y opiniones de los organismos nacionales e internacionales, en materia de transparencia. Las disposiciones que regulen aspectos de transparencia y acceso a la información previstas en la legislación Estatal en su conjunto, deberán interpretarse armónicamente con la Ley General, atendiendo al principio pro persona.</w:t>
      </w:r>
    </w:p>
  </w:footnote>
  <w:footnote w:id="5">
    <w:p w:rsidR="00010565" w:rsidRPr="008345BB" w:rsidRDefault="00010565" w:rsidP="00010565">
      <w:pPr>
        <w:pStyle w:val="corte4fondo"/>
        <w:tabs>
          <w:tab w:val="left" w:pos="567"/>
        </w:tabs>
        <w:spacing w:line="276" w:lineRule="auto"/>
        <w:ind w:firstLine="0"/>
        <w:rPr>
          <w:rFonts w:cs="Arial"/>
          <w:color w:val="5B9BD5" w:themeColor="accent1"/>
          <w:sz w:val="14"/>
          <w:szCs w:val="14"/>
        </w:rPr>
      </w:pPr>
      <w:r w:rsidRPr="008345BB">
        <w:rPr>
          <w:rStyle w:val="Refdenotaalpie"/>
          <w:rFonts w:eastAsia="Calibri"/>
          <w:color w:val="5B9BD5" w:themeColor="accent1"/>
          <w:sz w:val="14"/>
          <w:szCs w:val="14"/>
        </w:rPr>
        <w:footnoteRef/>
      </w:r>
      <w:r w:rsidRPr="008345BB">
        <w:rPr>
          <w:color w:val="5B9BD5" w:themeColor="accent1"/>
          <w:sz w:val="14"/>
          <w:szCs w:val="14"/>
        </w:rPr>
        <w:t xml:space="preserve"> </w:t>
      </w:r>
      <w:r w:rsidRPr="008345BB">
        <w:rPr>
          <w:rFonts w:cs="Arial"/>
          <w:b/>
          <w:color w:val="5B9BD5" w:themeColor="accent1"/>
          <w:sz w:val="14"/>
          <w:szCs w:val="14"/>
        </w:rPr>
        <w:t>ARTÍCULO 165.</w:t>
      </w:r>
      <w:r w:rsidRPr="008345BB">
        <w:rPr>
          <w:rFonts w:cs="Arial"/>
          <w:color w:val="5B9BD5" w:themeColor="accent1"/>
          <w:sz w:val="14"/>
          <w:szCs w:val="14"/>
        </w:rPr>
        <w:t xml:space="preserve"> En caso de existir costos para obtener la información, deberán cubrirse de manera previa a la entrega y no podrán ser superiores a la suma de: I. El costo de los materiales utilizados en la reproducción de la información; II. El costo de envío, en su caso, y III. El pago de la certificación de los Documentos, cuando proceda. --Tratándose de la reproducción en medios magnéticos, si el solicitante aporta el medio en el que será almacenada la información, la reproducción será totalmente gratuita. --Los sujetos obligados llevarán a cabo la reproducción y/o envío de la información solicitada, previo pago de los derechos correspondientes. --La información deberá ser entregada sin costo, cuando implique la entrega de no más de veinte hojas simples. Las unidades de transparencia podrán exceptuar el pago de reproducción y envío atendiendo a las circunstancias socioeconómicas del solicitante.</w:t>
      </w:r>
    </w:p>
    <w:p w:rsidR="00010565" w:rsidRPr="008345BB" w:rsidRDefault="00010565" w:rsidP="00010565">
      <w:pPr>
        <w:pStyle w:val="corte4fondo"/>
        <w:tabs>
          <w:tab w:val="left" w:pos="567"/>
        </w:tabs>
        <w:spacing w:line="276" w:lineRule="auto"/>
        <w:ind w:firstLine="0"/>
        <w:rPr>
          <w:rFonts w:cs="Arial"/>
          <w:color w:val="5B9BD5" w:themeColor="accent1"/>
          <w:sz w:val="16"/>
          <w:szCs w:val="16"/>
        </w:rPr>
      </w:pPr>
      <w:r w:rsidRPr="008345BB">
        <w:rPr>
          <w:rFonts w:cs="Arial"/>
          <w:color w:val="5B9BD5" w:themeColor="accent1"/>
          <w:sz w:val="14"/>
          <w:szCs w:val="14"/>
        </w:rPr>
        <w:t>Ante la falta de respuesta a una solicitud en el plazo previsto y en caso de que proceda el acceso, los costos de reproducción y envío correrán a cargo del sujeto obligado.</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39618154"/>
      <w:docPartObj>
        <w:docPartGallery w:val="Page Numbers (Top of Page)"/>
        <w:docPartUnique/>
      </w:docPartObj>
    </w:sdtPr>
    <w:sdtContent>
      <w:p w:rsidR="003A5E96" w:rsidRDefault="008C2FBF">
        <w:pPr>
          <w:pStyle w:val="Encabezado"/>
          <w:jc w:val="center"/>
        </w:pPr>
        <w:r w:rsidRPr="008C2FBF">
          <w:fldChar w:fldCharType="begin"/>
        </w:r>
        <w:r w:rsidR="00004650">
          <w:instrText>PAGE   \* MERGEFORMAT</w:instrText>
        </w:r>
        <w:r w:rsidRPr="008C2FBF">
          <w:fldChar w:fldCharType="separate"/>
        </w:r>
        <w:r w:rsidR="00DD605A" w:rsidRPr="00DD605A">
          <w:rPr>
            <w:noProof/>
            <w:lang w:val="es-ES"/>
          </w:rPr>
          <w:t>7</w:t>
        </w:r>
        <w:r>
          <w:rPr>
            <w:noProof/>
            <w:lang w:val="es-ES"/>
          </w:rPr>
          <w:fldChar w:fldCharType="end"/>
        </w:r>
      </w:p>
    </w:sdtContent>
  </w:sdt>
  <w:p w:rsidR="003A5E96" w:rsidRDefault="003A5E96">
    <w:pPr>
      <w:pStyle w:val="Encabezado"/>
    </w:pPr>
  </w:p>
  <w:p w:rsidR="003A5E96" w:rsidRDefault="003A5E96">
    <w:pPr>
      <w:pStyle w:val="Encabezado"/>
    </w:pPr>
  </w:p>
  <w:p w:rsidR="003A5E96" w:rsidRPr="005111DF" w:rsidRDefault="003A5E96" w:rsidP="00387B0C">
    <w:pPr>
      <w:pStyle w:val="Encabezado"/>
      <w:jc w:val="right"/>
      <w:rPr>
        <w:rFonts w:ascii="Arial" w:hAnsi="Arial" w:cs="Arial"/>
        <w:color w:val="1F4E79" w:themeColor="accent1" w:themeShade="80"/>
        <w:sz w:val="16"/>
        <w:szCs w:val="16"/>
      </w:rPr>
    </w:pPr>
  </w:p>
  <w:p w:rsidR="003A5E96" w:rsidRDefault="003A5E96">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9508E"/>
    <w:multiLevelType w:val="hybridMultilevel"/>
    <w:tmpl w:val="203A9592"/>
    <w:lvl w:ilvl="0" w:tplc="080A0019">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2">
    <w:nsid w:val="0C0F5A1B"/>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0EC84C4F"/>
    <w:multiLevelType w:val="hybridMultilevel"/>
    <w:tmpl w:val="EC12FA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199B09D7"/>
    <w:multiLevelType w:val="hybridMultilevel"/>
    <w:tmpl w:val="5AF034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32205FB"/>
    <w:multiLevelType w:val="hybridMultilevel"/>
    <w:tmpl w:val="0B3668CA"/>
    <w:lvl w:ilvl="0" w:tplc="FF8EAE58">
      <w:start w:val="1"/>
      <w:numFmt w:val="upperRoman"/>
      <w:lvlText w:val="%1."/>
      <w:lvlJc w:val="left"/>
      <w:pPr>
        <w:ind w:left="1571" w:hanging="720"/>
      </w:pPr>
    </w:lvl>
    <w:lvl w:ilvl="1" w:tplc="080A0019">
      <w:start w:val="1"/>
      <w:numFmt w:val="decimal"/>
      <w:lvlText w:val="%2."/>
      <w:lvlJc w:val="left"/>
      <w:pPr>
        <w:tabs>
          <w:tab w:val="num" w:pos="1440"/>
        </w:tabs>
        <w:ind w:left="1440" w:hanging="360"/>
      </w:pPr>
    </w:lvl>
    <w:lvl w:ilvl="2" w:tplc="080A001B">
      <w:start w:val="1"/>
      <w:numFmt w:val="decimal"/>
      <w:lvlText w:val="%3."/>
      <w:lvlJc w:val="left"/>
      <w:pPr>
        <w:tabs>
          <w:tab w:val="num" w:pos="2160"/>
        </w:tabs>
        <w:ind w:left="2160" w:hanging="360"/>
      </w:pPr>
    </w:lvl>
    <w:lvl w:ilvl="3" w:tplc="080A000F">
      <w:start w:val="1"/>
      <w:numFmt w:val="decimal"/>
      <w:lvlText w:val="%4."/>
      <w:lvlJc w:val="left"/>
      <w:pPr>
        <w:tabs>
          <w:tab w:val="num" w:pos="2880"/>
        </w:tabs>
        <w:ind w:left="2880" w:hanging="360"/>
      </w:pPr>
    </w:lvl>
    <w:lvl w:ilvl="4" w:tplc="080A0019">
      <w:start w:val="1"/>
      <w:numFmt w:val="decimal"/>
      <w:lvlText w:val="%5."/>
      <w:lvlJc w:val="left"/>
      <w:pPr>
        <w:tabs>
          <w:tab w:val="num" w:pos="3600"/>
        </w:tabs>
        <w:ind w:left="3600" w:hanging="360"/>
      </w:pPr>
    </w:lvl>
    <w:lvl w:ilvl="5" w:tplc="080A001B">
      <w:start w:val="1"/>
      <w:numFmt w:val="decimal"/>
      <w:lvlText w:val="%6."/>
      <w:lvlJc w:val="left"/>
      <w:pPr>
        <w:tabs>
          <w:tab w:val="num" w:pos="4320"/>
        </w:tabs>
        <w:ind w:left="4320" w:hanging="360"/>
      </w:pPr>
    </w:lvl>
    <w:lvl w:ilvl="6" w:tplc="080A000F">
      <w:start w:val="1"/>
      <w:numFmt w:val="decimal"/>
      <w:lvlText w:val="%7."/>
      <w:lvlJc w:val="left"/>
      <w:pPr>
        <w:tabs>
          <w:tab w:val="num" w:pos="5040"/>
        </w:tabs>
        <w:ind w:left="5040" w:hanging="360"/>
      </w:pPr>
    </w:lvl>
    <w:lvl w:ilvl="7" w:tplc="080A0019">
      <w:start w:val="1"/>
      <w:numFmt w:val="decimal"/>
      <w:lvlText w:val="%8."/>
      <w:lvlJc w:val="left"/>
      <w:pPr>
        <w:tabs>
          <w:tab w:val="num" w:pos="5760"/>
        </w:tabs>
        <w:ind w:left="5760" w:hanging="360"/>
      </w:pPr>
    </w:lvl>
    <w:lvl w:ilvl="8" w:tplc="080A001B">
      <w:start w:val="1"/>
      <w:numFmt w:val="decimal"/>
      <w:lvlText w:val="%9."/>
      <w:lvlJc w:val="left"/>
      <w:pPr>
        <w:tabs>
          <w:tab w:val="num" w:pos="6480"/>
        </w:tabs>
        <w:ind w:left="6480" w:hanging="360"/>
      </w:pPr>
    </w:lvl>
  </w:abstractNum>
  <w:abstractNum w:abstractNumId="6">
    <w:nsid w:val="2D820CD2"/>
    <w:multiLevelType w:val="hybridMultilevel"/>
    <w:tmpl w:val="54F8228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nsid w:val="2E924423"/>
    <w:multiLevelType w:val="hybridMultilevel"/>
    <w:tmpl w:val="C36CBFAC"/>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8">
    <w:nsid w:val="2F045CA5"/>
    <w:multiLevelType w:val="hybridMultilevel"/>
    <w:tmpl w:val="87E4BA20"/>
    <w:lvl w:ilvl="0" w:tplc="080A0001">
      <w:start w:val="1"/>
      <w:numFmt w:val="bullet"/>
      <w:lvlText w:val=""/>
      <w:lvlJc w:val="left"/>
      <w:pPr>
        <w:ind w:left="784" w:hanging="360"/>
      </w:pPr>
      <w:rPr>
        <w:rFonts w:ascii="Symbol" w:hAnsi="Symbol" w:hint="default"/>
      </w:rPr>
    </w:lvl>
    <w:lvl w:ilvl="1" w:tplc="080A0003" w:tentative="1">
      <w:start w:val="1"/>
      <w:numFmt w:val="bullet"/>
      <w:lvlText w:val="o"/>
      <w:lvlJc w:val="left"/>
      <w:pPr>
        <w:ind w:left="1504" w:hanging="360"/>
      </w:pPr>
      <w:rPr>
        <w:rFonts w:ascii="Courier New" w:hAnsi="Courier New" w:cs="Courier New" w:hint="default"/>
      </w:rPr>
    </w:lvl>
    <w:lvl w:ilvl="2" w:tplc="080A0005" w:tentative="1">
      <w:start w:val="1"/>
      <w:numFmt w:val="bullet"/>
      <w:lvlText w:val=""/>
      <w:lvlJc w:val="left"/>
      <w:pPr>
        <w:ind w:left="2224" w:hanging="360"/>
      </w:pPr>
      <w:rPr>
        <w:rFonts w:ascii="Wingdings" w:hAnsi="Wingdings" w:hint="default"/>
      </w:rPr>
    </w:lvl>
    <w:lvl w:ilvl="3" w:tplc="080A0001" w:tentative="1">
      <w:start w:val="1"/>
      <w:numFmt w:val="bullet"/>
      <w:lvlText w:val=""/>
      <w:lvlJc w:val="left"/>
      <w:pPr>
        <w:ind w:left="2944" w:hanging="360"/>
      </w:pPr>
      <w:rPr>
        <w:rFonts w:ascii="Symbol" w:hAnsi="Symbol" w:hint="default"/>
      </w:rPr>
    </w:lvl>
    <w:lvl w:ilvl="4" w:tplc="080A0003" w:tentative="1">
      <w:start w:val="1"/>
      <w:numFmt w:val="bullet"/>
      <w:lvlText w:val="o"/>
      <w:lvlJc w:val="left"/>
      <w:pPr>
        <w:ind w:left="3664" w:hanging="360"/>
      </w:pPr>
      <w:rPr>
        <w:rFonts w:ascii="Courier New" w:hAnsi="Courier New" w:cs="Courier New" w:hint="default"/>
      </w:rPr>
    </w:lvl>
    <w:lvl w:ilvl="5" w:tplc="080A0005" w:tentative="1">
      <w:start w:val="1"/>
      <w:numFmt w:val="bullet"/>
      <w:lvlText w:val=""/>
      <w:lvlJc w:val="left"/>
      <w:pPr>
        <w:ind w:left="4384" w:hanging="360"/>
      </w:pPr>
      <w:rPr>
        <w:rFonts w:ascii="Wingdings" w:hAnsi="Wingdings" w:hint="default"/>
      </w:rPr>
    </w:lvl>
    <w:lvl w:ilvl="6" w:tplc="080A0001" w:tentative="1">
      <w:start w:val="1"/>
      <w:numFmt w:val="bullet"/>
      <w:lvlText w:val=""/>
      <w:lvlJc w:val="left"/>
      <w:pPr>
        <w:ind w:left="5104" w:hanging="360"/>
      </w:pPr>
      <w:rPr>
        <w:rFonts w:ascii="Symbol" w:hAnsi="Symbol" w:hint="default"/>
      </w:rPr>
    </w:lvl>
    <w:lvl w:ilvl="7" w:tplc="080A0003" w:tentative="1">
      <w:start w:val="1"/>
      <w:numFmt w:val="bullet"/>
      <w:lvlText w:val="o"/>
      <w:lvlJc w:val="left"/>
      <w:pPr>
        <w:ind w:left="5824" w:hanging="360"/>
      </w:pPr>
      <w:rPr>
        <w:rFonts w:ascii="Courier New" w:hAnsi="Courier New" w:cs="Courier New" w:hint="default"/>
      </w:rPr>
    </w:lvl>
    <w:lvl w:ilvl="8" w:tplc="080A0005" w:tentative="1">
      <w:start w:val="1"/>
      <w:numFmt w:val="bullet"/>
      <w:lvlText w:val=""/>
      <w:lvlJc w:val="left"/>
      <w:pPr>
        <w:ind w:left="6544" w:hanging="360"/>
      </w:pPr>
      <w:rPr>
        <w:rFonts w:ascii="Wingdings" w:hAnsi="Wingdings" w:hint="default"/>
      </w:rPr>
    </w:lvl>
  </w:abstractNum>
  <w:abstractNum w:abstractNumId="9">
    <w:nsid w:val="3268012D"/>
    <w:multiLevelType w:val="hybridMultilevel"/>
    <w:tmpl w:val="5B149AE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334404FF"/>
    <w:multiLevelType w:val="hybridMultilevel"/>
    <w:tmpl w:val="C50C0AEE"/>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35FE131E"/>
    <w:multiLevelType w:val="hybridMultilevel"/>
    <w:tmpl w:val="338A88E4"/>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2">
    <w:nsid w:val="375042ED"/>
    <w:multiLevelType w:val="hybridMultilevel"/>
    <w:tmpl w:val="74045FCA"/>
    <w:lvl w:ilvl="0" w:tplc="080A0017">
      <w:start w:val="1"/>
      <w:numFmt w:val="lowerLetter"/>
      <w:lvlText w:val="%1)"/>
      <w:lvlJc w:val="left"/>
      <w:pPr>
        <w:ind w:left="1290" w:hanging="360"/>
      </w:pPr>
    </w:lvl>
    <w:lvl w:ilvl="1" w:tplc="080A0019" w:tentative="1">
      <w:start w:val="1"/>
      <w:numFmt w:val="lowerLetter"/>
      <w:lvlText w:val="%2."/>
      <w:lvlJc w:val="left"/>
      <w:pPr>
        <w:ind w:left="2010" w:hanging="360"/>
      </w:pPr>
    </w:lvl>
    <w:lvl w:ilvl="2" w:tplc="080A001B" w:tentative="1">
      <w:start w:val="1"/>
      <w:numFmt w:val="lowerRoman"/>
      <w:lvlText w:val="%3."/>
      <w:lvlJc w:val="right"/>
      <w:pPr>
        <w:ind w:left="2730" w:hanging="180"/>
      </w:pPr>
    </w:lvl>
    <w:lvl w:ilvl="3" w:tplc="080A000F" w:tentative="1">
      <w:start w:val="1"/>
      <w:numFmt w:val="decimal"/>
      <w:lvlText w:val="%4."/>
      <w:lvlJc w:val="left"/>
      <w:pPr>
        <w:ind w:left="3450" w:hanging="360"/>
      </w:pPr>
    </w:lvl>
    <w:lvl w:ilvl="4" w:tplc="080A0019" w:tentative="1">
      <w:start w:val="1"/>
      <w:numFmt w:val="lowerLetter"/>
      <w:lvlText w:val="%5."/>
      <w:lvlJc w:val="left"/>
      <w:pPr>
        <w:ind w:left="4170" w:hanging="360"/>
      </w:pPr>
    </w:lvl>
    <w:lvl w:ilvl="5" w:tplc="080A001B" w:tentative="1">
      <w:start w:val="1"/>
      <w:numFmt w:val="lowerRoman"/>
      <w:lvlText w:val="%6."/>
      <w:lvlJc w:val="right"/>
      <w:pPr>
        <w:ind w:left="4890" w:hanging="180"/>
      </w:pPr>
    </w:lvl>
    <w:lvl w:ilvl="6" w:tplc="080A000F" w:tentative="1">
      <w:start w:val="1"/>
      <w:numFmt w:val="decimal"/>
      <w:lvlText w:val="%7."/>
      <w:lvlJc w:val="left"/>
      <w:pPr>
        <w:ind w:left="5610" w:hanging="360"/>
      </w:pPr>
    </w:lvl>
    <w:lvl w:ilvl="7" w:tplc="080A0019" w:tentative="1">
      <w:start w:val="1"/>
      <w:numFmt w:val="lowerLetter"/>
      <w:lvlText w:val="%8."/>
      <w:lvlJc w:val="left"/>
      <w:pPr>
        <w:ind w:left="6330" w:hanging="360"/>
      </w:pPr>
    </w:lvl>
    <w:lvl w:ilvl="8" w:tplc="080A001B" w:tentative="1">
      <w:start w:val="1"/>
      <w:numFmt w:val="lowerRoman"/>
      <w:lvlText w:val="%9."/>
      <w:lvlJc w:val="right"/>
      <w:pPr>
        <w:ind w:left="7050" w:hanging="180"/>
      </w:pPr>
    </w:lvl>
  </w:abstractNum>
  <w:abstractNum w:abstractNumId="13">
    <w:nsid w:val="38BC51C0"/>
    <w:multiLevelType w:val="hybridMultilevel"/>
    <w:tmpl w:val="0F6014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47281FAF"/>
    <w:multiLevelType w:val="hybridMultilevel"/>
    <w:tmpl w:val="7FE019A8"/>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15">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nsid w:val="52D04166"/>
    <w:multiLevelType w:val="hybridMultilevel"/>
    <w:tmpl w:val="476451E6"/>
    <w:lvl w:ilvl="0" w:tplc="080A0001">
      <w:start w:val="1"/>
      <w:numFmt w:val="bullet"/>
      <w:lvlText w:val=""/>
      <w:lvlJc w:val="left"/>
      <w:pPr>
        <w:ind w:left="1492" w:hanging="360"/>
      </w:pPr>
      <w:rPr>
        <w:rFonts w:ascii="Symbol" w:hAnsi="Symbol" w:hint="default"/>
      </w:rPr>
    </w:lvl>
    <w:lvl w:ilvl="1" w:tplc="080A0003" w:tentative="1">
      <w:start w:val="1"/>
      <w:numFmt w:val="bullet"/>
      <w:lvlText w:val="o"/>
      <w:lvlJc w:val="left"/>
      <w:pPr>
        <w:ind w:left="2212" w:hanging="360"/>
      </w:pPr>
      <w:rPr>
        <w:rFonts w:ascii="Courier New" w:hAnsi="Courier New" w:cs="Courier New" w:hint="default"/>
      </w:rPr>
    </w:lvl>
    <w:lvl w:ilvl="2" w:tplc="080A0005" w:tentative="1">
      <w:start w:val="1"/>
      <w:numFmt w:val="bullet"/>
      <w:lvlText w:val=""/>
      <w:lvlJc w:val="left"/>
      <w:pPr>
        <w:ind w:left="2932" w:hanging="360"/>
      </w:pPr>
      <w:rPr>
        <w:rFonts w:ascii="Wingdings" w:hAnsi="Wingdings" w:hint="default"/>
      </w:rPr>
    </w:lvl>
    <w:lvl w:ilvl="3" w:tplc="080A0001" w:tentative="1">
      <w:start w:val="1"/>
      <w:numFmt w:val="bullet"/>
      <w:lvlText w:val=""/>
      <w:lvlJc w:val="left"/>
      <w:pPr>
        <w:ind w:left="3652" w:hanging="360"/>
      </w:pPr>
      <w:rPr>
        <w:rFonts w:ascii="Symbol" w:hAnsi="Symbol" w:hint="default"/>
      </w:rPr>
    </w:lvl>
    <w:lvl w:ilvl="4" w:tplc="080A0003" w:tentative="1">
      <w:start w:val="1"/>
      <w:numFmt w:val="bullet"/>
      <w:lvlText w:val="o"/>
      <w:lvlJc w:val="left"/>
      <w:pPr>
        <w:ind w:left="4372" w:hanging="360"/>
      </w:pPr>
      <w:rPr>
        <w:rFonts w:ascii="Courier New" w:hAnsi="Courier New" w:cs="Courier New" w:hint="default"/>
      </w:rPr>
    </w:lvl>
    <w:lvl w:ilvl="5" w:tplc="080A0005" w:tentative="1">
      <w:start w:val="1"/>
      <w:numFmt w:val="bullet"/>
      <w:lvlText w:val=""/>
      <w:lvlJc w:val="left"/>
      <w:pPr>
        <w:ind w:left="5092" w:hanging="360"/>
      </w:pPr>
      <w:rPr>
        <w:rFonts w:ascii="Wingdings" w:hAnsi="Wingdings" w:hint="default"/>
      </w:rPr>
    </w:lvl>
    <w:lvl w:ilvl="6" w:tplc="080A0001" w:tentative="1">
      <w:start w:val="1"/>
      <w:numFmt w:val="bullet"/>
      <w:lvlText w:val=""/>
      <w:lvlJc w:val="left"/>
      <w:pPr>
        <w:ind w:left="5812" w:hanging="360"/>
      </w:pPr>
      <w:rPr>
        <w:rFonts w:ascii="Symbol" w:hAnsi="Symbol" w:hint="default"/>
      </w:rPr>
    </w:lvl>
    <w:lvl w:ilvl="7" w:tplc="080A0003" w:tentative="1">
      <w:start w:val="1"/>
      <w:numFmt w:val="bullet"/>
      <w:lvlText w:val="o"/>
      <w:lvlJc w:val="left"/>
      <w:pPr>
        <w:ind w:left="6532" w:hanging="360"/>
      </w:pPr>
      <w:rPr>
        <w:rFonts w:ascii="Courier New" w:hAnsi="Courier New" w:cs="Courier New" w:hint="default"/>
      </w:rPr>
    </w:lvl>
    <w:lvl w:ilvl="8" w:tplc="080A0005" w:tentative="1">
      <w:start w:val="1"/>
      <w:numFmt w:val="bullet"/>
      <w:lvlText w:val=""/>
      <w:lvlJc w:val="left"/>
      <w:pPr>
        <w:ind w:left="7252" w:hanging="360"/>
      </w:pPr>
      <w:rPr>
        <w:rFonts w:ascii="Wingdings" w:hAnsi="Wingdings" w:hint="default"/>
      </w:rPr>
    </w:lvl>
  </w:abstractNum>
  <w:abstractNum w:abstractNumId="17">
    <w:nsid w:val="5E372215"/>
    <w:multiLevelType w:val="hybridMultilevel"/>
    <w:tmpl w:val="611E23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6559581D"/>
    <w:multiLevelType w:val="hybridMultilevel"/>
    <w:tmpl w:val="B21A169C"/>
    <w:lvl w:ilvl="0" w:tplc="080A0013">
      <w:start w:val="1"/>
      <w:numFmt w:val="upperRoman"/>
      <w:lvlText w:val="%1."/>
      <w:lvlJc w:val="righ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9">
    <w:nsid w:val="6A4515EA"/>
    <w:multiLevelType w:val="hybridMultilevel"/>
    <w:tmpl w:val="F140CF1E"/>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6E1B4DE8"/>
    <w:multiLevelType w:val="hybridMultilevel"/>
    <w:tmpl w:val="F1C0ECB6"/>
    <w:lvl w:ilvl="0" w:tplc="080A0005">
      <w:start w:val="1"/>
      <w:numFmt w:val="bullet"/>
      <w:lvlText w:val=""/>
      <w:lvlJc w:val="left"/>
      <w:pPr>
        <w:ind w:left="770" w:hanging="360"/>
      </w:pPr>
      <w:rPr>
        <w:rFonts w:ascii="Wingdings" w:hAnsi="Wingdings" w:hint="default"/>
      </w:rPr>
    </w:lvl>
    <w:lvl w:ilvl="1" w:tplc="080A0003" w:tentative="1">
      <w:start w:val="1"/>
      <w:numFmt w:val="bullet"/>
      <w:lvlText w:val="o"/>
      <w:lvlJc w:val="left"/>
      <w:pPr>
        <w:ind w:left="1490" w:hanging="360"/>
      </w:pPr>
      <w:rPr>
        <w:rFonts w:ascii="Courier New" w:hAnsi="Courier New" w:cs="Courier New" w:hint="default"/>
      </w:rPr>
    </w:lvl>
    <w:lvl w:ilvl="2" w:tplc="080A0005" w:tentative="1">
      <w:start w:val="1"/>
      <w:numFmt w:val="bullet"/>
      <w:lvlText w:val=""/>
      <w:lvlJc w:val="left"/>
      <w:pPr>
        <w:ind w:left="2210" w:hanging="360"/>
      </w:pPr>
      <w:rPr>
        <w:rFonts w:ascii="Wingdings" w:hAnsi="Wingdings" w:hint="default"/>
      </w:rPr>
    </w:lvl>
    <w:lvl w:ilvl="3" w:tplc="080A0001" w:tentative="1">
      <w:start w:val="1"/>
      <w:numFmt w:val="bullet"/>
      <w:lvlText w:val=""/>
      <w:lvlJc w:val="left"/>
      <w:pPr>
        <w:ind w:left="2930" w:hanging="360"/>
      </w:pPr>
      <w:rPr>
        <w:rFonts w:ascii="Symbol" w:hAnsi="Symbol" w:hint="default"/>
      </w:rPr>
    </w:lvl>
    <w:lvl w:ilvl="4" w:tplc="080A0003" w:tentative="1">
      <w:start w:val="1"/>
      <w:numFmt w:val="bullet"/>
      <w:lvlText w:val="o"/>
      <w:lvlJc w:val="left"/>
      <w:pPr>
        <w:ind w:left="3650" w:hanging="360"/>
      </w:pPr>
      <w:rPr>
        <w:rFonts w:ascii="Courier New" w:hAnsi="Courier New" w:cs="Courier New" w:hint="default"/>
      </w:rPr>
    </w:lvl>
    <w:lvl w:ilvl="5" w:tplc="080A0005" w:tentative="1">
      <w:start w:val="1"/>
      <w:numFmt w:val="bullet"/>
      <w:lvlText w:val=""/>
      <w:lvlJc w:val="left"/>
      <w:pPr>
        <w:ind w:left="4370" w:hanging="360"/>
      </w:pPr>
      <w:rPr>
        <w:rFonts w:ascii="Wingdings" w:hAnsi="Wingdings" w:hint="default"/>
      </w:rPr>
    </w:lvl>
    <w:lvl w:ilvl="6" w:tplc="080A0001" w:tentative="1">
      <w:start w:val="1"/>
      <w:numFmt w:val="bullet"/>
      <w:lvlText w:val=""/>
      <w:lvlJc w:val="left"/>
      <w:pPr>
        <w:ind w:left="5090" w:hanging="360"/>
      </w:pPr>
      <w:rPr>
        <w:rFonts w:ascii="Symbol" w:hAnsi="Symbol" w:hint="default"/>
      </w:rPr>
    </w:lvl>
    <w:lvl w:ilvl="7" w:tplc="080A0003" w:tentative="1">
      <w:start w:val="1"/>
      <w:numFmt w:val="bullet"/>
      <w:lvlText w:val="o"/>
      <w:lvlJc w:val="left"/>
      <w:pPr>
        <w:ind w:left="5810" w:hanging="360"/>
      </w:pPr>
      <w:rPr>
        <w:rFonts w:ascii="Courier New" w:hAnsi="Courier New" w:cs="Courier New" w:hint="default"/>
      </w:rPr>
    </w:lvl>
    <w:lvl w:ilvl="8" w:tplc="080A0005" w:tentative="1">
      <w:start w:val="1"/>
      <w:numFmt w:val="bullet"/>
      <w:lvlText w:val=""/>
      <w:lvlJc w:val="left"/>
      <w:pPr>
        <w:ind w:left="6530" w:hanging="360"/>
      </w:pPr>
      <w:rPr>
        <w:rFonts w:ascii="Wingdings" w:hAnsi="Wingdings" w:hint="default"/>
      </w:rPr>
    </w:lvl>
  </w:abstractNum>
  <w:abstractNum w:abstractNumId="21">
    <w:nsid w:val="702745E5"/>
    <w:multiLevelType w:val="hybridMultilevel"/>
    <w:tmpl w:val="25D4AD8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2">
    <w:nsid w:val="73B541A0"/>
    <w:multiLevelType w:val="hybridMultilevel"/>
    <w:tmpl w:val="FEB037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nsid w:val="79CA0014"/>
    <w:multiLevelType w:val="hybridMultilevel"/>
    <w:tmpl w:val="D50CAA3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5"/>
  </w:num>
  <w:num w:numId="2">
    <w:abstractNumId w:val="6"/>
  </w:num>
  <w:num w:numId="3">
    <w:abstractNumId w:val="1"/>
  </w:num>
  <w:num w:numId="4">
    <w:abstractNumId w:val="21"/>
  </w:num>
  <w:num w:numId="5">
    <w:abstractNumId w:val="7"/>
  </w:num>
  <w:num w:numId="6">
    <w:abstractNumId w:val="22"/>
  </w:num>
  <w:num w:numId="7">
    <w:abstractNumId w:val="19"/>
  </w:num>
  <w:num w:numId="8">
    <w:abstractNumId w:val="23"/>
  </w:num>
  <w:num w:numId="9">
    <w:abstractNumId w:val="0"/>
  </w:num>
  <w:num w:numId="10">
    <w:abstractNumId w:val="10"/>
  </w:num>
  <w:num w:numId="11">
    <w:abstractNumId w:val="13"/>
  </w:num>
  <w:num w:numId="12">
    <w:abstractNumId w:val="2"/>
  </w:num>
  <w:num w:numId="13">
    <w:abstractNumId w:val="16"/>
  </w:num>
  <w:num w:numId="14">
    <w:abstractNumId w:val="18"/>
  </w:num>
  <w:num w:numId="15">
    <w:abstractNumId w:val="12"/>
  </w:num>
  <w:num w:numId="16">
    <w:abstractNumId w:val="8"/>
  </w:num>
  <w:num w:numId="17">
    <w:abstractNumId w:val="4"/>
  </w:num>
  <w:num w:numId="18">
    <w:abstractNumId w:val="11"/>
  </w:num>
  <w:num w:numId="19">
    <w:abstractNumId w:val="17"/>
  </w:num>
  <w:num w:numId="20">
    <w:abstractNumId w:val="3"/>
  </w:num>
  <w:num w:numId="21">
    <w:abstractNumId w:val="14"/>
  </w:num>
  <w:num w:numId="22">
    <w:abstractNumId w:val="20"/>
  </w:num>
  <w:num w:numId="2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num>
  <w:num w:numId="2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mirrorMargins/>
  <w:defaultTabStop w:val="708"/>
  <w:hyphenationZone w:val="425"/>
  <w:characterSpacingControl w:val="doNotCompress"/>
  <w:footnotePr>
    <w:footnote w:id="-1"/>
    <w:footnote w:id="0"/>
  </w:footnotePr>
  <w:endnotePr>
    <w:endnote w:id="-1"/>
    <w:endnote w:id="0"/>
  </w:endnotePr>
  <w:compat/>
  <w:rsids>
    <w:rsidRoot w:val="0082319B"/>
    <w:rsid w:val="00004650"/>
    <w:rsid w:val="00010565"/>
    <w:rsid w:val="000403B1"/>
    <w:rsid w:val="00051335"/>
    <w:rsid w:val="0006085A"/>
    <w:rsid w:val="00065735"/>
    <w:rsid w:val="000968B7"/>
    <w:rsid w:val="000977B9"/>
    <w:rsid w:val="000D6AA0"/>
    <w:rsid w:val="000E2480"/>
    <w:rsid w:val="00102C2C"/>
    <w:rsid w:val="001105F4"/>
    <w:rsid w:val="00127FDD"/>
    <w:rsid w:val="00135575"/>
    <w:rsid w:val="00144B4A"/>
    <w:rsid w:val="0015453F"/>
    <w:rsid w:val="00196B55"/>
    <w:rsid w:val="001B3F59"/>
    <w:rsid w:val="001B633D"/>
    <w:rsid w:val="001C7A0F"/>
    <w:rsid w:val="001D0E6D"/>
    <w:rsid w:val="001E014F"/>
    <w:rsid w:val="001F035C"/>
    <w:rsid w:val="00200BEE"/>
    <w:rsid w:val="00206AD3"/>
    <w:rsid w:val="00215D65"/>
    <w:rsid w:val="00220BB0"/>
    <w:rsid w:val="00231FD8"/>
    <w:rsid w:val="00241712"/>
    <w:rsid w:val="00242BB0"/>
    <w:rsid w:val="002634A9"/>
    <w:rsid w:val="00280C02"/>
    <w:rsid w:val="002868AD"/>
    <w:rsid w:val="00294961"/>
    <w:rsid w:val="002B1145"/>
    <w:rsid w:val="002B278B"/>
    <w:rsid w:val="002C7D38"/>
    <w:rsid w:val="002D31D6"/>
    <w:rsid w:val="002F32A4"/>
    <w:rsid w:val="002F3421"/>
    <w:rsid w:val="002F4169"/>
    <w:rsid w:val="002F62DE"/>
    <w:rsid w:val="003113DF"/>
    <w:rsid w:val="00313697"/>
    <w:rsid w:val="003836E6"/>
    <w:rsid w:val="00387B0C"/>
    <w:rsid w:val="00391155"/>
    <w:rsid w:val="00393A87"/>
    <w:rsid w:val="003A5E96"/>
    <w:rsid w:val="003C19F3"/>
    <w:rsid w:val="003D2D18"/>
    <w:rsid w:val="003D3805"/>
    <w:rsid w:val="003E6385"/>
    <w:rsid w:val="00404286"/>
    <w:rsid w:val="0041100E"/>
    <w:rsid w:val="00421D02"/>
    <w:rsid w:val="00422CBD"/>
    <w:rsid w:val="00441999"/>
    <w:rsid w:val="00451110"/>
    <w:rsid w:val="00465EC0"/>
    <w:rsid w:val="004715FB"/>
    <w:rsid w:val="00473D61"/>
    <w:rsid w:val="0048695A"/>
    <w:rsid w:val="00497286"/>
    <w:rsid w:val="004A226E"/>
    <w:rsid w:val="004D125C"/>
    <w:rsid w:val="004D46D4"/>
    <w:rsid w:val="0052220E"/>
    <w:rsid w:val="005378BD"/>
    <w:rsid w:val="00567F6D"/>
    <w:rsid w:val="005860EA"/>
    <w:rsid w:val="00592B50"/>
    <w:rsid w:val="0059769E"/>
    <w:rsid w:val="005A0C2A"/>
    <w:rsid w:val="005E11EA"/>
    <w:rsid w:val="005E34B4"/>
    <w:rsid w:val="00622CEC"/>
    <w:rsid w:val="0062527D"/>
    <w:rsid w:val="0063719D"/>
    <w:rsid w:val="00671594"/>
    <w:rsid w:val="0068153A"/>
    <w:rsid w:val="00694336"/>
    <w:rsid w:val="006C6C65"/>
    <w:rsid w:val="006E05FA"/>
    <w:rsid w:val="006F01D5"/>
    <w:rsid w:val="006F3FC0"/>
    <w:rsid w:val="007007BD"/>
    <w:rsid w:val="007373BC"/>
    <w:rsid w:val="00762C73"/>
    <w:rsid w:val="0079060F"/>
    <w:rsid w:val="007959CB"/>
    <w:rsid w:val="007B4C14"/>
    <w:rsid w:val="007C7EA4"/>
    <w:rsid w:val="008008CC"/>
    <w:rsid w:val="0081562D"/>
    <w:rsid w:val="0082319B"/>
    <w:rsid w:val="00826230"/>
    <w:rsid w:val="008367F1"/>
    <w:rsid w:val="00847592"/>
    <w:rsid w:val="00862801"/>
    <w:rsid w:val="00864845"/>
    <w:rsid w:val="008A07C3"/>
    <w:rsid w:val="008A773D"/>
    <w:rsid w:val="008C2614"/>
    <w:rsid w:val="008C2FBF"/>
    <w:rsid w:val="008C79B0"/>
    <w:rsid w:val="008D7D4C"/>
    <w:rsid w:val="00904F62"/>
    <w:rsid w:val="00915AFD"/>
    <w:rsid w:val="009322B4"/>
    <w:rsid w:val="00933F8D"/>
    <w:rsid w:val="00953F40"/>
    <w:rsid w:val="00984462"/>
    <w:rsid w:val="00995B21"/>
    <w:rsid w:val="009B3776"/>
    <w:rsid w:val="00A0157D"/>
    <w:rsid w:val="00A15E1C"/>
    <w:rsid w:val="00A177BD"/>
    <w:rsid w:val="00A25A43"/>
    <w:rsid w:val="00A542A7"/>
    <w:rsid w:val="00A6695F"/>
    <w:rsid w:val="00A92AED"/>
    <w:rsid w:val="00A94F95"/>
    <w:rsid w:val="00A95B7C"/>
    <w:rsid w:val="00AA169D"/>
    <w:rsid w:val="00AA37D9"/>
    <w:rsid w:val="00B10928"/>
    <w:rsid w:val="00B25C3D"/>
    <w:rsid w:val="00B3221C"/>
    <w:rsid w:val="00B3392F"/>
    <w:rsid w:val="00B8509E"/>
    <w:rsid w:val="00B90376"/>
    <w:rsid w:val="00B927B7"/>
    <w:rsid w:val="00BC47EE"/>
    <w:rsid w:val="00BC57A0"/>
    <w:rsid w:val="00BD42AD"/>
    <w:rsid w:val="00BD7EA6"/>
    <w:rsid w:val="00C036B7"/>
    <w:rsid w:val="00C11BA1"/>
    <w:rsid w:val="00C371E7"/>
    <w:rsid w:val="00C47C9C"/>
    <w:rsid w:val="00C65D97"/>
    <w:rsid w:val="00C67322"/>
    <w:rsid w:val="00C677C1"/>
    <w:rsid w:val="00C82739"/>
    <w:rsid w:val="00C96460"/>
    <w:rsid w:val="00CA27A7"/>
    <w:rsid w:val="00CC080F"/>
    <w:rsid w:val="00CC5B2C"/>
    <w:rsid w:val="00CE5578"/>
    <w:rsid w:val="00CF4B11"/>
    <w:rsid w:val="00D21DE8"/>
    <w:rsid w:val="00D30CE5"/>
    <w:rsid w:val="00D32E95"/>
    <w:rsid w:val="00D35065"/>
    <w:rsid w:val="00D3573E"/>
    <w:rsid w:val="00D5511E"/>
    <w:rsid w:val="00D64795"/>
    <w:rsid w:val="00D94B70"/>
    <w:rsid w:val="00DD605A"/>
    <w:rsid w:val="00E07F73"/>
    <w:rsid w:val="00E13D1E"/>
    <w:rsid w:val="00E74FA7"/>
    <w:rsid w:val="00E75B80"/>
    <w:rsid w:val="00EC32F6"/>
    <w:rsid w:val="00ED6D42"/>
    <w:rsid w:val="00F04FE3"/>
    <w:rsid w:val="00F067EC"/>
    <w:rsid w:val="00F24D00"/>
    <w:rsid w:val="00F41CB1"/>
    <w:rsid w:val="00F42C47"/>
    <w:rsid w:val="00F80C2B"/>
    <w:rsid w:val="00F87D4B"/>
    <w:rsid w:val="00F9009E"/>
    <w:rsid w:val="00FA0ABD"/>
    <w:rsid w:val="00FA3184"/>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319B"/>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82319B"/>
    <w:pPr>
      <w:spacing w:after="0" w:line="240" w:lineRule="auto"/>
      <w:ind w:left="2552"/>
    </w:pPr>
    <w:rPr>
      <w:rFonts w:ascii="Arial" w:eastAsia="Times New Roman" w:hAnsi="Arial"/>
      <w:b/>
      <w:caps/>
      <w:sz w:val="30"/>
      <w:szCs w:val="20"/>
      <w:lang w:eastAsia="es-MX"/>
    </w:rPr>
  </w:style>
  <w:style w:type="paragraph" w:customStyle="1" w:styleId="corte2ponente">
    <w:name w:val="corte2 ponente"/>
    <w:basedOn w:val="Normal"/>
    <w:link w:val="corte2ponenteCar"/>
    <w:uiPriority w:val="99"/>
    <w:rsid w:val="0082319B"/>
    <w:pPr>
      <w:spacing w:after="0" w:line="240" w:lineRule="auto"/>
    </w:pPr>
    <w:rPr>
      <w:rFonts w:ascii="Arial" w:eastAsia="Times New Roman" w:hAnsi="Arial"/>
      <w:b/>
      <w:caps/>
      <w:sz w:val="30"/>
      <w:szCs w:val="20"/>
      <w:lang w:eastAsia="es-MX"/>
    </w:rPr>
  </w:style>
  <w:style w:type="paragraph" w:customStyle="1" w:styleId="corte4fondo">
    <w:name w:val="corte4 fondo"/>
    <w:basedOn w:val="Normal"/>
    <w:link w:val="corte4fondoCar1"/>
    <w:qFormat/>
    <w:rsid w:val="0082319B"/>
    <w:pPr>
      <w:spacing w:after="0" w:line="360" w:lineRule="auto"/>
      <w:ind w:firstLine="709"/>
      <w:jc w:val="both"/>
    </w:pPr>
    <w:rPr>
      <w:rFonts w:ascii="Arial" w:eastAsia="Times New Roman" w:hAnsi="Arial"/>
      <w:sz w:val="30"/>
      <w:szCs w:val="20"/>
      <w:lang w:eastAsia="es-MX"/>
    </w:rPr>
  </w:style>
  <w:style w:type="character" w:customStyle="1" w:styleId="corte2ponenteCar">
    <w:name w:val="corte2 ponente Car"/>
    <w:link w:val="corte2ponente"/>
    <w:uiPriority w:val="99"/>
    <w:rsid w:val="0082319B"/>
    <w:rPr>
      <w:rFonts w:ascii="Arial" w:eastAsia="Times New Roman" w:hAnsi="Arial" w:cs="Times New Roman"/>
      <w:b/>
      <w:caps/>
      <w:sz w:val="30"/>
      <w:szCs w:val="20"/>
      <w:lang w:eastAsia="es-MX"/>
    </w:rPr>
  </w:style>
  <w:style w:type="character" w:customStyle="1" w:styleId="corte4fondoCar1">
    <w:name w:val="corte4 fondo Car1"/>
    <w:link w:val="corte4fondo"/>
    <w:rsid w:val="0082319B"/>
    <w:rPr>
      <w:rFonts w:ascii="Arial" w:eastAsia="Times New Roman" w:hAnsi="Arial" w:cs="Times New Roman"/>
      <w:sz w:val="30"/>
      <w:szCs w:val="20"/>
      <w:lang w:eastAsia="es-MX"/>
    </w:rPr>
  </w:style>
  <w:style w:type="character" w:customStyle="1" w:styleId="corte1datosCar">
    <w:name w:val="corte1 datos Car"/>
    <w:link w:val="corte1datos"/>
    <w:rsid w:val="0082319B"/>
    <w:rPr>
      <w:rFonts w:ascii="Arial" w:eastAsia="Times New Roman" w:hAnsi="Arial" w:cs="Times New Roman"/>
      <w:b/>
      <w:caps/>
      <w:sz w:val="30"/>
      <w:szCs w:val="20"/>
      <w:lang w:eastAsia="es-MX"/>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callout"/>
    <w:basedOn w:val="Fuentedeprrafopredeter"/>
    <w:uiPriority w:val="99"/>
    <w:unhideWhenUsed/>
    <w:qFormat/>
    <w:rsid w:val="0082319B"/>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82319B"/>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82319B"/>
    <w:rPr>
      <w:rFonts w:ascii="Calibri" w:eastAsia="Calibri" w:hAnsi="Calibri" w:cs="Times New Roman"/>
      <w:sz w:val="20"/>
      <w:szCs w:val="20"/>
    </w:rPr>
  </w:style>
  <w:style w:type="paragraph" w:styleId="NormalWeb">
    <w:name w:val="Normal (Web)"/>
    <w:basedOn w:val="Normal"/>
    <w:uiPriority w:val="99"/>
    <w:rsid w:val="0082319B"/>
    <w:pPr>
      <w:spacing w:before="100" w:beforeAutospacing="1" w:after="100" w:afterAutospacing="1" w:line="240" w:lineRule="auto"/>
    </w:pPr>
    <w:rPr>
      <w:rFonts w:ascii="Times New Roman" w:eastAsia="Times New Roman" w:hAnsi="Times New Roman"/>
      <w:sz w:val="24"/>
      <w:szCs w:val="24"/>
      <w:lang w:val="es-ES" w:eastAsia="es-ES"/>
    </w:rPr>
  </w:style>
  <w:style w:type="paragraph" w:styleId="Encabezado">
    <w:name w:val="header"/>
    <w:basedOn w:val="Normal"/>
    <w:link w:val="EncabezadoCar"/>
    <w:uiPriority w:val="99"/>
    <w:unhideWhenUsed/>
    <w:rsid w:val="0082319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2319B"/>
    <w:rPr>
      <w:rFonts w:ascii="Calibri" w:eastAsia="Calibri" w:hAnsi="Calibri" w:cs="Times New Roman"/>
    </w:rPr>
  </w:style>
  <w:style w:type="paragraph" w:styleId="Piedepgina">
    <w:name w:val="footer"/>
    <w:basedOn w:val="Normal"/>
    <w:link w:val="PiedepginaCar"/>
    <w:uiPriority w:val="99"/>
    <w:unhideWhenUsed/>
    <w:rsid w:val="0082319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2319B"/>
    <w:rPr>
      <w:rFonts w:ascii="Calibri" w:eastAsia="Calibri" w:hAnsi="Calibri" w:cs="Times New Roman"/>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E13D1E"/>
    <w:pPr>
      <w:ind w:left="720"/>
      <w:contextualSpacing/>
    </w:pPr>
  </w:style>
  <w:style w:type="paragraph" w:styleId="Textodeglobo">
    <w:name w:val="Balloon Text"/>
    <w:basedOn w:val="Normal"/>
    <w:link w:val="TextodegloboCar"/>
    <w:uiPriority w:val="99"/>
    <w:semiHidden/>
    <w:unhideWhenUsed/>
    <w:rsid w:val="00BD7EA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D7EA6"/>
    <w:rPr>
      <w:rFonts w:ascii="Segoe UI" w:eastAsia="Calibri" w:hAnsi="Segoe UI" w:cs="Segoe UI"/>
      <w:sz w:val="18"/>
      <w:szCs w:val="18"/>
    </w:rPr>
  </w:style>
  <w:style w:type="paragraph" w:styleId="Textoindependiente">
    <w:name w:val="Body Text"/>
    <w:basedOn w:val="Normal"/>
    <w:link w:val="TextoindependienteCar"/>
    <w:uiPriority w:val="99"/>
    <w:semiHidden/>
    <w:unhideWhenUsed/>
    <w:rsid w:val="00CC080F"/>
    <w:pPr>
      <w:spacing w:after="120"/>
    </w:pPr>
  </w:style>
  <w:style w:type="character" w:customStyle="1" w:styleId="TextoindependienteCar">
    <w:name w:val="Texto independiente Car"/>
    <w:basedOn w:val="Fuentedeprrafopredeter"/>
    <w:link w:val="Textoindependiente"/>
    <w:uiPriority w:val="99"/>
    <w:semiHidden/>
    <w:rsid w:val="00CC080F"/>
    <w:rPr>
      <w:rFonts w:ascii="Calibri" w:eastAsia="Calibri" w:hAnsi="Calibri" w:cs="Times New Roman"/>
    </w:rPr>
  </w:style>
  <w:style w:type="paragraph" w:styleId="Textoindependienteprimerasangra">
    <w:name w:val="Body Text First Indent"/>
    <w:basedOn w:val="Textoindependiente"/>
    <w:link w:val="TextoindependienteprimerasangraCar"/>
    <w:rsid w:val="00CC080F"/>
    <w:pPr>
      <w:spacing w:line="360" w:lineRule="auto"/>
      <w:ind w:firstLine="210"/>
      <w:jc w:val="both"/>
    </w:pPr>
    <w:rPr>
      <w:rFonts w:asciiTheme="minorHAnsi" w:eastAsia="Times New Roman" w:hAnsiTheme="minorHAnsi"/>
      <w:sz w:val="26"/>
      <w:szCs w:val="24"/>
      <w:lang w:val="es-ES" w:eastAsia="es-ES"/>
    </w:rPr>
  </w:style>
  <w:style w:type="character" w:customStyle="1" w:styleId="TextoindependienteprimerasangraCar">
    <w:name w:val="Texto independiente primera sangría Car"/>
    <w:basedOn w:val="TextoindependienteCar"/>
    <w:link w:val="Textoindependienteprimerasangra"/>
    <w:rsid w:val="00CC080F"/>
    <w:rPr>
      <w:rFonts w:ascii="Calibri" w:eastAsia="Times New Roman" w:hAnsi="Calibri" w:cs="Times New Roman"/>
      <w:sz w:val="26"/>
      <w:szCs w:val="24"/>
      <w:lang w:val="es-ES" w:eastAsia="es-ES"/>
    </w:rPr>
  </w:style>
  <w:style w:type="character" w:customStyle="1" w:styleId="apple-style-span">
    <w:name w:val="apple-style-span"/>
    <w:basedOn w:val="Fuentedeprrafopredeter"/>
    <w:rsid w:val="00826230"/>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010565"/>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09EE68-A22E-4486-81CE-04B8403F97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TotalTime>
  <Pages>1</Pages>
  <Words>5512</Words>
  <Characters>30321</Characters>
  <Application>Microsoft Office Word</Application>
  <DocSecurity>0</DocSecurity>
  <Lines>252</Lines>
  <Paragraphs>71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35762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cegaip</dc:creator>
  <cp:lastModifiedBy>ELI</cp:lastModifiedBy>
  <cp:revision>8</cp:revision>
  <cp:lastPrinted>2018-12-11T18:37:00Z</cp:lastPrinted>
  <dcterms:created xsi:type="dcterms:W3CDTF">2019-09-02T19:06:00Z</dcterms:created>
  <dcterms:modified xsi:type="dcterms:W3CDTF">2019-09-26T16:48:00Z</dcterms:modified>
</cp:coreProperties>
</file>